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16F" w:rsidTr="0010095E">
        <w:trPr>
          <w:trHeight w:hRule="exact" w:val="1418"/>
        </w:trPr>
        <w:tc>
          <w:tcPr>
            <w:tcW w:w="6804" w:type="dxa"/>
            <w:shd w:val="clear" w:color="auto" w:fill="auto"/>
            <w:vAlign w:val="center"/>
          </w:tcPr>
          <w:p w:rsidR="00751A4A" w:rsidRPr="00E6416F" w:rsidRDefault="00EA02A3" w:rsidP="0010095E">
            <w:pPr>
              <w:pStyle w:val="EPName"/>
            </w:pPr>
            <w:r w:rsidRPr="00E6416F">
              <w:t>Europaparlamentet</w:t>
            </w:r>
          </w:p>
          <w:p w:rsidR="00751A4A" w:rsidRPr="00E6416F" w:rsidRDefault="00817416" w:rsidP="00756632">
            <w:pPr>
              <w:pStyle w:val="EPTerm"/>
              <w:rPr>
                <w:rStyle w:val="HideTWBExt"/>
                <w:noProof w:val="0"/>
                <w:vanish w:val="0"/>
                <w:color w:val="auto"/>
              </w:rPr>
            </w:pPr>
            <w:r w:rsidRPr="00E6416F">
              <w:t>2019-2024</w:t>
            </w:r>
          </w:p>
        </w:tc>
        <w:tc>
          <w:tcPr>
            <w:tcW w:w="2268" w:type="dxa"/>
            <w:shd w:val="clear" w:color="auto" w:fill="auto"/>
          </w:tcPr>
          <w:p w:rsidR="00751A4A" w:rsidRPr="00E6416F" w:rsidRDefault="00187494" w:rsidP="0010095E">
            <w:pPr>
              <w:pStyle w:val="EPLogo"/>
            </w:pPr>
            <w:r w:rsidRPr="00E641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416F" w:rsidRDefault="00D058B8" w:rsidP="004C5D52">
      <w:pPr>
        <w:pStyle w:val="LineTop"/>
      </w:pPr>
    </w:p>
    <w:p w:rsidR="00680577" w:rsidRPr="00E6416F" w:rsidRDefault="00EA02A3" w:rsidP="00680577">
      <w:pPr>
        <w:pStyle w:val="EPBodyTA1"/>
      </w:pPr>
      <w:r w:rsidRPr="00E6416F">
        <w:t>ANTAGNA TEXTER</w:t>
      </w:r>
    </w:p>
    <w:p w:rsidR="00D058B8" w:rsidRPr="00E6416F" w:rsidRDefault="00D058B8" w:rsidP="00D058B8">
      <w:pPr>
        <w:pStyle w:val="LineBottom"/>
      </w:pPr>
    </w:p>
    <w:p w:rsidR="00EA02A3" w:rsidRPr="00E6416F" w:rsidRDefault="00EA02A3" w:rsidP="00EA02A3">
      <w:pPr>
        <w:pStyle w:val="ATHeading1"/>
      </w:pPr>
      <w:bookmarkStart w:id="0" w:name="TANumber"/>
      <w:r w:rsidRPr="00E6416F">
        <w:t>P9_TA(2024)0</w:t>
      </w:r>
      <w:bookmarkEnd w:id="0"/>
      <w:r w:rsidR="00E6416F" w:rsidRPr="00E6416F">
        <w:t>251</w:t>
      </w:r>
    </w:p>
    <w:p w:rsidR="00EA02A3" w:rsidRPr="00E6416F" w:rsidRDefault="00EA02A3" w:rsidP="00EA02A3">
      <w:pPr>
        <w:pStyle w:val="ATHeading2"/>
      </w:pPr>
      <w:bookmarkStart w:id="1" w:name="title"/>
      <w:r w:rsidRPr="00E6416F">
        <w:t>Ansvarsfrihet 2022: Europeiska centrumet för förebyggande och kontroll av sjukdomar</w:t>
      </w:r>
      <w:bookmarkEnd w:id="1"/>
    </w:p>
    <w:p w:rsidR="00EA02A3" w:rsidRPr="00E6416F" w:rsidRDefault="00EA02A3" w:rsidP="00EA02A3">
      <w:pPr>
        <w:rPr>
          <w:i/>
          <w:vanish/>
        </w:rPr>
      </w:pPr>
      <w:r w:rsidRPr="00E6416F">
        <w:rPr>
          <w:i/>
        </w:rPr>
        <w:fldChar w:fldCharType="begin"/>
      </w:r>
      <w:r w:rsidRPr="00E6416F">
        <w:rPr>
          <w:i/>
        </w:rPr>
        <w:instrText xml:space="preserve"> TC"(</w:instrText>
      </w:r>
      <w:bookmarkStart w:id="2" w:name="DocNumber"/>
      <w:r w:rsidRPr="00E6416F">
        <w:rPr>
          <w:i/>
        </w:rPr>
        <w:instrText>A9-0109/2024</w:instrText>
      </w:r>
      <w:bookmarkEnd w:id="2"/>
      <w:r w:rsidRPr="00E6416F">
        <w:rPr>
          <w:i/>
        </w:rPr>
        <w:instrText xml:space="preserve"> - Föredragande: Petri Sarvamaa)"\l3 \n&gt; \* MERGEFORMAT </w:instrText>
      </w:r>
      <w:r w:rsidRPr="00E6416F">
        <w:rPr>
          <w:i/>
        </w:rPr>
        <w:fldChar w:fldCharType="end"/>
      </w:r>
    </w:p>
    <w:p w:rsidR="00EA02A3" w:rsidRPr="00E6416F" w:rsidRDefault="00EA02A3" w:rsidP="00EA02A3">
      <w:pPr>
        <w:rPr>
          <w:vanish/>
        </w:rPr>
      </w:pPr>
      <w:bookmarkStart w:id="3" w:name="Commission"/>
      <w:r w:rsidRPr="00E6416F">
        <w:rPr>
          <w:vanish/>
        </w:rPr>
        <w:t>Budgetkontrollutskottet</w:t>
      </w:r>
      <w:bookmarkEnd w:id="3"/>
    </w:p>
    <w:p w:rsidR="00EA02A3" w:rsidRPr="00E6416F" w:rsidRDefault="00EA02A3" w:rsidP="00EA02A3">
      <w:pPr>
        <w:rPr>
          <w:vanish/>
        </w:rPr>
      </w:pPr>
      <w:bookmarkStart w:id="4" w:name="PE"/>
      <w:r w:rsidRPr="00E6416F">
        <w:rPr>
          <w:vanish/>
        </w:rPr>
        <w:t>PE753.515</w:t>
      </w:r>
      <w:bookmarkEnd w:id="4"/>
    </w:p>
    <w:p w:rsidR="00EA02A3" w:rsidRPr="00E6416F" w:rsidRDefault="008864B6" w:rsidP="00EA02A3">
      <w:pPr>
        <w:pStyle w:val="ATHeading3"/>
      </w:pPr>
      <w:bookmarkStart w:id="5" w:name="Sujet"/>
      <w:r w:rsidRPr="00E6416F">
        <w:t>1. E</w:t>
      </w:r>
      <w:r w:rsidR="00EA02A3" w:rsidRPr="00E6416F">
        <w:t>uropa</w:t>
      </w:r>
      <w:r w:rsidRPr="00E6416F">
        <w:t>parlamentets beslut av den 11 april</w:t>
      </w:r>
      <w:r w:rsidR="00EA02A3" w:rsidRPr="00E6416F">
        <w:t xml:space="preserve"> 2024 om ansvarsfrihet för genomförandet av budgeten för Europeiska centrumet för förebyggande och kontroll av sjukdomar för budgetåret 2022</w:t>
      </w:r>
      <w:bookmarkEnd w:id="5"/>
      <w:r w:rsidR="00EA02A3" w:rsidRPr="00E6416F">
        <w:t xml:space="preserve"> </w:t>
      </w:r>
      <w:bookmarkStart w:id="6" w:name="References"/>
      <w:r w:rsidR="00EA02A3" w:rsidRPr="00E6416F">
        <w:t>(2023/2147(DEC))</w:t>
      </w:r>
      <w:bookmarkEnd w:id="6"/>
    </w:p>
    <w:p w:rsidR="00E80C1B" w:rsidRPr="00E6416F" w:rsidRDefault="00E80C1B" w:rsidP="00E80C1B">
      <w:pPr>
        <w:pStyle w:val="EPComma"/>
      </w:pPr>
      <w:bookmarkStart w:id="7" w:name="TextBodyBegin"/>
      <w:bookmarkEnd w:id="7"/>
      <w:r w:rsidRPr="00E6416F">
        <w:rPr>
          <w:i/>
          <w:iCs/>
        </w:rPr>
        <w:t>Europaparlamentet fattar detta beslut</w:t>
      </w:r>
    </w:p>
    <w:p w:rsidR="00E80C1B" w:rsidRPr="00E6416F" w:rsidRDefault="00E80C1B" w:rsidP="00E80C1B">
      <w:pPr>
        <w:pStyle w:val="NormalHanging12a"/>
      </w:pPr>
      <w:r w:rsidRPr="00E6416F">
        <w:t>–</w:t>
      </w:r>
      <w:r w:rsidRPr="00E6416F">
        <w:tab/>
        <w:t>med beaktande av den slutliga årsredovisningen för Europeiska centrumet för förebyggande och kontroll av sjukdomar för budgetåret 2022,</w:t>
      </w:r>
    </w:p>
    <w:p w:rsidR="00E80C1B" w:rsidRPr="00E6416F" w:rsidRDefault="00E80C1B" w:rsidP="00E80C1B">
      <w:pPr>
        <w:pStyle w:val="NormalHanging12a"/>
      </w:pPr>
      <w:r w:rsidRPr="00E6416F">
        <w:t>–</w:t>
      </w:r>
      <w:r w:rsidRPr="00E6416F">
        <w:tab/>
        <w:t>med beaktande av revisionsrättens årsrapport om EU:s byråer för budgetåret 2022, med byråernas svar</w:t>
      </w:r>
      <w:r w:rsidRPr="00E6416F">
        <w:rPr>
          <w:rStyle w:val="FootnoteReference"/>
        </w:rPr>
        <w:footnoteReference w:id="1"/>
      </w:r>
      <w:r w:rsidRPr="00E6416F">
        <w:t>,</w:t>
      </w:r>
    </w:p>
    <w:p w:rsidR="00E80C1B" w:rsidRPr="00E6416F" w:rsidRDefault="00E80C1B" w:rsidP="00E80C1B">
      <w:pPr>
        <w:pStyle w:val="NormalHanging12a"/>
      </w:pPr>
      <w:r w:rsidRPr="00E6416F">
        <w:t>–</w:t>
      </w:r>
      <w:r w:rsidRPr="00E6416F">
        <w:tab/>
        <w:t>med beaktande av förklaringen om räkenskapernas tillförlitlighet och de underliggande transaktionernas laglighet och korrekthet</w:t>
      </w:r>
      <w:r w:rsidRPr="00E6416F">
        <w:rPr>
          <w:rStyle w:val="FootnoteReference"/>
        </w:rPr>
        <w:footnoteReference w:id="2"/>
      </w:r>
      <w:r w:rsidRPr="00E6416F">
        <w:t>, som avgetts av revisionsrätten för budgetåret 2022 i enlighet med artikel 287 i fördraget om Europeiska unionens funktionssätt,</w:t>
      </w:r>
    </w:p>
    <w:p w:rsidR="00E80C1B" w:rsidRPr="00E6416F" w:rsidRDefault="00E80C1B" w:rsidP="00E80C1B">
      <w:pPr>
        <w:pStyle w:val="NormalHanging12a"/>
      </w:pPr>
      <w:r w:rsidRPr="00E6416F">
        <w:t>–</w:t>
      </w:r>
      <w:r w:rsidRPr="00E6416F">
        <w:tab/>
        <w:t>med beaktande av rådets rekommendation av den 22 februari 2024 om att bevilja centrumet ansvarsfrihet för genomförandet av budgeten för budgetåret 2022 (</w:t>
      </w:r>
      <w:r w:rsidR="00F24413" w:rsidRPr="00E6416F">
        <w:t>06180</w:t>
      </w:r>
      <w:r w:rsidRPr="00E6416F">
        <w:t>/2024 – C9</w:t>
      </w:r>
      <w:r w:rsidRPr="00E6416F">
        <w:noBreakHyphen/>
      </w:r>
      <w:r w:rsidR="00F24413" w:rsidRPr="00E6416F">
        <w:t>0085</w:t>
      </w:r>
      <w:r w:rsidRPr="00E6416F">
        <w:t>/2024),</w:t>
      </w:r>
    </w:p>
    <w:p w:rsidR="00E80C1B" w:rsidRPr="00E6416F" w:rsidRDefault="00E80C1B" w:rsidP="00E80C1B">
      <w:pPr>
        <w:pStyle w:val="NormalHanging12a"/>
      </w:pPr>
      <w:r w:rsidRPr="00E6416F">
        <w:t>–</w:t>
      </w:r>
      <w:r w:rsidRPr="00E6416F">
        <w:tab/>
        <w:t>med beaktande av artikel 319 i fördraget om Europeiska unionens funktionssätt,</w:t>
      </w:r>
    </w:p>
    <w:p w:rsidR="00E80C1B" w:rsidRPr="00E6416F" w:rsidRDefault="00E80C1B" w:rsidP="00E80C1B">
      <w:pPr>
        <w:pStyle w:val="NormalHanging12a"/>
      </w:pPr>
      <w:r w:rsidRPr="00E6416F">
        <w:t>–</w:t>
      </w:r>
      <w:r w:rsidRPr="00E6416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E6416F">
        <w:rPr>
          <w:rStyle w:val="FootnoteReference"/>
        </w:rPr>
        <w:footnoteReference w:id="3"/>
      </w:r>
      <w:r w:rsidRPr="00E6416F">
        <w:t>, särskilt artikel 70,</w:t>
      </w:r>
    </w:p>
    <w:p w:rsidR="00E80C1B" w:rsidRPr="00E6416F" w:rsidRDefault="00E80C1B" w:rsidP="00E80C1B">
      <w:pPr>
        <w:pStyle w:val="NormalHanging12a"/>
      </w:pPr>
      <w:r w:rsidRPr="00E6416F">
        <w:t>–</w:t>
      </w:r>
      <w:r w:rsidRPr="00E6416F">
        <w:tab/>
        <w:t xml:space="preserve">med beaktande av Europaparlamentets och rådets förordning (EG) nr 851/2004 av den 21 april 2004 om inrättande av ett europeiskt centrum för förebyggande och </w:t>
      </w:r>
      <w:r w:rsidRPr="00E6416F">
        <w:lastRenderedPageBreak/>
        <w:t>kontroll av sjukdomar</w:t>
      </w:r>
      <w:r w:rsidRPr="00E6416F">
        <w:rPr>
          <w:rStyle w:val="FootnoteReference"/>
        </w:rPr>
        <w:footnoteReference w:id="4"/>
      </w:r>
      <w:r w:rsidRPr="00E6416F">
        <w:t>, särskilt artikel 23,</w:t>
      </w:r>
    </w:p>
    <w:p w:rsidR="00E80C1B" w:rsidRPr="00E6416F" w:rsidRDefault="00E80C1B" w:rsidP="00E80C1B">
      <w:pPr>
        <w:pStyle w:val="NormalHanging12a"/>
      </w:pPr>
      <w:r w:rsidRPr="00E6416F">
        <w:t>–</w:t>
      </w:r>
      <w:r w:rsidRPr="00E6416F">
        <w:tab/>
        <w:t>med beaktande av kommissionens delegerade förordning (EU) 2019/715 av den 18 december 2018 med rambudgetförordning för de organ som inrättats enligt EUF</w:t>
      </w:r>
      <w:r w:rsidRPr="00E6416F">
        <w:noBreakHyphen/>
        <w:t>fördraget och Euratomfördraget och som avses i artikel 70 i Europaparlamentets och rådets förordning (EU, Euratom) 2018/1046</w:t>
      </w:r>
      <w:r w:rsidRPr="00E6416F">
        <w:rPr>
          <w:rStyle w:val="FootnoteReference"/>
        </w:rPr>
        <w:footnoteReference w:id="5"/>
      </w:r>
      <w:r w:rsidRPr="00E6416F">
        <w:t xml:space="preserve"> särskilt artikel 105,</w:t>
      </w:r>
    </w:p>
    <w:p w:rsidR="00E80C1B" w:rsidRPr="00E6416F" w:rsidRDefault="00E80C1B" w:rsidP="00E80C1B">
      <w:pPr>
        <w:pStyle w:val="NormalHanging12a"/>
      </w:pPr>
      <w:r w:rsidRPr="00E6416F">
        <w:t>–</w:t>
      </w:r>
      <w:r w:rsidRPr="00E6416F">
        <w:tab/>
        <w:t>med beaktande av artikel 100 och bilaga V i arbetsordningen,</w:t>
      </w:r>
    </w:p>
    <w:p w:rsidR="00E80C1B" w:rsidRPr="00E6416F" w:rsidRDefault="00E80C1B" w:rsidP="00E80C1B">
      <w:pPr>
        <w:pStyle w:val="NormalHanging12a"/>
      </w:pPr>
      <w:r w:rsidRPr="00E6416F">
        <w:t>–</w:t>
      </w:r>
      <w:r w:rsidRPr="00E6416F">
        <w:tab/>
        <w:t>med beaktande av yttrandet från utskottet för miljö, folkhälsa och livsmedelssäkerhet,</w:t>
      </w:r>
    </w:p>
    <w:p w:rsidR="00E80C1B" w:rsidRPr="00E6416F" w:rsidRDefault="00E80C1B" w:rsidP="00E80C1B">
      <w:pPr>
        <w:pStyle w:val="NormalHanging12a"/>
      </w:pPr>
      <w:r w:rsidRPr="00E6416F">
        <w:t>–</w:t>
      </w:r>
      <w:r w:rsidRPr="00E6416F">
        <w:tab/>
        <w:t>med beaktande av betänkandet från budgetkontrollutskottet (A9-0109/2024).</w:t>
      </w:r>
    </w:p>
    <w:p w:rsidR="00E80C1B" w:rsidRPr="00E6416F" w:rsidRDefault="00E80C1B" w:rsidP="00E80C1B">
      <w:pPr>
        <w:pStyle w:val="NormalHanging12a"/>
      </w:pPr>
      <w:r w:rsidRPr="00E6416F">
        <w:t>1.</w:t>
      </w:r>
      <w:r w:rsidRPr="00E6416F">
        <w:tab/>
        <w:t>Europaparlamentet beviljar direktören för Europeiska centrumet för förebyggande och kontroll av sjukdomar ansvarsfrihet för genomförandet av centrumets budget för budgetåret 2022.</w:t>
      </w:r>
    </w:p>
    <w:p w:rsidR="00E80C1B" w:rsidRPr="00E6416F" w:rsidRDefault="00E80C1B" w:rsidP="00E80C1B">
      <w:pPr>
        <w:pStyle w:val="NormalHanging12a"/>
      </w:pPr>
      <w:r w:rsidRPr="00E6416F">
        <w:t>2.</w:t>
      </w:r>
      <w:r w:rsidRPr="00E6416F">
        <w:tab/>
        <w:t>Europaparlamentet redovisar sina iakttagelser i resolutionen nedan.</w:t>
      </w:r>
    </w:p>
    <w:p w:rsidR="00E80C1B" w:rsidRPr="00E6416F" w:rsidRDefault="00E80C1B" w:rsidP="00E80C1B">
      <w:pPr>
        <w:pStyle w:val="NormalHanging12a"/>
      </w:pPr>
      <w:r w:rsidRPr="00E6416F">
        <w:t>3.</w:t>
      </w:r>
      <w:r w:rsidRPr="00E6416F">
        <w:tab/>
        <w:t xml:space="preserve">Europaparlamentet uppdrar åt talmannen att översända detta beslut och den resolution som utgör en del av beslutet till direktören för Europeiska centrumet för förebyggande och kontroll av sjukdomar, rådet, kommissionen och revisionsrätten samt att se till att de offentliggörs i </w:t>
      </w:r>
      <w:r w:rsidRPr="00E6416F">
        <w:rPr>
          <w:i/>
          <w:iCs/>
        </w:rPr>
        <w:t>Europeiska unionens officiella tidning</w:t>
      </w:r>
      <w:r w:rsidRPr="00E6416F">
        <w:t xml:space="preserve"> (L-serien).</w:t>
      </w:r>
    </w:p>
    <w:p w:rsidR="00E80C1B" w:rsidRPr="00E6416F" w:rsidRDefault="00E80C1B" w:rsidP="00E80C1B"/>
    <w:p w:rsidR="00E80C1B" w:rsidRPr="00E6416F" w:rsidRDefault="00E80C1B" w:rsidP="00E80C1B">
      <w:pPr>
        <w:widowControl/>
        <w:rPr>
          <w:rFonts w:ascii="Arial" w:hAnsi="Arial" w:cs="Arial"/>
          <w:b/>
        </w:rPr>
        <w:sectPr w:rsidR="00E80C1B" w:rsidRPr="00E6416F" w:rsidSect="008569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80C1B" w:rsidRPr="00E6416F" w:rsidRDefault="008864B6" w:rsidP="008864B6">
      <w:pPr>
        <w:pStyle w:val="ATHeading3"/>
      </w:pPr>
      <w:r w:rsidRPr="00E6416F">
        <w:lastRenderedPageBreak/>
        <w:t xml:space="preserve">2. Europaparlamentets beslut av den 11 april 2024 </w:t>
      </w:r>
      <w:r w:rsidR="00E80C1B" w:rsidRPr="00E6416F">
        <w:t>om avslutande av räkenskaperna för Europeiska centrumet för förebyggande och kontroll av sjukdomar för budgetåret 2022</w:t>
      </w:r>
      <w:r w:rsidRPr="00E6416F">
        <w:t xml:space="preserve"> </w:t>
      </w:r>
      <w:r w:rsidR="00E80C1B" w:rsidRPr="00E6416F">
        <w:t>(2023/2147(DEC))</w:t>
      </w:r>
    </w:p>
    <w:p w:rsidR="00E80C1B" w:rsidRPr="00E6416F" w:rsidRDefault="00E80C1B" w:rsidP="00E80C1B">
      <w:pPr>
        <w:pStyle w:val="EPComma"/>
      </w:pPr>
      <w:r w:rsidRPr="00E6416F">
        <w:rPr>
          <w:i/>
          <w:iCs/>
        </w:rPr>
        <w:t>Europaparlamentet fattar detta beslut</w:t>
      </w:r>
    </w:p>
    <w:p w:rsidR="00E80C1B" w:rsidRPr="00E6416F" w:rsidRDefault="00E80C1B" w:rsidP="00E80C1B">
      <w:pPr>
        <w:pStyle w:val="NormalHanging12a"/>
      </w:pPr>
      <w:r w:rsidRPr="00E6416F">
        <w:t>–</w:t>
      </w:r>
      <w:r w:rsidRPr="00E6416F">
        <w:tab/>
        <w:t>med beaktande av den slutliga årsredovisningen för Europeiska centrumet för förebyggande och kontroll av sjukdomar för budgetåret 2022,</w:t>
      </w:r>
    </w:p>
    <w:p w:rsidR="00E80C1B" w:rsidRPr="00E6416F" w:rsidRDefault="00E80C1B" w:rsidP="00E80C1B">
      <w:pPr>
        <w:pStyle w:val="NormalHanging12a"/>
      </w:pPr>
      <w:r w:rsidRPr="00E6416F">
        <w:t>–</w:t>
      </w:r>
      <w:r w:rsidRPr="00E6416F">
        <w:tab/>
        <w:t>med beaktande av revisionsrättens årsrapport om EU:s byråer för budgetåret 2022, med byråernas svar</w:t>
      </w:r>
      <w:r w:rsidRPr="00E6416F">
        <w:rPr>
          <w:rStyle w:val="FootnoteReference"/>
        </w:rPr>
        <w:footnoteReference w:id="6"/>
      </w:r>
      <w:r w:rsidRPr="00E6416F">
        <w:t>,</w:t>
      </w:r>
    </w:p>
    <w:p w:rsidR="00E80C1B" w:rsidRPr="00E6416F" w:rsidRDefault="00E80C1B" w:rsidP="00E80C1B">
      <w:pPr>
        <w:pStyle w:val="NormalHanging12a"/>
      </w:pPr>
      <w:r w:rsidRPr="00E6416F">
        <w:t>–</w:t>
      </w:r>
      <w:r w:rsidRPr="00E6416F">
        <w:tab/>
        <w:t>med beaktande av förklaringen om räkenskapernas tillförlitlighet och de underliggande transaktionernas laglighet och korrekthet</w:t>
      </w:r>
      <w:r w:rsidRPr="00E6416F">
        <w:rPr>
          <w:rStyle w:val="FootnoteReference"/>
        </w:rPr>
        <w:footnoteReference w:id="7"/>
      </w:r>
      <w:r w:rsidRPr="00E6416F">
        <w:t>, som avgetts av revisionsrätten för budgetåret 2022 i enlighet med artikel 287 i fördraget om Europeiska unionens funktionssätt,</w:t>
      </w:r>
    </w:p>
    <w:p w:rsidR="00E80C1B" w:rsidRPr="00E6416F" w:rsidRDefault="00E80C1B" w:rsidP="00E80C1B">
      <w:pPr>
        <w:pStyle w:val="NormalHanging12a"/>
      </w:pPr>
      <w:r w:rsidRPr="00E6416F">
        <w:t>–</w:t>
      </w:r>
      <w:r w:rsidRPr="00E6416F">
        <w:tab/>
        <w:t>med beaktande av rådets rekommendation av den 22 februari 2024 om att bevilja centrumet ansvarsfrihet för genomförandet av budgeten för budgetåret 2022 (</w:t>
      </w:r>
      <w:r w:rsidR="00F24413" w:rsidRPr="00E6416F">
        <w:t>06180</w:t>
      </w:r>
      <w:r w:rsidRPr="00E6416F">
        <w:t>/2024 – C9</w:t>
      </w:r>
      <w:r w:rsidRPr="00E6416F">
        <w:noBreakHyphen/>
      </w:r>
      <w:r w:rsidR="00F24413" w:rsidRPr="00E6416F">
        <w:t>0085</w:t>
      </w:r>
      <w:r w:rsidRPr="00E6416F">
        <w:t>/2024),</w:t>
      </w:r>
    </w:p>
    <w:p w:rsidR="00E80C1B" w:rsidRPr="00E6416F" w:rsidRDefault="00E80C1B" w:rsidP="00E80C1B">
      <w:pPr>
        <w:pStyle w:val="NormalHanging12a"/>
      </w:pPr>
      <w:r w:rsidRPr="00E6416F">
        <w:t>–</w:t>
      </w:r>
      <w:r w:rsidRPr="00E6416F">
        <w:tab/>
        <w:t>med beaktande av artikel 319 i fördraget om Europeiska unionens funktionssätt,</w:t>
      </w:r>
    </w:p>
    <w:p w:rsidR="00E80C1B" w:rsidRPr="00E6416F" w:rsidRDefault="00E80C1B" w:rsidP="00E80C1B">
      <w:pPr>
        <w:pStyle w:val="NormalHanging12a"/>
      </w:pPr>
      <w:r w:rsidRPr="00E6416F">
        <w:t>–</w:t>
      </w:r>
      <w:r w:rsidRPr="00E6416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E6416F">
        <w:rPr>
          <w:rStyle w:val="FootnoteReference"/>
        </w:rPr>
        <w:footnoteReference w:id="8"/>
      </w:r>
      <w:r w:rsidRPr="00E6416F">
        <w:t>, särskilt artikel 70,</w:t>
      </w:r>
    </w:p>
    <w:p w:rsidR="00E80C1B" w:rsidRPr="00E6416F" w:rsidRDefault="00E80C1B" w:rsidP="00E80C1B">
      <w:pPr>
        <w:pStyle w:val="NormalHanging12a"/>
      </w:pPr>
      <w:r w:rsidRPr="00E6416F">
        <w:t>–</w:t>
      </w:r>
      <w:r w:rsidRPr="00E6416F">
        <w:tab/>
        <w:t>med beaktande av Europaparlamentets och rådets förordning (EG) nr 851/2004 av den 21 april 2004 om inrättande av ett europeiskt centrum för förebyggande och kontroll av sjukdomar</w:t>
      </w:r>
      <w:r w:rsidRPr="00E6416F">
        <w:rPr>
          <w:rStyle w:val="FootnoteReference"/>
        </w:rPr>
        <w:footnoteReference w:id="9"/>
      </w:r>
      <w:r w:rsidRPr="00E6416F">
        <w:t>, särskilt artikel 23,</w:t>
      </w:r>
    </w:p>
    <w:p w:rsidR="00E80C1B" w:rsidRPr="00E6416F" w:rsidRDefault="00E80C1B" w:rsidP="00E80C1B">
      <w:pPr>
        <w:pStyle w:val="NormalHanging12a"/>
      </w:pPr>
      <w:r w:rsidRPr="00E6416F">
        <w:t>–</w:t>
      </w:r>
      <w:r w:rsidRPr="00E6416F">
        <w:tab/>
        <w:t>med beaktande av kommissionens delegerade förordning (EU) 2019/715 av den 18 december 2018 med rambudgetförordning för de organ som inrättats enligt EUF</w:t>
      </w:r>
      <w:r w:rsidRPr="00E6416F">
        <w:noBreakHyphen/>
        <w:t>fördraget och Euratomfördraget och som avses i artikel 70 i Europaparlamentets och rådets förordning (EU, Euratom) 2018/1046</w:t>
      </w:r>
      <w:r w:rsidRPr="00E6416F">
        <w:rPr>
          <w:rStyle w:val="FootnoteReference"/>
        </w:rPr>
        <w:footnoteReference w:id="10"/>
      </w:r>
      <w:r w:rsidRPr="00E6416F">
        <w:t xml:space="preserve"> särskilt artikel 105,</w:t>
      </w:r>
    </w:p>
    <w:p w:rsidR="00E80C1B" w:rsidRPr="00E6416F" w:rsidRDefault="00E80C1B" w:rsidP="00E80C1B">
      <w:pPr>
        <w:pStyle w:val="NormalHanging12a"/>
      </w:pPr>
      <w:r w:rsidRPr="00E6416F">
        <w:t>–</w:t>
      </w:r>
      <w:r w:rsidRPr="00E6416F">
        <w:tab/>
        <w:t>med beaktande av artikel 100 och bilaga V i arbetsordningen,</w:t>
      </w:r>
    </w:p>
    <w:p w:rsidR="00E80C1B" w:rsidRPr="00E6416F" w:rsidRDefault="00E80C1B" w:rsidP="00E80C1B">
      <w:pPr>
        <w:pStyle w:val="NormalHanging12a"/>
      </w:pPr>
      <w:r w:rsidRPr="00E6416F">
        <w:t>–</w:t>
      </w:r>
      <w:r w:rsidRPr="00E6416F">
        <w:tab/>
        <w:t>med beaktande av yttrandet från utskottet för miljö, folkhälsa och livsmedelssäkerhet,</w:t>
      </w:r>
    </w:p>
    <w:p w:rsidR="00E80C1B" w:rsidRPr="00E6416F" w:rsidRDefault="00E80C1B" w:rsidP="00E80C1B">
      <w:pPr>
        <w:pStyle w:val="NormalHanging12a"/>
      </w:pPr>
      <w:r w:rsidRPr="00E6416F">
        <w:t>–</w:t>
      </w:r>
      <w:r w:rsidRPr="00E6416F">
        <w:tab/>
        <w:t>med beaktande av betänkandet från budgetkontrollutskottet (A9-0109/2024).</w:t>
      </w:r>
    </w:p>
    <w:p w:rsidR="00E80C1B" w:rsidRPr="00E6416F" w:rsidRDefault="00E80C1B" w:rsidP="00E80C1B">
      <w:pPr>
        <w:pStyle w:val="NormalHanging12a"/>
      </w:pPr>
      <w:r w:rsidRPr="00E6416F">
        <w:t>1.</w:t>
      </w:r>
      <w:r w:rsidRPr="00E6416F">
        <w:tab/>
        <w:t xml:space="preserve">Europaparlamentet godkänner avslutandet av räkenskaperna för Europeiskt centrum för </w:t>
      </w:r>
      <w:r w:rsidRPr="00E6416F">
        <w:lastRenderedPageBreak/>
        <w:t>förebyggande och kontroll av sjukdomar för budgetåret 2022.</w:t>
      </w:r>
    </w:p>
    <w:p w:rsidR="00E80C1B" w:rsidRPr="00E6416F" w:rsidRDefault="00E80C1B" w:rsidP="00E80C1B">
      <w:pPr>
        <w:pStyle w:val="NormalHanging12a"/>
      </w:pPr>
      <w:r w:rsidRPr="00E6416F">
        <w:t>2.</w:t>
      </w:r>
      <w:r w:rsidRPr="00E6416F">
        <w:tab/>
        <w:t xml:space="preserve">Europaparlamentet uppdrar åt talmannen att översända detta beslut till direktören för Europeiska centrumet för förebyggande och kontroll av sjukdomar, rådet, kommissionen och revisionsrätten samt att se till att det offentliggörs i </w:t>
      </w:r>
      <w:r w:rsidRPr="00E6416F">
        <w:rPr>
          <w:i/>
          <w:iCs/>
        </w:rPr>
        <w:t>Europeiska unionens officiella tidning</w:t>
      </w:r>
      <w:r w:rsidRPr="00E6416F">
        <w:t xml:space="preserve"> (L serien).</w:t>
      </w:r>
    </w:p>
    <w:p w:rsidR="00E80C1B" w:rsidRPr="00E6416F" w:rsidRDefault="00E80C1B" w:rsidP="00E80C1B"/>
    <w:p w:rsidR="00E80C1B" w:rsidRPr="00E6416F" w:rsidRDefault="00E80C1B" w:rsidP="00E80C1B">
      <w:pPr>
        <w:widowControl/>
        <w:rPr>
          <w:rFonts w:ascii="Arial" w:hAnsi="Arial" w:cs="Arial"/>
          <w:b/>
        </w:rPr>
        <w:sectPr w:rsidR="00E80C1B" w:rsidRPr="00E6416F" w:rsidSect="008569EA">
          <w:footnotePr>
            <w:numRestart w:val="eachPage"/>
          </w:footnotePr>
          <w:endnotePr>
            <w:numFmt w:val="decimal"/>
          </w:endnotePr>
          <w:pgSz w:w="11906" w:h="16838"/>
          <w:pgMar w:top="1134" w:right="1418" w:bottom="1418" w:left="1418" w:header="567" w:footer="567" w:gutter="0"/>
          <w:cols w:space="720"/>
          <w:docGrid w:linePitch="326"/>
        </w:sectPr>
      </w:pPr>
    </w:p>
    <w:p w:rsidR="00E80C1B" w:rsidRPr="00E6416F" w:rsidRDefault="00FA32C0" w:rsidP="008864B6">
      <w:pPr>
        <w:pStyle w:val="ATHeading3"/>
      </w:pPr>
      <w:r w:rsidRPr="00E6416F">
        <w:lastRenderedPageBreak/>
        <w:t>3</w:t>
      </w:r>
      <w:r w:rsidR="008864B6" w:rsidRPr="00E6416F">
        <w:t xml:space="preserve">. Europaparlamentets resolution av den 11 april 2024 </w:t>
      </w:r>
      <w:r w:rsidR="00E80C1B" w:rsidRPr="00E6416F">
        <w:t>med de iakttagelser som utgör en del av beslutet om ansvarsfrihet för genomförandet av budgeten för Europeiskt centrum för förebyggande och kontroll av sjukdomar för budgetåret 2022</w:t>
      </w:r>
      <w:r w:rsidR="008864B6" w:rsidRPr="00E6416F">
        <w:t xml:space="preserve"> </w:t>
      </w:r>
      <w:r w:rsidR="00E80C1B" w:rsidRPr="00E6416F">
        <w:t>(2023/2147(DEC))</w:t>
      </w:r>
    </w:p>
    <w:p w:rsidR="00E80C1B" w:rsidRPr="00E6416F" w:rsidRDefault="00E80C1B" w:rsidP="00E80C1B">
      <w:pPr>
        <w:pStyle w:val="EPComma"/>
      </w:pPr>
      <w:r w:rsidRPr="00E6416F">
        <w:rPr>
          <w:i/>
          <w:iCs/>
        </w:rPr>
        <w:t>Europaparlamentet utfärdar denna resolution</w:t>
      </w:r>
    </w:p>
    <w:p w:rsidR="00E80C1B" w:rsidRPr="00E6416F" w:rsidRDefault="00E80C1B" w:rsidP="00E80C1B">
      <w:pPr>
        <w:pStyle w:val="NormalHanging12a"/>
      </w:pPr>
      <w:r w:rsidRPr="00E6416F">
        <w:t>–</w:t>
      </w:r>
      <w:r w:rsidRPr="00E6416F">
        <w:tab/>
        <w:t>med beaktande av sitt beslut om ansvarsfrihet för genomförandet av budgeten för Europeiska centrumet för förebyggande och kontroll av sjukdomar för budgetåret 2022,</w:t>
      </w:r>
    </w:p>
    <w:p w:rsidR="00E80C1B" w:rsidRPr="00E6416F" w:rsidRDefault="00E80C1B" w:rsidP="00E80C1B">
      <w:pPr>
        <w:pStyle w:val="NormalHanging12a"/>
      </w:pPr>
      <w:r w:rsidRPr="00E6416F">
        <w:t>–</w:t>
      </w:r>
      <w:r w:rsidRPr="00E6416F">
        <w:tab/>
        <w:t>med beaktande av artikel 100 och bilaga V i arbetsordningen,</w:t>
      </w:r>
    </w:p>
    <w:p w:rsidR="00E80C1B" w:rsidRPr="00E6416F" w:rsidRDefault="00E80C1B" w:rsidP="00E80C1B">
      <w:pPr>
        <w:pStyle w:val="NormalHanging12a"/>
      </w:pPr>
      <w:r w:rsidRPr="00E6416F">
        <w:t>–</w:t>
      </w:r>
      <w:r w:rsidRPr="00E6416F">
        <w:tab/>
        <w:t>med beaktande av yttrandet från utskottet för miljö, folkhälsa och livsmedelssäkerhet,</w:t>
      </w:r>
    </w:p>
    <w:p w:rsidR="00E80C1B" w:rsidRPr="00E6416F" w:rsidRDefault="00E80C1B" w:rsidP="00E80C1B">
      <w:pPr>
        <w:pStyle w:val="NormalHanging12a"/>
      </w:pPr>
      <w:r w:rsidRPr="00E6416F">
        <w:t>–</w:t>
      </w:r>
      <w:r w:rsidRPr="00E6416F">
        <w:tab/>
        <w:t>med beaktande av betänkandet från budgetkontrollutskottet (A9-0109/2024), och av följande skäl:</w:t>
      </w:r>
    </w:p>
    <w:p w:rsidR="00E80C1B" w:rsidRPr="00E6416F" w:rsidRDefault="00E80C1B" w:rsidP="00E80C1B">
      <w:pPr>
        <w:widowControl/>
        <w:spacing w:after="240"/>
        <w:ind w:left="567" w:hanging="567"/>
        <w:rPr>
          <w:szCs w:val="24"/>
        </w:rPr>
      </w:pPr>
      <w:r w:rsidRPr="00E6416F">
        <w:t>A.</w:t>
      </w:r>
      <w:r w:rsidRPr="00E6416F">
        <w:tab/>
        <w:t>Enligt sammanställningen över inkomster och utgifter</w:t>
      </w:r>
      <w:r w:rsidRPr="00E6416F">
        <w:rPr>
          <w:rStyle w:val="FootnoteReference"/>
          <w:szCs w:val="24"/>
        </w:rPr>
        <w:footnoteReference w:id="11"/>
      </w:r>
      <w:r w:rsidRPr="00E6416F">
        <w:t xml:space="preserve"> för Europeiska centrumet för förebyggande och kontroll av sjukdomar (</w:t>
      </w:r>
      <w:r w:rsidRPr="00E6416F">
        <w:rPr>
          <w:i/>
          <w:iCs/>
        </w:rPr>
        <w:t>centrumet</w:t>
      </w:r>
      <w:r w:rsidRPr="00E6416F">
        <w:t>) uppgick centrumets slutliga budget för budgetåret 2022 till 99 872 000 EUR, vilket är en minskning med 40,59 % jämfört med 2021, som en följd av ändrade bidrag från Myndigheten för beredskap och insatser vid hälsokriser (Hera). Centrumets budget kommer i huvudsak från unionsbudgeten.</w:t>
      </w:r>
    </w:p>
    <w:p w:rsidR="00E80C1B" w:rsidRPr="00E6416F" w:rsidRDefault="00E80C1B" w:rsidP="00E80C1B">
      <w:pPr>
        <w:widowControl/>
        <w:spacing w:after="240"/>
        <w:ind w:left="567" w:hanging="567"/>
        <w:rPr>
          <w:szCs w:val="24"/>
        </w:rPr>
      </w:pPr>
      <w:r w:rsidRPr="00E6416F">
        <w:t>B.</w:t>
      </w:r>
      <w:r w:rsidRPr="00E6416F">
        <w:tab/>
        <w:t>Revisionsrätten har i sin rapport om centrumets årsredovisning för budgetåret 2022 förklarat att man har uppnått en rimlig säkerhet om att centrumets räkenskaper är tillförlitliga och att de underliggande transaktionerna är lagliga och korrekta. Revisionsrätten granskade fyra bidragsöverenskommelser till ett totalt värde av 7,9 miljoner EUR och upptäckte att tre av dem inkluderade moms till ett värde av 0,6 miljoner EUR (8,1 %) bland de stödberättigande kostnaderna. Stödmottagarna bedrev verksamhet i sin egenskap av offentliga myndigheter, och momsen är därför ingen stödberättigande kostnad enligt artikel 186.4 andra stycket led c i budgetförordningen. Det uppskattade totalbeloppet för utgifter som inte följer regelverket baserat på momssatsen och momsbeloppet i det ovannämnda urvalet utgör 2,8 % av de totala tillgängliga betalningsbemyndigandena 2022, vilket överskrider den väsentlighetsgräns som fastställts för revisionen och resulterade följaktligen i ett uttalande med reservation om lagligheten och korrektheten i de betalningar som ligger till grund för centrumets räkenskaper. Med undantag för det som förklarats ovan drar revisionsrätten slutsatsen att de underliggande transaktionerna när det gäller betalningar för det budgetår som slutade den 31 december 2022 i alla väsentliga avseenden är lagliga och korrekta.</w:t>
      </w:r>
    </w:p>
    <w:p w:rsidR="00E80C1B" w:rsidRPr="00E6416F" w:rsidRDefault="00E80C1B" w:rsidP="00E80C1B">
      <w:pPr>
        <w:widowControl/>
        <w:spacing w:after="240"/>
        <w:ind w:left="567" w:hanging="567"/>
        <w:rPr>
          <w:szCs w:val="24"/>
        </w:rPr>
      </w:pPr>
      <w:r w:rsidRPr="00E6416F">
        <w:t>C.</w:t>
      </w:r>
      <w:r w:rsidRPr="00E6416F">
        <w:tab/>
        <w:t>När det gäller centrumets upphandlingssektor rapporterades inga problem som krävde korrigerande åtgärder för 2022, och det finns inte heller några pågående eller ej genomförda korrigerande åtgärder från tidigare års revisioner och bedömningar.</w:t>
      </w:r>
    </w:p>
    <w:p w:rsidR="00E80C1B" w:rsidRPr="00E6416F" w:rsidRDefault="00E80C1B" w:rsidP="00E80C1B">
      <w:pPr>
        <w:pStyle w:val="ListParagraph"/>
        <w:spacing w:after="240"/>
        <w:ind w:left="567" w:hanging="567"/>
        <w:contextualSpacing w:val="0"/>
        <w:jc w:val="left"/>
        <w:rPr>
          <w:rFonts w:eastAsia="Times New Roman"/>
          <w:b/>
          <w:i/>
        </w:rPr>
      </w:pPr>
      <w:r w:rsidRPr="00E6416F">
        <w:rPr>
          <w:b/>
          <w:i/>
        </w:rPr>
        <w:t>Budgetförvaltning och ekonomisk förvaltning</w:t>
      </w:r>
    </w:p>
    <w:p w:rsidR="00E80C1B" w:rsidRPr="00E6416F" w:rsidRDefault="00E80C1B" w:rsidP="00E80C1B">
      <w:pPr>
        <w:pStyle w:val="ListParagraph"/>
        <w:spacing w:after="240"/>
        <w:ind w:left="567" w:hanging="567"/>
        <w:contextualSpacing w:val="0"/>
        <w:jc w:val="left"/>
      </w:pPr>
      <w:r w:rsidRPr="00E6416F">
        <w:lastRenderedPageBreak/>
        <w:t>1.</w:t>
      </w:r>
      <w:r w:rsidRPr="00E6416F">
        <w:tab/>
        <w:t>Europaparlamentet noterar med tillfredsställelse att insatserna för budgetövervakning under budgetåret 2022 resulterade i en budgetgenomförandegrad av åtagandebemyndigandena för det innevarande året på 98,86 %, vilket innebär en ökning med 0,49 % jämfört med 2021. Parlamentet noterar att genomförandegraden för det innevarande årets betalningsbemyndiganden var 73,61 %, vilket innebär en ökning med 9,53 % jämfört med det föregående året.</w:t>
      </w:r>
    </w:p>
    <w:p w:rsidR="00E80C1B" w:rsidRPr="00E6416F" w:rsidRDefault="00E80C1B" w:rsidP="00E80C1B">
      <w:pPr>
        <w:pStyle w:val="NormalHanging12a"/>
      </w:pPr>
      <w:r w:rsidRPr="00E6416F">
        <w:t>2.</w:t>
      </w:r>
      <w:r w:rsidRPr="00E6416F">
        <w:tab/>
        <w:t>Parlamentet uppmanar kommissionen att bevilja centrumet de resurser som krävs för att uppfylla målen i strategin för 2021–2027 och genomföra centrumets reviderade mand</w:t>
      </w:r>
      <w:r w:rsidR="00672366">
        <w:t xml:space="preserve">at i enlighet med förordning (EU) </w:t>
      </w:r>
      <w:bookmarkStart w:id="8" w:name="_GoBack"/>
      <w:bookmarkEnd w:id="8"/>
      <w:r w:rsidRPr="00E6416F">
        <w:t>2022/2370</w:t>
      </w:r>
      <w:r w:rsidRPr="00E6416F">
        <w:rPr>
          <w:rStyle w:val="FootnoteReference"/>
        </w:rPr>
        <w:footnoteReference w:id="12"/>
      </w:r>
      <w:r w:rsidRPr="00E6416F">
        <w:t>.</w:t>
      </w:r>
    </w:p>
    <w:p w:rsidR="00E80C1B" w:rsidRPr="00E6416F" w:rsidRDefault="00E80C1B" w:rsidP="00E80C1B">
      <w:pPr>
        <w:widowControl/>
        <w:spacing w:after="240"/>
        <w:ind w:left="567" w:hanging="567"/>
        <w:rPr>
          <w:i/>
          <w:szCs w:val="24"/>
        </w:rPr>
      </w:pPr>
      <w:r w:rsidRPr="00E6416F">
        <w:rPr>
          <w:b/>
          <w:i/>
        </w:rPr>
        <w:t>Verksamhetsresultat</w:t>
      </w:r>
    </w:p>
    <w:p w:rsidR="00E80C1B" w:rsidRPr="00E6416F" w:rsidRDefault="00E80C1B" w:rsidP="00E80C1B">
      <w:pPr>
        <w:pStyle w:val="NormalHanging12a"/>
      </w:pPr>
      <w:r w:rsidRPr="00E6416F">
        <w:t>3.</w:t>
      </w:r>
      <w:r w:rsidRPr="00E6416F">
        <w:tab/>
        <w:t>Europaparlamentet påminner om att uppdraget för centrumet är att identifiera, bedöma och informera om befintliga och nya hot mot människors hälsa till följd av infektionssjukdomar, och centrumet arbetar inom följande sex områden: övervakning, utbrottsberedskap och insatser vid utbrott, vetenskaplig rådgivning, mikrobiologisk övervakning, folkhälsoutbildning och kommunikation.</w:t>
      </w:r>
    </w:p>
    <w:p w:rsidR="00E80C1B" w:rsidRPr="00E6416F" w:rsidRDefault="00E80C1B" w:rsidP="00E80C1B">
      <w:pPr>
        <w:pStyle w:val="NormalHanging12a"/>
      </w:pPr>
      <w:r w:rsidRPr="00E6416F">
        <w:t>4.</w:t>
      </w:r>
      <w:r w:rsidRPr="00E6416F">
        <w:tab/>
        <w:t>Europaparlamentet noterar att centrumet uppnådde 89 % av de resultat som planerats i dess samlade programdokument för 2022–2024. Parlamentet noterar att 8 % av de planerade resultaten sköts upp, medan 3 % försenades eller ställdes in i slutet av året. Parlamentet noterar att merparten av de resultat som sköts upp eller försenades var beroende av antagandet och offentliggörandet av centrumets reviderade mandat, som ägde rum i november 2022. Parlamentet uppmanar centrumet att analysera de försenade resultaten och rapportera tillbaka till den ansvarsfrihetsbeviljande myndigheten om sina planer att leverera dem.</w:t>
      </w:r>
    </w:p>
    <w:p w:rsidR="00E80C1B" w:rsidRPr="00E6416F" w:rsidRDefault="00E80C1B" w:rsidP="00E80C1B">
      <w:pPr>
        <w:pStyle w:val="NormalHanging12a"/>
      </w:pPr>
      <w:r w:rsidRPr="00E6416F">
        <w:t>5.</w:t>
      </w:r>
      <w:r w:rsidRPr="00E6416F">
        <w:tab/>
        <w:t>Europaparlamentet noterar att centrumet under hela 2022, för tredje året i rad, upprätthöll sin plan för hot mot folkhälsan (PHE) som svar på den fortsatta covid-19-pandemin. Parlamentet noterar att PHE-nivån i juni gradvis nedgraderades från nivå 2 (akut fas) till nivå 1 (upprätthållandefas). Parlamentet anser att centrumet agerade snabbt och effektivt genom hela pandemiperioden. Parlamentet anser att centrumet skulle kunna ha en större roll i utformningen av den europeiska krishanteringsagendan för framtiden.</w:t>
      </w:r>
    </w:p>
    <w:p w:rsidR="00E80C1B" w:rsidRPr="00E6416F" w:rsidRDefault="00E80C1B" w:rsidP="00E80C1B">
      <w:pPr>
        <w:widowControl/>
        <w:spacing w:after="240"/>
        <w:ind w:left="567" w:hanging="567"/>
        <w:rPr>
          <w:szCs w:val="24"/>
        </w:rPr>
      </w:pPr>
      <w:r w:rsidRPr="00E6416F">
        <w:t>6.</w:t>
      </w:r>
      <w:r w:rsidRPr="00E6416F">
        <w:tab/>
        <w:t>Europaparlamentet noterar att centrumet, efter Rysslands angrepp mot Ukraina och tillströmningen av flyktingar från landet, samarbetade med myndigheterna i de fem länder som omger Ukraina och tillhandahöll tekniska och operativa insatser inom ramen för sitt uppdrag, på grundval av identifierade behov. Parlamentet noterar att fokus under andra halvåret skiftade från operativa insatser till strategiska insatser på medellång/lång sikt, och centrumets experter utstationerades till Polen och Rumänien till stöd för nationella myndigheter och Världshälsoorganisationen i deras bistånd till ukrainska flyktinggrupper.</w:t>
      </w:r>
    </w:p>
    <w:p w:rsidR="00E80C1B" w:rsidRPr="00E6416F" w:rsidRDefault="00E80C1B" w:rsidP="00E80C1B">
      <w:pPr>
        <w:widowControl/>
        <w:spacing w:after="240"/>
        <w:ind w:left="567" w:hanging="567"/>
        <w:rPr>
          <w:szCs w:val="24"/>
        </w:rPr>
      </w:pPr>
      <w:r w:rsidRPr="00E6416F">
        <w:t>7.</w:t>
      </w:r>
      <w:r w:rsidRPr="00E6416F">
        <w:tab/>
        <w:t xml:space="preserve">Europaparlamentet observerar att centrumet under våren och sommaren 2022 samtidigt stödde tre pågående planer för hot mot folkhälsan, nämligen covid-19, </w:t>
      </w:r>
      <w:proofErr w:type="spellStart"/>
      <w:r w:rsidRPr="00E6416F">
        <w:t>apkoppor</w:t>
      </w:r>
      <w:proofErr w:type="spellEnd"/>
      <w:r w:rsidRPr="00E6416F">
        <w:t xml:space="preserve"> och </w:t>
      </w:r>
      <w:r w:rsidRPr="00E6416F">
        <w:lastRenderedPageBreak/>
        <w:t>hepatit av okänt ursprung hos barn. Parlamentet noterar med tillfredsställelse att denna erfarenhet var unik för centrumet och testade gränserna för centrumets förmåga att utarbeta riskbedömningar och vägledning för flera hälsohot.</w:t>
      </w:r>
    </w:p>
    <w:p w:rsidR="00E80C1B" w:rsidRPr="00E6416F" w:rsidRDefault="00E80C1B" w:rsidP="00E80C1B">
      <w:pPr>
        <w:pStyle w:val="NormalHanging12a"/>
      </w:pPr>
      <w:r w:rsidRPr="00E6416F">
        <w:t>8.</w:t>
      </w:r>
      <w:r w:rsidRPr="00E6416F">
        <w:tab/>
        <w:t xml:space="preserve">Europaparlamentet välkomnar centrumets praktiska former för genomförandet av sitt förstärkta mandat, som trädde i kraft i december 2022, samt omvandlingsprogrammet </w:t>
      </w:r>
      <w:proofErr w:type="spellStart"/>
      <w:r w:rsidRPr="00E6416F">
        <w:t>Aspire</w:t>
      </w:r>
      <w:proofErr w:type="spellEnd"/>
      <w:r w:rsidRPr="00E6416F">
        <w:t xml:space="preserve"> (</w:t>
      </w:r>
      <w:proofErr w:type="spellStart"/>
      <w:r w:rsidRPr="00E6416F">
        <w:rPr>
          <w:i/>
          <w:iCs/>
        </w:rPr>
        <w:t>Anticipate</w:t>
      </w:r>
      <w:proofErr w:type="spellEnd"/>
      <w:r w:rsidRPr="00E6416F">
        <w:rPr>
          <w:i/>
          <w:iCs/>
        </w:rPr>
        <w:t xml:space="preserve">, Support, </w:t>
      </w:r>
      <w:proofErr w:type="spellStart"/>
      <w:r w:rsidRPr="00E6416F">
        <w:rPr>
          <w:i/>
          <w:iCs/>
        </w:rPr>
        <w:t>Prepare</w:t>
      </w:r>
      <w:proofErr w:type="spellEnd"/>
      <w:r w:rsidRPr="00E6416F">
        <w:rPr>
          <w:i/>
          <w:iCs/>
        </w:rPr>
        <w:t xml:space="preserve">, </w:t>
      </w:r>
      <w:proofErr w:type="spellStart"/>
      <w:r w:rsidRPr="00E6416F">
        <w:rPr>
          <w:i/>
          <w:iCs/>
        </w:rPr>
        <w:t>Inform</w:t>
      </w:r>
      <w:proofErr w:type="spellEnd"/>
      <w:r w:rsidRPr="00E6416F">
        <w:rPr>
          <w:i/>
          <w:iCs/>
        </w:rPr>
        <w:t xml:space="preserve">, </w:t>
      </w:r>
      <w:proofErr w:type="spellStart"/>
      <w:r w:rsidRPr="00E6416F">
        <w:rPr>
          <w:i/>
          <w:iCs/>
        </w:rPr>
        <w:t>Respond</w:t>
      </w:r>
      <w:proofErr w:type="spellEnd"/>
      <w:r w:rsidRPr="00E6416F">
        <w:rPr>
          <w:i/>
          <w:iCs/>
        </w:rPr>
        <w:t xml:space="preserve"> and </w:t>
      </w:r>
      <w:proofErr w:type="spellStart"/>
      <w:r w:rsidRPr="00E6416F">
        <w:rPr>
          <w:i/>
          <w:iCs/>
        </w:rPr>
        <w:t>Empower</w:t>
      </w:r>
      <w:proofErr w:type="spellEnd"/>
      <w:r w:rsidRPr="00E6416F">
        <w:t>) som utvecklats för att stödja genomförandet.</w:t>
      </w:r>
    </w:p>
    <w:p w:rsidR="00E80C1B" w:rsidRPr="00E6416F" w:rsidRDefault="00E80C1B" w:rsidP="00E80C1B">
      <w:pPr>
        <w:pStyle w:val="NormalHanging12a"/>
        <w:widowControl/>
        <w:rPr>
          <w:b/>
          <w:i/>
        </w:rPr>
      </w:pPr>
      <w:r w:rsidRPr="00E6416F">
        <w:rPr>
          <w:b/>
          <w:i/>
        </w:rPr>
        <w:t>Effektivitet och förbättringar</w:t>
      </w:r>
    </w:p>
    <w:p w:rsidR="00E80C1B" w:rsidRPr="00E6416F" w:rsidRDefault="00E80C1B" w:rsidP="00E80C1B">
      <w:pPr>
        <w:pStyle w:val="NormalHanging12a"/>
      </w:pPr>
      <w:r w:rsidRPr="00E6416F">
        <w:t>9.</w:t>
      </w:r>
      <w:r w:rsidRPr="00E6416F">
        <w:tab/>
        <w:t xml:space="preserve">Europaparlamentet påminner om vikten av att öka digitaliseringen av centrumet när det gäller den interna driften och förvaltningen och att också påskynda digitaliseringen av förfarandena. Parlamentet betonar att centrumet måste fortsätta att vara proaktivt i detta avseende för att undvika en digital klyfta mellan byråerna. Parlamentet uppmärksammar dock behovet av att vidta alla nödvändiga säkerhetsåtgärder för att undvika att den behandlade informationens online-säkerhet äventyras, och att insistera på </w:t>
      </w:r>
      <w:r w:rsidR="00F24413" w:rsidRPr="00E6416F">
        <w:t xml:space="preserve">behovet </w:t>
      </w:r>
      <w:r w:rsidRPr="00E6416F">
        <w:t>att det vidtas ytterligare åtgärder mot cyberattacker eller infiltreringsförsök som särskilt härrör från Ryssland eller Kina.</w:t>
      </w:r>
    </w:p>
    <w:p w:rsidR="00E80C1B" w:rsidRPr="00E6416F" w:rsidRDefault="00E80C1B" w:rsidP="00E80C1B">
      <w:pPr>
        <w:pStyle w:val="NormalHanging12a"/>
        <w:widowControl/>
      </w:pPr>
      <w:r w:rsidRPr="00E6416F">
        <w:t>10.</w:t>
      </w:r>
      <w:r w:rsidRPr="00E6416F">
        <w:tab/>
        <w:t>Europaparlamentet välkomnar att centrumet fortsatte sina ansträngningar för att uppnå effektivitetsvinster genom att införa nya metoder, bland annat automatisering av stödprocesser och operativa processer. Parlamentet noterar att fyra nya administrativa processer automatiserades genom elektroniska arbetsflöden under året, och att en ny kostnadseffektiv lösning för plattformen för elektroniska arbetsflöden också infördes för att ersätta K2. Parlamentet noterar att en övergripande analys av användningen av de elektroniska arbetsflödena redan visar att ett betydande antal användare har börjat använda sig av dem och att de avsevärt har förkortat handläggningstiden på grund av att onödiga steg har avskaffats samtidigt som man ser till att regelverket efterlevs.</w:t>
      </w:r>
    </w:p>
    <w:p w:rsidR="00E80C1B" w:rsidRPr="00E6416F" w:rsidRDefault="00E80C1B" w:rsidP="00E80C1B">
      <w:pPr>
        <w:widowControl/>
        <w:spacing w:after="240"/>
        <w:ind w:left="567" w:hanging="567"/>
        <w:rPr>
          <w:b/>
          <w:i/>
          <w:szCs w:val="24"/>
        </w:rPr>
      </w:pPr>
      <w:r w:rsidRPr="00E6416F">
        <w:rPr>
          <w:b/>
          <w:i/>
        </w:rPr>
        <w:t>Personalpolitik</w:t>
      </w:r>
    </w:p>
    <w:p w:rsidR="00E80C1B" w:rsidRPr="00E6416F" w:rsidRDefault="00E80C1B" w:rsidP="00E80C1B">
      <w:pPr>
        <w:widowControl/>
        <w:spacing w:after="240"/>
        <w:ind w:left="567" w:hanging="567"/>
        <w:rPr>
          <w:szCs w:val="24"/>
        </w:rPr>
      </w:pPr>
      <w:r w:rsidRPr="00E6416F">
        <w:t>11.</w:t>
      </w:r>
      <w:r w:rsidRPr="00E6416F">
        <w:tab/>
        <w:t>Europaparlamentet noterar att det i tjänsteförteckningen den 31 december 2022 fanns 215 tjänster för tillfälligt anställda som fick tillsättas enligt unionsbudgeten (jämfört med 208 tillåtna tjänster 2021). Parlamentet noterar dessutom att 112 kontraktsanställda och fem utstationerade nationella experter arbetade vid centrumet under 2022.</w:t>
      </w:r>
    </w:p>
    <w:p w:rsidR="00E80C1B" w:rsidRPr="00E6416F" w:rsidRDefault="00E80C1B" w:rsidP="00E80C1B">
      <w:pPr>
        <w:pStyle w:val="NormalHanging12a"/>
      </w:pPr>
      <w:r w:rsidRPr="00E6416F">
        <w:t>12.</w:t>
      </w:r>
      <w:r w:rsidRPr="00E6416F">
        <w:tab/>
        <w:t>Europaparlamentet noterar med oro bristen på könsbalans inom centrumets högsta ledning, där fyra av sex personer (66,67 %) är män. Parlamentet noterar könsfördelningen bland centrumets totala personal, där 198 av 331 anställda (60 %) är kvinnor och 133 av 331 anställda (40 %) är män. Parlamentet välkomnar att centrumet nu håller på att anta stadgan om mångfald och inkludering och att den kommer att vara på plats senast under fjärde kvartalet 2023. Parlamentet påminner om vikten av att säkerställa könsbalans och uppmanar centrumet att ta hänsyn till denna aspekt i samband med framtida rekryteringar av personal och utnämningar på högre chefsnivå och mellanchefsnivå. Parlamentet uppmanar kommissionen och medlemsstaterna att beakta vikten av att säkerställa könsbalans när de nominerar sina ledamöter till centrumets styrelse.</w:t>
      </w:r>
    </w:p>
    <w:p w:rsidR="00E80C1B" w:rsidRPr="00E6416F" w:rsidRDefault="00E80C1B" w:rsidP="00E80C1B">
      <w:pPr>
        <w:pStyle w:val="NormalHanging12a"/>
      </w:pPr>
      <w:r w:rsidRPr="00E6416F">
        <w:t>13.</w:t>
      </w:r>
      <w:r w:rsidRPr="00E6416F">
        <w:tab/>
        <w:t xml:space="preserve">Europaparlamentet är bekymrat över den geografiska balansen när det gäller centrumets högre chefer och mellanchefer. Parlamentet uppmanar centrumet att rapportera tillbaka </w:t>
      </w:r>
      <w:r w:rsidRPr="00E6416F">
        <w:lastRenderedPageBreak/>
        <w:t>om detta till den ansvarsfrihetsbeviljande myndigheten.</w:t>
      </w:r>
    </w:p>
    <w:p w:rsidR="00E80C1B" w:rsidRPr="00E6416F" w:rsidRDefault="00E80C1B" w:rsidP="00E80C1B">
      <w:pPr>
        <w:pStyle w:val="NormalHanging12a"/>
      </w:pPr>
      <w:r w:rsidRPr="00E6416F">
        <w:t>14.</w:t>
      </w:r>
      <w:r w:rsidRPr="00E6416F">
        <w:tab/>
        <w:t xml:space="preserve">Europaparlamentet noterar att det första utkastet till personalstrategin </w:t>
      </w:r>
      <w:proofErr w:type="spellStart"/>
      <w:r w:rsidRPr="00E6416F">
        <w:rPr>
          <w:i/>
          <w:iCs/>
        </w:rPr>
        <w:t>People</w:t>
      </w:r>
      <w:proofErr w:type="spellEnd"/>
      <w:r w:rsidRPr="00E6416F">
        <w:rPr>
          <w:i/>
          <w:iCs/>
        </w:rPr>
        <w:t xml:space="preserve"> </w:t>
      </w:r>
      <w:proofErr w:type="spellStart"/>
      <w:r w:rsidRPr="00E6416F">
        <w:rPr>
          <w:i/>
          <w:iCs/>
        </w:rPr>
        <w:t>Strategy</w:t>
      </w:r>
      <w:proofErr w:type="spellEnd"/>
      <w:r w:rsidRPr="00E6416F">
        <w:t>, vars mål är att modernisera och konsolidera centrumets personalförvaltningstjänster, togs fram under 2022. Parlamentet noterar vidare att enskilda strategiprojekt, såsom e</w:t>
      </w:r>
      <w:r w:rsidRPr="00E6416F">
        <w:noBreakHyphen/>
        <w:t>rekryteringsverktyget och online-programmet för nyanställda, färdigställdes under 2022 och att andra är under utveckling. Centrumet uppmanas att rapportera till den ansvarsfrihetsbeviljande myndigheten om utvecklingen på detta område. Parlamentet noterar att centrumet ytterligare stärkte sitt stöd till personalens utbildning och fortbildning genom att öka möjligheterna till enskild utbildning och underlätta personalens tillgång till plattformar för e-lärande (</w:t>
      </w:r>
      <w:r w:rsidRPr="00E6416F">
        <w:rPr>
          <w:i/>
          <w:iCs/>
        </w:rPr>
        <w:t xml:space="preserve">EU </w:t>
      </w:r>
      <w:proofErr w:type="spellStart"/>
      <w:r w:rsidRPr="00E6416F">
        <w:rPr>
          <w:i/>
          <w:iCs/>
        </w:rPr>
        <w:t>Learn</w:t>
      </w:r>
      <w:proofErr w:type="spellEnd"/>
      <w:r w:rsidRPr="00E6416F">
        <w:t xml:space="preserve">, </w:t>
      </w:r>
      <w:r w:rsidRPr="00E6416F">
        <w:rPr>
          <w:i/>
          <w:iCs/>
        </w:rPr>
        <w:t>LinkedIn Learning</w:t>
      </w:r>
      <w:r w:rsidRPr="00E6416F">
        <w:t xml:space="preserve"> och centrumets </w:t>
      </w:r>
      <w:proofErr w:type="spellStart"/>
      <w:r w:rsidRPr="00E6416F">
        <w:rPr>
          <w:i/>
          <w:iCs/>
        </w:rPr>
        <w:t>Virtual</w:t>
      </w:r>
      <w:proofErr w:type="spellEnd"/>
      <w:r w:rsidRPr="00E6416F">
        <w:rPr>
          <w:i/>
          <w:iCs/>
        </w:rPr>
        <w:t xml:space="preserve"> Academy</w:t>
      </w:r>
      <w:r w:rsidRPr="00E6416F">
        <w:t>).</w:t>
      </w:r>
    </w:p>
    <w:p w:rsidR="00E80C1B" w:rsidRPr="00E6416F" w:rsidRDefault="00E80C1B" w:rsidP="00E80C1B">
      <w:pPr>
        <w:pStyle w:val="NormalHanging12a"/>
      </w:pPr>
      <w:r w:rsidRPr="00E6416F">
        <w:t>15.</w:t>
      </w:r>
      <w:r w:rsidRPr="00E6416F">
        <w:tab/>
        <w:t>Europaparlamentet noterar att centrumet har en policy för skydd av individens värdighet och förebyggande av psykiska och sexuella trakasserier, och att centrumet ingår i arbetsgruppen för konfidentiella rådgivare mellan byråerna. Parlamentet ser fram emot deras rapport och rekommendationer. Parlamentet noterar att inga fall av trakasserier rapporterades under 2022 och uppmuntrar centrumet att vidareutveckla arbetet för att förebygga fall även i framtiden.</w:t>
      </w:r>
    </w:p>
    <w:p w:rsidR="00E80C1B" w:rsidRPr="00E6416F" w:rsidRDefault="00E80C1B" w:rsidP="00E80C1B">
      <w:pPr>
        <w:pStyle w:val="NormalHanging12a"/>
      </w:pPr>
      <w:r w:rsidRPr="00E6416F">
        <w:t>16.</w:t>
      </w:r>
      <w:r w:rsidRPr="00E6416F">
        <w:tab/>
        <w:t>Europaparlamentet noterar att de ytterligare tjänster som tilldelats centrumet till följd av förlängningen av dess mandat har tillsatts under 2022. Parlamentet understryker att detta tillägg av nya uppgifter och dess ökade arbetsbörda måste åtföljas av lämpliga ökningar av centrumets personal och resurser, och att personalbrist sätter betydande press på kontinuiteten i dess verksamhet och hotar kvaliteten på centrumets arbete.</w:t>
      </w:r>
    </w:p>
    <w:p w:rsidR="00E80C1B" w:rsidRPr="00E6416F" w:rsidRDefault="00E80C1B" w:rsidP="00E80C1B">
      <w:pPr>
        <w:pStyle w:val="NormalHanging12a"/>
      </w:pPr>
      <w:r w:rsidRPr="00E6416F">
        <w:t>17.</w:t>
      </w:r>
      <w:r w:rsidRPr="00E6416F">
        <w:tab/>
        <w:t>Europaparlamentet noterar med oro det överlappande mandatet mellan centrumet och Hera och vill se en minskning av dubbelarbetet mellan de två enheterna och en tydlig uppgiftsfördelning.</w:t>
      </w:r>
    </w:p>
    <w:p w:rsidR="00E80C1B" w:rsidRPr="00E6416F" w:rsidRDefault="00E80C1B" w:rsidP="00E80C1B">
      <w:pPr>
        <w:widowControl/>
        <w:spacing w:after="240"/>
        <w:ind w:left="567" w:hanging="567"/>
        <w:rPr>
          <w:b/>
          <w:i/>
          <w:szCs w:val="24"/>
        </w:rPr>
      </w:pPr>
      <w:r w:rsidRPr="00E6416F">
        <w:rPr>
          <w:b/>
          <w:i/>
        </w:rPr>
        <w:t>Förebyggande och hantering av intressekonflikter samt transparens</w:t>
      </w:r>
    </w:p>
    <w:p w:rsidR="00E80C1B" w:rsidRPr="00E6416F" w:rsidRDefault="00E80C1B" w:rsidP="00E80C1B">
      <w:pPr>
        <w:widowControl/>
        <w:spacing w:after="240"/>
        <w:ind w:left="567" w:hanging="567"/>
        <w:rPr>
          <w:szCs w:val="24"/>
        </w:rPr>
      </w:pPr>
      <w:r w:rsidRPr="00E6416F">
        <w:t>18.</w:t>
      </w:r>
      <w:r w:rsidRPr="00E6416F">
        <w:tab/>
        <w:t>Europaparlamentet noterar att centrumet fortsatte att tillämpa och stärka sin policy för oberoende för icke-anställda och anställda. Parlamentet observerar att centrumet under 2022 saknade en liten procentandel intresseförklaringar. Parlamentet noterar vidare att alla externa experter som rådfrågades under utarbetandet av snabba riskbedömningar deklarerade sina intressen före offentliggörandet. Parlamentet noterar att alla styrelseledamöter och medlemmar i den rådgivande gruppen som deltog i mötena och därmed bidrog till diskussionerna hade giltiga årliga intresseförklaringar och att direktören och enhetscheferna hade fyllt i sina årliga intresseförklaringar samt att 99 % av de externa experter som deltog i de av centrumets möten där en kontroll av intressekonflikter krävdes hade lämnade in en årlig intresseförklaring.</w:t>
      </w:r>
    </w:p>
    <w:p w:rsidR="00E80C1B" w:rsidRPr="00E6416F" w:rsidRDefault="00E80C1B" w:rsidP="00E80C1B">
      <w:pPr>
        <w:pStyle w:val="NormalHanging12a"/>
      </w:pPr>
      <w:r w:rsidRPr="00E6416F">
        <w:t>19.</w:t>
      </w:r>
      <w:r w:rsidRPr="00E6416F">
        <w:tab/>
        <w:t>Parlamentet uppmanar centrumet att se till att alla styrelseledamöter, medlemmar i rådgivande forum och deras suppleanter vederbörligen har lämnat in de erforderliga årliga intresseförklaringarna. Parlamentet uppmanar centrumet att se till att lämpliga experter involveras i dess arbete inom ramen för all verksamhet och att en hög efterlevnadsnivå i fråga om bestämmelserna om intressekonflikter upprätthålls.</w:t>
      </w:r>
    </w:p>
    <w:p w:rsidR="00E80C1B" w:rsidRPr="00E6416F" w:rsidRDefault="00E80C1B" w:rsidP="00E80C1B">
      <w:pPr>
        <w:widowControl/>
        <w:spacing w:after="240"/>
        <w:ind w:left="567" w:hanging="567"/>
        <w:rPr>
          <w:szCs w:val="24"/>
        </w:rPr>
      </w:pPr>
      <w:r w:rsidRPr="00E6416F">
        <w:t>20.</w:t>
      </w:r>
      <w:r w:rsidRPr="00E6416F">
        <w:tab/>
        <w:t xml:space="preserve">Europaparlamentet noterar att centrumets policy om oberoende för personer som inte ingår i personalen föreskriver det förfarande som ska följas för att identifiera och </w:t>
      </w:r>
      <w:r w:rsidRPr="00E6416F">
        <w:lastRenderedPageBreak/>
        <w:t>undvika potentiella intressekonflikter. Parlamentet noterar att detta sammanfattningsvis innebär insamling av intresseförklaringar under särskilda omständigheter, t.ex. när ett vetenskapligt resultat ska produceras, som sedan bedöms av centrumets personal med ansvar för verksamheten i fråga, med stöd av centrumets regelefterlevnadsansvarige. Parlamentet noterar att inga faktiska intressekonflikter rapporterades under 2022.</w:t>
      </w:r>
    </w:p>
    <w:p w:rsidR="00E80C1B" w:rsidRPr="00E6416F" w:rsidRDefault="00E80C1B" w:rsidP="00E80C1B">
      <w:pPr>
        <w:widowControl/>
        <w:spacing w:after="240"/>
        <w:ind w:left="567" w:hanging="567"/>
        <w:rPr>
          <w:szCs w:val="24"/>
        </w:rPr>
      </w:pPr>
      <w:r w:rsidRPr="00E6416F">
        <w:t>21.</w:t>
      </w:r>
      <w:r w:rsidRPr="00E6416F">
        <w:tab/>
        <w:t>Europaparlamentet noterar att det interna förfarandet för centrumets möten med kommersiella organisationer som är verksamma inom ramen för centrumets mandat utvecklades 2022 och formellt genomfördes i januari 2023. Parlamentet noterar vidare att centrumet dock inte höll några sådana möten under 2022.</w:t>
      </w:r>
    </w:p>
    <w:p w:rsidR="00E80C1B" w:rsidRPr="00E6416F" w:rsidRDefault="00E80C1B" w:rsidP="00E80C1B">
      <w:pPr>
        <w:widowControl/>
        <w:spacing w:after="240"/>
        <w:ind w:left="567" w:hanging="567"/>
      </w:pPr>
      <w:r w:rsidRPr="00E6416F">
        <w:t>22.</w:t>
      </w:r>
      <w:r w:rsidRPr="00E6416F">
        <w:tab/>
        <w:t>Europaparlamentet värdesätter den synlighet som centrumet utvecklat under pandemin. Parlamentet anser att det fortfarande finns utrymme för större synlighet i medier, på internet och på sociala medier för att göra medborgarna medvetna om dess arbete.</w:t>
      </w:r>
    </w:p>
    <w:p w:rsidR="00E80C1B" w:rsidRPr="00E6416F" w:rsidRDefault="00E80C1B" w:rsidP="00E80C1B">
      <w:pPr>
        <w:pStyle w:val="NormalHanging12a"/>
      </w:pPr>
      <w:r w:rsidRPr="00E6416F">
        <w:t>23.</w:t>
      </w:r>
      <w:r w:rsidRPr="00E6416F">
        <w:tab/>
        <w:t>Europaparlamentet uppmanar centrumet att säkerställa fullständig transparens när det gäller offentliggörandet av vetenskapliga studier och att stärka sin kapacitet när det gäller kommunikationen med allmänheten genom att se till att all central information, särskilt om folkhälsohot, finns tillgänglig på alla unionens språk och är lättåtkomlig och lättbegriplig för unionsmedborgarna.</w:t>
      </w:r>
    </w:p>
    <w:p w:rsidR="00E80C1B" w:rsidRPr="00E6416F" w:rsidRDefault="00E80C1B" w:rsidP="00E80C1B">
      <w:pPr>
        <w:widowControl/>
        <w:spacing w:after="240"/>
        <w:ind w:left="567" w:hanging="567"/>
        <w:rPr>
          <w:b/>
          <w:i/>
          <w:szCs w:val="24"/>
        </w:rPr>
      </w:pPr>
      <w:r w:rsidRPr="00E6416F">
        <w:rPr>
          <w:b/>
          <w:i/>
        </w:rPr>
        <w:t>Internkontroll</w:t>
      </w:r>
    </w:p>
    <w:p w:rsidR="00E80C1B" w:rsidRPr="00E6416F" w:rsidRDefault="00E80C1B" w:rsidP="00E80C1B">
      <w:pPr>
        <w:widowControl/>
        <w:spacing w:after="240"/>
        <w:ind w:left="567" w:hanging="567"/>
        <w:rPr>
          <w:szCs w:val="24"/>
        </w:rPr>
      </w:pPr>
      <w:r w:rsidRPr="00E6416F">
        <w:t>24.</w:t>
      </w:r>
      <w:r w:rsidRPr="00E6416F">
        <w:tab/>
        <w:t>Europaparlamentet framhåller revisionsrättens uttalande med reservation om lagligheten och korrektheten i betalningar till följd av inkluderandet av moms som en stödberättigande utgift i bidragsöverenskommelser vars stödmottagare bedriver verksamhet i egenskap av offentliga myndigheter, vilket motsvarar 2,8 % av de tillgängliga betalningsbemyndigandena under 2022. Parlamentet påminner om att när centrumet förvaltar bidrag bör det säkerställa att tillämpliga regler följs, särskilt när det gäller momsersättning till stödmottagare som är offentliga myndigheter.</w:t>
      </w:r>
    </w:p>
    <w:p w:rsidR="00E80C1B" w:rsidRPr="00E6416F" w:rsidRDefault="00E80C1B" w:rsidP="00E80C1B">
      <w:pPr>
        <w:widowControl/>
        <w:spacing w:after="240"/>
        <w:ind w:left="567" w:hanging="567"/>
        <w:rPr>
          <w:szCs w:val="24"/>
        </w:rPr>
      </w:pPr>
      <w:r w:rsidRPr="00E6416F">
        <w:t>25.</w:t>
      </w:r>
      <w:r w:rsidRPr="00E6416F">
        <w:tab/>
        <w:t>Europaparlamentet noterar att centrumet minst en gång om året bedömer internkontrollsystemets ändamålsenlighet genom att bedöma genomförandet av ramen för intern kontroll, inbegripet genomförandet av de fastställda indikatorerna, och genom att utvärdera de huvudsakliga brister som identifierats av centrumet självt eller som rapporterats av andra, däribland tjänsten för internrevision och Europeiska revisionsrätten. Parlamentet noterar vidare att det under 2022 gjordes ett antal förbättringar av ramen för intern kontroll, såsom en förbättrad kontrollstrategi, inbegripet nya indikatorer, en förbättrad katalog över informationstillgångar och utveckling av en ny intern kommunikationspolicy.</w:t>
      </w:r>
    </w:p>
    <w:p w:rsidR="00E80C1B" w:rsidRPr="00E6416F" w:rsidRDefault="00E80C1B" w:rsidP="00E80C1B">
      <w:pPr>
        <w:widowControl/>
        <w:spacing w:after="240"/>
        <w:ind w:left="567" w:hanging="567"/>
        <w:rPr>
          <w:b/>
          <w:i/>
          <w:szCs w:val="24"/>
        </w:rPr>
      </w:pPr>
      <w:r w:rsidRPr="00E6416F">
        <w:rPr>
          <w:b/>
          <w:i/>
        </w:rPr>
        <w:t>Övriga kommentarer</w:t>
      </w:r>
    </w:p>
    <w:p w:rsidR="00E80C1B" w:rsidRPr="00E6416F" w:rsidRDefault="00E80C1B" w:rsidP="00E80C1B">
      <w:pPr>
        <w:widowControl/>
        <w:spacing w:after="240"/>
        <w:ind w:left="567" w:hanging="567"/>
        <w:rPr>
          <w:szCs w:val="24"/>
        </w:rPr>
      </w:pPr>
      <w:r w:rsidRPr="00E6416F">
        <w:t>26.</w:t>
      </w:r>
      <w:r w:rsidRPr="00E6416F">
        <w:tab/>
        <w:t>Europaparlamentet välkomnar att centrumet har som mål att bli Emas-certifierat under 2023 och har planer på att genomföra ett projekt för koldioxidkompensation (som ska inledas första kvartalet 2024) som kommer att innefatta åtgärder för att beräkna koldioxidpåverkan och hur den kan minimeras. Parlamentet noterar att specifika mål kommer att vara en del av genomförandet av Emas, som inleds under 2024.</w:t>
      </w:r>
    </w:p>
    <w:p w:rsidR="00E80C1B" w:rsidRPr="00E6416F" w:rsidRDefault="00E80C1B" w:rsidP="00E80C1B">
      <w:pPr>
        <w:pStyle w:val="NormalCenter12a"/>
        <w:widowControl/>
        <w:ind w:left="567" w:hanging="567"/>
        <w:jc w:val="left"/>
        <w:rPr>
          <w:bCs/>
          <w:szCs w:val="24"/>
        </w:rPr>
      </w:pPr>
      <w:r w:rsidRPr="00E6416F">
        <w:t>27.</w:t>
      </w:r>
      <w:r w:rsidRPr="00E6416F">
        <w:tab/>
        <w:t xml:space="preserve">Europaparlamentet lovordar att centrumet under 2022 mer och mer började använda elektroniska verktyg i upphandlingsprocessen. Parlamentet noterar att centrumet nu </w:t>
      </w:r>
      <w:r w:rsidRPr="00E6416F">
        <w:lastRenderedPageBreak/>
        <w:t xml:space="preserve">använder kommissionens verktyg för förvaltning av offentlig upphandling (PPMT) för registrering och offentliggörande av alla upphandlingsförfaranden, inklusive offentliggöranden i förväg. Parlamentet noterar att PPMT-systemet är kopplat till e-upphandlingsplattformen </w:t>
      </w:r>
      <w:proofErr w:type="spellStart"/>
      <w:r w:rsidRPr="00E6416F">
        <w:rPr>
          <w:i/>
          <w:iCs/>
        </w:rPr>
        <w:t>eTendering</w:t>
      </w:r>
      <w:proofErr w:type="spellEnd"/>
      <w:r w:rsidRPr="00E6416F">
        <w:t>, där offentliggörandet och frågor och svar under offentliggörandet hanteras. Parlamentet noterar vidare att centrumet också använder ett internt e-arbetsflöde för inköp inom ramavtal och för översynen före lansering.</w:t>
      </w:r>
    </w:p>
    <w:p w:rsidR="00E80C1B" w:rsidRPr="00E6416F" w:rsidRDefault="00E80C1B" w:rsidP="00E80C1B">
      <w:pPr>
        <w:pStyle w:val="NormalHanging12a"/>
      </w:pPr>
      <w:r w:rsidRPr="00E6416F">
        <w:t>28.</w:t>
      </w:r>
      <w:r w:rsidRPr="00E6416F">
        <w:tab/>
        <w:t>Europaparlamentet gläder sig över att intressenternas övergripande tillfredsställelse med ECDC:s arbete nådde 86 % under 2022.</w:t>
      </w:r>
    </w:p>
    <w:p w:rsidR="00E80C1B" w:rsidRPr="00E6416F" w:rsidRDefault="00E80C1B" w:rsidP="00E80C1B">
      <w:pPr>
        <w:pStyle w:val="NormalCenter12a"/>
        <w:rPr>
          <w:szCs w:val="24"/>
        </w:rPr>
      </w:pPr>
      <w:r w:rsidRPr="00E6416F">
        <w:t>°</w:t>
      </w:r>
    </w:p>
    <w:p w:rsidR="00E80C1B" w:rsidRPr="00E6416F" w:rsidRDefault="00E80C1B" w:rsidP="00E80C1B">
      <w:pPr>
        <w:pStyle w:val="NormalCenter12a"/>
        <w:rPr>
          <w:szCs w:val="24"/>
        </w:rPr>
      </w:pPr>
      <w:r w:rsidRPr="00E6416F">
        <w:t>°</w:t>
      </w:r>
      <w:r w:rsidRPr="00E6416F">
        <w:tab/>
        <w:t>°</w:t>
      </w:r>
    </w:p>
    <w:p w:rsidR="00E80C1B" w:rsidRPr="00E6416F" w:rsidRDefault="00E80C1B" w:rsidP="00E80C1B">
      <w:pPr>
        <w:pStyle w:val="NormalCenter12a"/>
        <w:widowControl/>
        <w:ind w:left="567" w:hanging="567"/>
        <w:jc w:val="left"/>
      </w:pPr>
      <w:r w:rsidRPr="00E6416F">
        <w:t>29.</w:t>
      </w:r>
      <w:r w:rsidRPr="00E6416F">
        <w:tab/>
        <w:t xml:space="preserve">När det gäller andra övergripande iakttagelser som utgör en del av beslutet om ansvarsfrihet hänvisar Europaparlamentet till sin resolution av den </w:t>
      </w:r>
      <w:r w:rsidR="008864B6" w:rsidRPr="00E6416F">
        <w:t>11 april 2024</w:t>
      </w:r>
      <w:r w:rsidRPr="00E6416F">
        <w:rPr>
          <w:vertAlign w:val="superscript"/>
        </w:rPr>
        <w:footnoteReference w:id="13"/>
      </w:r>
      <w:r w:rsidRPr="00E6416F">
        <w:t xml:space="preserve"> om byråernas verksamhetsresultat, ekonomiska förvaltning och kontroll.</w:t>
      </w:r>
    </w:p>
    <w:p w:rsidR="00E365E1" w:rsidRPr="00E6416F" w:rsidRDefault="00E365E1" w:rsidP="00EA02A3">
      <w:bookmarkStart w:id="9" w:name="TextBodyEnd"/>
      <w:bookmarkEnd w:id="9"/>
    </w:p>
    <w:sectPr w:rsidR="00E365E1" w:rsidRPr="00E6416F" w:rsidSect="008569E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2A3" w:rsidRPr="008569EA" w:rsidRDefault="00EA02A3">
      <w:r w:rsidRPr="008569EA">
        <w:separator/>
      </w:r>
    </w:p>
  </w:endnote>
  <w:endnote w:type="continuationSeparator" w:id="0">
    <w:p w:rsidR="00EA02A3" w:rsidRPr="008569EA" w:rsidRDefault="00EA02A3">
      <w:r w:rsidRPr="00856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rsidP="00897D14">
    <w:pPr>
      <w:pStyle w:val="EPFooter"/>
    </w:pPr>
    <w:r w:rsidRPr="008569EA">
      <w:t>PE</w:t>
    </w:r>
    <w:r w:rsidRPr="008569EA">
      <w:rPr>
        <w:rStyle w:val="HideTWBExt"/>
      </w:rPr>
      <w:t>&lt;NoPE&gt;</w:t>
    </w:r>
    <w:r w:rsidRPr="008569EA">
      <w:t>753.515</w:t>
    </w:r>
    <w:r w:rsidRPr="008569EA">
      <w:rPr>
        <w:rStyle w:val="HideTWBExt"/>
      </w:rPr>
      <w:t>&lt;/NoPE&gt;&lt;Version&gt;</w:t>
    </w:r>
    <w:r w:rsidRPr="008569EA">
      <w:t>v02-00</w:t>
    </w:r>
    <w:r w:rsidRPr="008569EA">
      <w:rPr>
        <w:rStyle w:val="HideTWBExt"/>
      </w:rPr>
      <w:t>&lt;/Version&gt;</w:t>
    </w:r>
    <w:r w:rsidRPr="008569EA">
      <w:tab/>
    </w:r>
    <w:r w:rsidRPr="008569EA">
      <w:fldChar w:fldCharType="begin"/>
    </w:r>
    <w:r w:rsidRPr="008569EA">
      <w:instrText xml:space="preserve"> PAGE  \* MERGEFORMAT </w:instrText>
    </w:r>
    <w:r w:rsidRPr="008569EA">
      <w:fldChar w:fldCharType="separate"/>
    </w:r>
    <w:r w:rsidR="008569EA" w:rsidRPr="008569EA">
      <w:rPr>
        <w:noProof/>
      </w:rPr>
      <w:t>2</w:t>
    </w:r>
    <w:r w:rsidRPr="008569EA">
      <w:fldChar w:fldCharType="end"/>
    </w:r>
    <w:r w:rsidRPr="008569EA">
      <w:t>/</w:t>
    </w:r>
    <w:fldSimple w:instr=" NUMPAGES  \* MERGEFORMAT ">
      <w:r w:rsidR="008569EA" w:rsidRPr="008569EA">
        <w:rPr>
          <w:noProof/>
        </w:rPr>
        <w:t>3</w:t>
      </w:r>
    </w:fldSimple>
    <w:r w:rsidRPr="008569EA">
      <w:tab/>
    </w:r>
    <w:r w:rsidRPr="008569EA">
      <w:rPr>
        <w:rStyle w:val="HideTWBExt"/>
      </w:rPr>
      <w:t>&lt;PathFdR&gt;</w:t>
    </w:r>
    <w:r w:rsidRPr="008569EA">
      <w:t>RR\1298834SV.docx</w:t>
    </w:r>
    <w:r w:rsidRPr="008569EA">
      <w:rPr>
        <w:rStyle w:val="HideTWBExt"/>
      </w:rPr>
      <w:t>&lt;/PathFdR&gt;</w:t>
    </w:r>
  </w:p>
  <w:p w:rsidR="00E80C1B" w:rsidRPr="008569EA" w:rsidRDefault="00E80C1B" w:rsidP="00897D14">
    <w:pPr>
      <w:pStyle w:val="EPFooter2"/>
    </w:pPr>
    <w:r w:rsidRPr="008569EA">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rsidP="00897D1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rsidP="00897D14">
    <w:pPr>
      <w:pStyle w:val="EPFooter"/>
    </w:pPr>
    <w:r w:rsidRPr="008569EA">
      <w:rPr>
        <w:rStyle w:val="HideTWBExt"/>
      </w:rPr>
      <w:t>&lt;PathFdR&gt;</w:t>
    </w:r>
    <w:r w:rsidRPr="008569EA">
      <w:t>RR\1298834SV.docx</w:t>
    </w:r>
    <w:r w:rsidRPr="008569EA">
      <w:rPr>
        <w:rStyle w:val="HideTWBExt"/>
      </w:rPr>
      <w:t>&lt;/PathFdR&gt;</w:t>
    </w:r>
    <w:r w:rsidRPr="008569EA">
      <w:tab/>
    </w:r>
    <w:r w:rsidRPr="008569EA">
      <w:tab/>
      <w:t>PE</w:t>
    </w:r>
    <w:r w:rsidRPr="008569EA">
      <w:rPr>
        <w:rStyle w:val="HideTWBExt"/>
      </w:rPr>
      <w:t>&lt;NoPE&gt;</w:t>
    </w:r>
    <w:r w:rsidRPr="008569EA">
      <w:t>753.515</w:t>
    </w:r>
    <w:r w:rsidRPr="008569EA">
      <w:rPr>
        <w:rStyle w:val="HideTWBExt"/>
      </w:rPr>
      <w:t>&lt;/NoPE&gt;&lt;Version&gt;</w:t>
    </w:r>
    <w:r w:rsidRPr="008569EA">
      <w:t>v02-00</w:t>
    </w:r>
    <w:r w:rsidRPr="008569EA">
      <w:rPr>
        <w:rStyle w:val="HideTWBExt"/>
      </w:rPr>
      <w:t>&lt;/Version&gt;</w:t>
    </w:r>
  </w:p>
  <w:p w:rsidR="00E80C1B" w:rsidRPr="008569EA" w:rsidRDefault="00E80C1B" w:rsidP="00897D14">
    <w:pPr>
      <w:pStyle w:val="EPFooter2"/>
    </w:pPr>
    <w:r w:rsidRPr="008569EA">
      <w:t>SV</w:t>
    </w:r>
    <w:r w:rsidRPr="008569EA">
      <w:tab/>
    </w:r>
    <w:r w:rsidRPr="008569EA">
      <w:rPr>
        <w:b w:val="0"/>
        <w:i/>
        <w:color w:val="C0C0C0"/>
        <w:sz w:val="22"/>
      </w:rPr>
      <w:t>Förenade i mångfalden</w:t>
    </w:r>
    <w:r w:rsidRPr="008569EA">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2A3" w:rsidRPr="008569EA" w:rsidRDefault="00EA02A3">
      <w:r w:rsidRPr="008569EA">
        <w:separator/>
      </w:r>
    </w:p>
  </w:footnote>
  <w:footnote w:type="continuationSeparator" w:id="0">
    <w:p w:rsidR="00EA02A3" w:rsidRPr="008569EA" w:rsidRDefault="00EA02A3">
      <w:r w:rsidRPr="008569EA">
        <w:continuationSeparator/>
      </w:r>
    </w:p>
  </w:footnote>
  <w:footnote w:id="1">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C, C/2023/594, 27.10.2023.</w:t>
      </w:r>
    </w:p>
  </w:footnote>
  <w:footnote w:id="2">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C, C/2023/112, 12.10.2023.</w:t>
      </w:r>
    </w:p>
  </w:footnote>
  <w:footnote w:id="3">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193, 30.7.2018, s. 1.</w:t>
      </w:r>
    </w:p>
  </w:footnote>
  <w:footnote w:id="4">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142, 30.4.2004, s. 1.</w:t>
      </w:r>
    </w:p>
  </w:footnote>
  <w:footnote w:id="5">
    <w:p w:rsidR="00E80C1B" w:rsidRPr="00E6416F" w:rsidRDefault="00E80C1B" w:rsidP="008569EA">
      <w:pPr>
        <w:pStyle w:val="FootnoteText"/>
        <w:ind w:left="567" w:hanging="567"/>
        <w:rPr>
          <w:sz w:val="24"/>
          <w:szCs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122, 10.5.2019, s. 1.</w:t>
      </w:r>
    </w:p>
  </w:footnote>
  <w:footnote w:id="6">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C, C/2023/594, 27.10.2023.</w:t>
      </w:r>
    </w:p>
  </w:footnote>
  <w:footnote w:id="7">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C, C/2023/112, 12.10.2023.</w:t>
      </w:r>
    </w:p>
  </w:footnote>
  <w:footnote w:id="8">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193, 30.7.2018, s. 1.</w:t>
      </w:r>
    </w:p>
  </w:footnote>
  <w:footnote w:id="9">
    <w:p w:rsidR="00E80C1B" w:rsidRPr="00E6416F" w:rsidRDefault="00E80C1B" w:rsidP="008569EA">
      <w:pPr>
        <w:pStyle w:val="FootnoteText"/>
        <w:ind w:left="567" w:hanging="567"/>
        <w:rPr>
          <w:sz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142, 30.4.2004, s. 1.</w:t>
      </w:r>
    </w:p>
  </w:footnote>
  <w:footnote w:id="10">
    <w:p w:rsidR="00E80C1B" w:rsidRPr="00E6416F" w:rsidRDefault="00E80C1B" w:rsidP="008569EA">
      <w:pPr>
        <w:pStyle w:val="FootnoteText"/>
        <w:ind w:left="567" w:hanging="567"/>
        <w:rPr>
          <w:sz w:val="24"/>
          <w:szCs w:val="24"/>
        </w:rPr>
      </w:pPr>
      <w:r w:rsidRPr="00E6416F">
        <w:rPr>
          <w:rStyle w:val="FootnoteReference"/>
          <w:sz w:val="24"/>
          <w:lang w:val="sv-SE"/>
        </w:rPr>
        <w:footnoteRef/>
      </w:r>
      <w:r w:rsidR="008569EA" w:rsidRPr="00E6416F">
        <w:rPr>
          <w:sz w:val="24"/>
        </w:rPr>
        <w:t xml:space="preserve"> </w:t>
      </w:r>
      <w:r w:rsidR="008569EA" w:rsidRPr="00E6416F">
        <w:rPr>
          <w:sz w:val="24"/>
        </w:rPr>
        <w:tab/>
      </w:r>
      <w:r w:rsidRPr="00E6416F">
        <w:rPr>
          <w:sz w:val="24"/>
        </w:rPr>
        <w:t>EUT L 122, 10.5.2019, s. 1.</w:t>
      </w:r>
    </w:p>
  </w:footnote>
  <w:footnote w:id="11">
    <w:p w:rsidR="00E80C1B" w:rsidRPr="00E6416F" w:rsidRDefault="00E80C1B" w:rsidP="008569EA">
      <w:pPr>
        <w:pStyle w:val="FootnoteText"/>
        <w:ind w:left="567" w:hanging="567"/>
        <w:rPr>
          <w:sz w:val="24"/>
          <w:lang w:val="sv-SE"/>
        </w:rPr>
      </w:pPr>
      <w:r w:rsidRPr="00E6416F">
        <w:rPr>
          <w:rStyle w:val="FootnoteReference"/>
          <w:sz w:val="24"/>
          <w:lang w:val="sv-SE"/>
        </w:rPr>
        <w:footnoteRef/>
      </w:r>
      <w:r w:rsidR="008569EA" w:rsidRPr="00E6416F">
        <w:rPr>
          <w:sz w:val="24"/>
          <w:lang w:val="sv-SE"/>
        </w:rPr>
        <w:t xml:space="preserve"> </w:t>
      </w:r>
      <w:r w:rsidR="008569EA" w:rsidRPr="00E6416F">
        <w:rPr>
          <w:sz w:val="24"/>
          <w:lang w:val="sv-SE"/>
        </w:rPr>
        <w:tab/>
      </w:r>
      <w:r w:rsidRPr="00E6416F">
        <w:rPr>
          <w:sz w:val="24"/>
          <w:lang w:val="sv-SE"/>
        </w:rPr>
        <w:t>EUT C 38, 31.1.2023, s. 24.</w:t>
      </w:r>
    </w:p>
  </w:footnote>
  <w:footnote w:id="12">
    <w:p w:rsidR="00E80C1B" w:rsidRPr="00E6416F" w:rsidRDefault="00E80C1B" w:rsidP="008569EA">
      <w:pPr>
        <w:pStyle w:val="FootnoteText"/>
        <w:ind w:left="567" w:hanging="567"/>
        <w:rPr>
          <w:sz w:val="24"/>
          <w:lang w:val="sv-SE"/>
        </w:rPr>
      </w:pPr>
      <w:r w:rsidRPr="00E6416F">
        <w:rPr>
          <w:rStyle w:val="FootnoteReference"/>
          <w:sz w:val="24"/>
          <w:lang w:val="sv-SE"/>
        </w:rPr>
        <w:footnoteRef/>
      </w:r>
      <w:r w:rsidR="008569EA" w:rsidRPr="00E6416F">
        <w:rPr>
          <w:sz w:val="24"/>
          <w:lang w:val="sv-SE"/>
        </w:rPr>
        <w:t xml:space="preserve"> </w:t>
      </w:r>
      <w:r w:rsidR="008569EA" w:rsidRPr="00E6416F">
        <w:rPr>
          <w:sz w:val="24"/>
          <w:lang w:val="sv-SE"/>
        </w:rPr>
        <w:tab/>
      </w:r>
      <w:r w:rsidRPr="00E6416F">
        <w:rPr>
          <w:sz w:val="24"/>
          <w:lang w:val="sv-SE"/>
        </w:rPr>
        <w:t>Europaparlamentets och rådets förordning (EU) 2022/2370 av den 23 november 2022 om ändring av förordning (EG) nr 851/2004 om inrättande av ett europeiskt centrum för förebyggande och kontroll av sjukdomar (EUT L 314, 6.12.2022, s. 1).</w:t>
      </w:r>
    </w:p>
  </w:footnote>
  <w:footnote w:id="13">
    <w:p w:rsidR="00E80C1B" w:rsidRPr="008569EA" w:rsidRDefault="00E80C1B" w:rsidP="008569EA">
      <w:pPr>
        <w:pStyle w:val="FootnoteText"/>
        <w:ind w:left="567" w:hanging="567"/>
        <w:rPr>
          <w:sz w:val="24"/>
          <w:lang w:val="sv-SE"/>
        </w:rPr>
      </w:pPr>
      <w:r w:rsidRPr="00E6416F">
        <w:rPr>
          <w:rStyle w:val="FootnoteReference"/>
          <w:sz w:val="24"/>
          <w:lang w:val="sv-SE"/>
        </w:rPr>
        <w:footnoteRef/>
      </w:r>
      <w:r w:rsidR="008569EA" w:rsidRPr="00E6416F">
        <w:rPr>
          <w:sz w:val="24"/>
          <w:lang w:val="sv-SE"/>
        </w:rPr>
        <w:t xml:space="preserve"> </w:t>
      </w:r>
      <w:r w:rsidR="008569EA" w:rsidRPr="00E6416F">
        <w:rPr>
          <w:sz w:val="24"/>
          <w:lang w:val="sv-SE"/>
        </w:rPr>
        <w:tab/>
      </w:r>
      <w:r w:rsidRPr="00E6416F">
        <w:rPr>
          <w:sz w:val="24"/>
          <w:lang w:val="sv-SE"/>
        </w:rPr>
        <w:t>Antagna texter, P9_TA(2024)</w:t>
      </w:r>
      <w:r w:rsidR="00E6416F" w:rsidRPr="00E6416F">
        <w:rPr>
          <w:sz w:val="24"/>
          <w:lang w:val="sv-SE"/>
        </w:rPr>
        <w:t>0280</w:t>
      </w:r>
      <w:r w:rsidRPr="00E6416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C1B" w:rsidRPr="008569EA" w:rsidRDefault="00E80C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9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SV"/>
    <w:docVar w:name="dvnumam" w:val="0"/>
    <w:docVar w:name="dvpe" w:val="753.515"/>
    <w:docVar w:name="dvrapporteur" w:val="Föredragande: "/>
    <w:docVar w:name="dvtitre" w:val="Europaparlamentets beslut av den xx xx 2024 om ansvarsfrihet för genomförandet av budgeten för Europeiska centrumet för förebyggande och kontroll av sjukdomar för budgetåret 2022(2023/2147(DEC))"/>
  </w:docVars>
  <w:rsids>
    <w:rsidRoot w:val="00EA02A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2366"/>
    <w:rsid w:val="00680577"/>
    <w:rsid w:val="006F74FA"/>
    <w:rsid w:val="00731ADD"/>
    <w:rsid w:val="00734777"/>
    <w:rsid w:val="00747932"/>
    <w:rsid w:val="00751A4A"/>
    <w:rsid w:val="00756632"/>
    <w:rsid w:val="00762C74"/>
    <w:rsid w:val="00786EC0"/>
    <w:rsid w:val="007D1690"/>
    <w:rsid w:val="007E22AD"/>
    <w:rsid w:val="00817416"/>
    <w:rsid w:val="00842779"/>
    <w:rsid w:val="008569EA"/>
    <w:rsid w:val="00865F67"/>
    <w:rsid w:val="00881A7B"/>
    <w:rsid w:val="008840E5"/>
    <w:rsid w:val="008864B6"/>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16F"/>
    <w:rsid w:val="00E80C1B"/>
    <w:rsid w:val="00E820A4"/>
    <w:rsid w:val="00EA02A3"/>
    <w:rsid w:val="00EB006A"/>
    <w:rsid w:val="00EB4772"/>
    <w:rsid w:val="00ED169E"/>
    <w:rsid w:val="00ED4235"/>
    <w:rsid w:val="00F04346"/>
    <w:rsid w:val="00F075DC"/>
    <w:rsid w:val="00F149E9"/>
    <w:rsid w:val="00F24413"/>
    <w:rsid w:val="00F5134D"/>
    <w:rsid w:val="00F74202"/>
    <w:rsid w:val="00F87713"/>
    <w:rsid w:val="00FA32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6B44A"/>
  <w15:chartTrackingRefBased/>
  <w15:docId w15:val="{9F174525-2383-4A61-B64C-B54AF429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0C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0C1B"/>
    <w:pPr>
      <w:spacing w:before="480" w:after="240"/>
    </w:pPr>
  </w:style>
  <w:style w:type="paragraph" w:customStyle="1" w:styleId="PageHeading">
    <w:name w:val="PageHeading"/>
    <w:basedOn w:val="Normal"/>
    <w:rsid w:val="00E80C1B"/>
    <w:pPr>
      <w:keepNext/>
      <w:spacing w:after="480"/>
      <w:jc w:val="center"/>
    </w:pPr>
    <w:rPr>
      <w:rFonts w:ascii="Arial" w:hAnsi="Arial" w:cs="Arial"/>
      <w:b/>
    </w:rPr>
  </w:style>
  <w:style w:type="paragraph" w:customStyle="1" w:styleId="NormalBold">
    <w:name w:val="NormalBold"/>
    <w:basedOn w:val="Normal"/>
    <w:rsid w:val="00E80C1B"/>
    <w:rPr>
      <w:b/>
    </w:rPr>
  </w:style>
  <w:style w:type="paragraph" w:customStyle="1" w:styleId="NormalHanging12a">
    <w:name w:val="NormalHanging12a"/>
    <w:basedOn w:val="Normal"/>
    <w:link w:val="NormalHanging12aChar"/>
    <w:rsid w:val="00E80C1B"/>
    <w:pPr>
      <w:spacing w:after="240"/>
      <w:ind w:left="567" w:hanging="567"/>
    </w:pPr>
  </w:style>
  <w:style w:type="paragraph" w:customStyle="1" w:styleId="NormalCenter12a">
    <w:name w:val="NormalCenter12a"/>
    <w:basedOn w:val="Normal"/>
    <w:rsid w:val="00E80C1B"/>
    <w:pPr>
      <w:spacing w:after="240"/>
      <w:jc w:val="center"/>
    </w:pPr>
  </w:style>
  <w:style w:type="paragraph" w:styleId="Header">
    <w:name w:val="header"/>
    <w:basedOn w:val="Normal"/>
    <w:link w:val="HeaderChar"/>
    <w:rsid w:val="00E80C1B"/>
    <w:pPr>
      <w:tabs>
        <w:tab w:val="center" w:pos="4513"/>
        <w:tab w:val="right" w:pos="9026"/>
      </w:tabs>
    </w:pPr>
  </w:style>
  <w:style w:type="character" w:customStyle="1" w:styleId="HeaderChar">
    <w:name w:val="Header Char"/>
    <w:basedOn w:val="DefaultParagraphFont"/>
    <w:link w:val="Header"/>
    <w:rsid w:val="00E80C1B"/>
    <w:rPr>
      <w:sz w:val="24"/>
      <w:lang w:val="sv-SE"/>
    </w:rPr>
  </w:style>
  <w:style w:type="paragraph" w:customStyle="1" w:styleId="EPFooter">
    <w:name w:val="EPFooter"/>
    <w:basedOn w:val="Normal"/>
    <w:rsid w:val="00E80C1B"/>
    <w:pPr>
      <w:tabs>
        <w:tab w:val="center" w:pos="4535"/>
        <w:tab w:val="right" w:pos="9071"/>
      </w:tabs>
      <w:spacing w:before="240" w:after="240"/>
    </w:pPr>
    <w:rPr>
      <w:color w:val="010000"/>
      <w:sz w:val="22"/>
    </w:rPr>
  </w:style>
  <w:style w:type="paragraph" w:styleId="ListParagraph">
    <w:name w:val="List Paragraph"/>
    <w:basedOn w:val="Normal"/>
    <w:uiPriority w:val="34"/>
    <w:qFormat/>
    <w:rsid w:val="00E80C1B"/>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E80C1B"/>
    <w:rPr>
      <w:sz w:val="24"/>
      <w:lang w:val="sv-SE"/>
    </w:rPr>
  </w:style>
  <w:style w:type="paragraph" w:styleId="BalloonText">
    <w:name w:val="Balloon Text"/>
    <w:basedOn w:val="Normal"/>
    <w:link w:val="BalloonTextChar"/>
    <w:rsid w:val="008864B6"/>
    <w:rPr>
      <w:rFonts w:ascii="Segoe UI" w:hAnsi="Segoe UI" w:cs="Segoe UI"/>
      <w:sz w:val="18"/>
      <w:szCs w:val="18"/>
    </w:rPr>
  </w:style>
  <w:style w:type="character" w:customStyle="1" w:styleId="BalloonTextChar">
    <w:name w:val="Balloon Text Char"/>
    <w:basedOn w:val="DefaultParagraphFont"/>
    <w:link w:val="BalloonText"/>
    <w:rsid w:val="008864B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A1D6F-E788-4393-B496-DF1CE8AF9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2948</Words>
  <Characters>19325</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2024-05-17T08:13:00Z</dcterms:created>
  <dcterms:modified xsi:type="dcterms:W3CDTF">2024-05-17T08:13:00Z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P9_TA(2024)0251_</vt:lpwstr>
  </property>
  <property fmtid="{D5CDD505-2E9C-101B-9397-08002B2CF9AE}" pid="4" name="&lt;Type&gt;">
    <vt:lpwstr>RR</vt:lpwstr>
  </property>
</Properties>
</file>