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6C0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6C01" w:rsidRDefault="009717F3" w:rsidP="0010095E">
            <w:pPr>
              <w:pStyle w:val="EPName"/>
            </w:pPr>
            <w:r w:rsidRPr="00036C01">
              <w:t>Evropský parlament</w:t>
            </w:r>
          </w:p>
          <w:p w:rsidR="00751A4A" w:rsidRPr="00036C0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6C0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36C01" w:rsidRDefault="00187494" w:rsidP="0010095E">
            <w:pPr>
              <w:pStyle w:val="EPLogo"/>
            </w:pPr>
            <w:r w:rsidRPr="00036C0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6C01" w:rsidRDefault="00D058B8" w:rsidP="004C5D52">
      <w:pPr>
        <w:pStyle w:val="LineTop"/>
      </w:pPr>
    </w:p>
    <w:p w:rsidR="00680577" w:rsidRPr="00036C01" w:rsidRDefault="009717F3" w:rsidP="00680577">
      <w:pPr>
        <w:pStyle w:val="EPBodyTA1"/>
      </w:pPr>
      <w:r w:rsidRPr="00036C01">
        <w:t>PŘIJATÉ TEXTY</w:t>
      </w:r>
    </w:p>
    <w:p w:rsidR="00D058B8" w:rsidRPr="00036C01" w:rsidRDefault="00D058B8" w:rsidP="00D058B8">
      <w:pPr>
        <w:pStyle w:val="LineBottom"/>
      </w:pPr>
    </w:p>
    <w:p w:rsidR="009717F3" w:rsidRPr="00036C01" w:rsidRDefault="009717F3" w:rsidP="009717F3">
      <w:pPr>
        <w:pStyle w:val="ATHeading1"/>
      </w:pPr>
      <w:bookmarkStart w:id="0" w:name="TANumber"/>
      <w:r w:rsidRPr="00036C01">
        <w:t>P9_TA(2024)0</w:t>
      </w:r>
      <w:r w:rsidR="00283684">
        <w:t>252</w:t>
      </w:r>
      <w:bookmarkEnd w:id="0"/>
    </w:p>
    <w:p w:rsidR="009717F3" w:rsidRPr="00036C01" w:rsidRDefault="009717F3" w:rsidP="009717F3">
      <w:pPr>
        <w:pStyle w:val="ATHeading2"/>
      </w:pPr>
      <w:bookmarkStart w:id="1" w:name="title"/>
      <w:r w:rsidRPr="00036C01">
        <w:t>Udělení absolutoria za rok 2022: ENISA (Agentura Evropské unie pro kybernetickou bezpečnost)</w:t>
      </w:r>
      <w:bookmarkEnd w:id="1"/>
    </w:p>
    <w:p w:rsidR="009717F3" w:rsidRPr="00036C01" w:rsidRDefault="009717F3" w:rsidP="009717F3">
      <w:pPr>
        <w:rPr>
          <w:i/>
          <w:vanish/>
        </w:rPr>
      </w:pPr>
      <w:r w:rsidRPr="00036C01">
        <w:rPr>
          <w:i/>
        </w:rPr>
        <w:fldChar w:fldCharType="begin"/>
      </w:r>
      <w:r w:rsidRPr="00036C01">
        <w:rPr>
          <w:i/>
        </w:rPr>
        <w:instrText xml:space="preserve"> TC"(</w:instrText>
      </w:r>
      <w:bookmarkStart w:id="2" w:name="DocNumber"/>
      <w:r w:rsidRPr="00036C01">
        <w:rPr>
          <w:i/>
        </w:rPr>
        <w:instrText>A9-0134/2024</w:instrText>
      </w:r>
      <w:bookmarkEnd w:id="2"/>
      <w:r w:rsidRPr="00036C01">
        <w:rPr>
          <w:i/>
        </w:rPr>
        <w:instrText xml:space="preserve"> - Zpravodaj: </w:instrText>
      </w:r>
      <w:proofErr w:type="spellStart"/>
      <w:r w:rsidRPr="00036C01">
        <w:rPr>
          <w:i/>
        </w:rPr>
        <w:instrText>Petri</w:instrText>
      </w:r>
      <w:proofErr w:type="spellEnd"/>
      <w:r w:rsidRPr="00036C01">
        <w:rPr>
          <w:i/>
        </w:rPr>
        <w:instrText xml:space="preserve"> </w:instrText>
      </w:r>
      <w:proofErr w:type="spellStart"/>
      <w:r w:rsidRPr="00036C01">
        <w:rPr>
          <w:i/>
        </w:rPr>
        <w:instrText>Sarvamaa</w:instrText>
      </w:r>
      <w:proofErr w:type="spellEnd"/>
      <w:r w:rsidRPr="00036C01">
        <w:rPr>
          <w:i/>
        </w:rPr>
        <w:instrText xml:space="preserve">)"\l3 \n&gt; \* MERGEFORMAT </w:instrText>
      </w:r>
      <w:r w:rsidRPr="00036C01">
        <w:rPr>
          <w:i/>
        </w:rPr>
        <w:fldChar w:fldCharType="end"/>
      </w:r>
    </w:p>
    <w:p w:rsidR="009717F3" w:rsidRPr="00036C01" w:rsidRDefault="009717F3" w:rsidP="009717F3">
      <w:pPr>
        <w:rPr>
          <w:vanish/>
        </w:rPr>
      </w:pPr>
      <w:bookmarkStart w:id="3" w:name="Commission"/>
      <w:r w:rsidRPr="00036C01">
        <w:rPr>
          <w:vanish/>
        </w:rPr>
        <w:t>Výbor pro rozpočtovou kontrolu</w:t>
      </w:r>
      <w:bookmarkEnd w:id="3"/>
    </w:p>
    <w:p w:rsidR="009717F3" w:rsidRPr="00036C01" w:rsidRDefault="009717F3" w:rsidP="009717F3">
      <w:pPr>
        <w:rPr>
          <w:vanish/>
        </w:rPr>
      </w:pPr>
      <w:bookmarkStart w:id="4" w:name="PE"/>
      <w:r w:rsidRPr="00036C01">
        <w:rPr>
          <w:vanish/>
        </w:rPr>
        <w:t>PE753.527</w:t>
      </w:r>
      <w:bookmarkEnd w:id="4"/>
    </w:p>
    <w:p w:rsidR="009717F3" w:rsidRPr="00036C01" w:rsidRDefault="009717F3" w:rsidP="009717F3">
      <w:pPr>
        <w:pStyle w:val="ATHeading3"/>
      </w:pPr>
      <w:bookmarkStart w:id="5" w:name="Sujet"/>
      <w:r w:rsidRPr="00036C01">
        <w:t>1. Rozhodnutí Evropského parlamentu ze dne 11. dubna 2024 o udělení absolutoria za plnění rozpočtu agentury ENISA (Agentura Evropské unie pro kybernetickou bezpečnost) na rozpočtový rok 2022</w:t>
      </w:r>
      <w:bookmarkEnd w:id="5"/>
      <w:r w:rsidRPr="00036C01">
        <w:t xml:space="preserve"> </w:t>
      </w:r>
      <w:bookmarkStart w:id="6" w:name="References"/>
      <w:r w:rsidRPr="00036C01">
        <w:t>(2023/2159(DEC))</w:t>
      </w:r>
      <w:bookmarkEnd w:id="6"/>
    </w:p>
    <w:p w:rsidR="0052188F" w:rsidRPr="00036C01" w:rsidRDefault="0052188F" w:rsidP="0052188F">
      <w:pPr>
        <w:pStyle w:val="EPComma"/>
      </w:pPr>
      <w:bookmarkStart w:id="7" w:name="TextBodyBegin"/>
      <w:bookmarkEnd w:id="7"/>
      <w:r w:rsidRPr="00036C01">
        <w:rPr>
          <w:i/>
        </w:rPr>
        <w:t>Evropský parlament</w:t>
      </w:r>
      <w:r w:rsidRPr="00036C01">
        <w:t>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konečnou roční účetní závěrku agentury ENISA (Agentura Evropské unie pro kybernetickou bezpečnost) za rozpočtový rok 2022,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výroční zprávu Účetního dvora o agenturách EU za rozpočtový rok 2022 spolu s odpověďmi agentur</w:t>
      </w:r>
      <w:r w:rsidRPr="00036C01">
        <w:rPr>
          <w:rStyle w:val="FootnoteReference"/>
        </w:rPr>
        <w:footnoteReference w:id="1"/>
      </w:r>
      <w:r w:rsidRPr="00036C01">
        <w:t>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prohlášení o věrohodnosti</w:t>
      </w:r>
      <w:r w:rsidRPr="00036C01">
        <w:rPr>
          <w:rStyle w:val="FootnoteReference"/>
        </w:rPr>
        <w:footnoteReference w:id="2"/>
      </w:r>
      <w:r w:rsidRPr="00036C01">
        <w:t xml:space="preserve"> účetnictví a o legalitě a správnosti uskutečněných operací, které předložil Účetní dvůr za rozpočtový rok 2022 podle článku 287 Smlouvy o fungování Evropské unie,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doporučení Rady ze dne 22. února 2024 o udělení absolutoria agentuře za plnění rozpočtu na rozpočtový rok 2022 (0</w:t>
      </w:r>
      <w:r w:rsidR="00C109BF">
        <w:t>618</w:t>
      </w:r>
      <w:r w:rsidRPr="00036C01">
        <w:t>0/2024 – C9</w:t>
      </w:r>
      <w:r w:rsidRPr="00036C01">
        <w:noBreakHyphen/>
        <w:t>00</w:t>
      </w:r>
      <w:r w:rsidR="00C109BF">
        <w:t>97</w:t>
      </w:r>
      <w:r w:rsidRPr="00036C01">
        <w:t>/2024),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článek 319 Smlouvy o fungování Evropské unie,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036C01">
        <w:rPr>
          <w:rStyle w:val="FootnoteReference"/>
        </w:rPr>
        <w:footnoteReference w:id="3"/>
      </w:r>
      <w:r w:rsidRPr="00036C01">
        <w:t>, a zejména článek 70 tohoto nařízení,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 xml:space="preserve">s ohledem na nařízení Evropského parlamentu a Rady (EU) 2019/881 ze dne 17. dubna 2019 o agentuře ENISA („Agentuře Evropské unie pro kybernetickou bezpečnost“), o </w:t>
      </w:r>
      <w:r w:rsidRPr="00036C01">
        <w:lastRenderedPageBreak/>
        <w:t>certifikaci kybernetické bezpečnosti informačních a komunikačních technologií a o zrušení nařízení (EU) č. 526/2013 („akt o kybernetické bezpečnosti“)</w:t>
      </w:r>
      <w:r w:rsidRPr="00036C01">
        <w:rPr>
          <w:rStyle w:val="FootnoteReference"/>
        </w:rPr>
        <w:footnoteReference w:id="4"/>
      </w:r>
      <w:r w:rsidRPr="00036C01">
        <w:t>, a zejména na článek 31 tohoto nařízení,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nařízení Komise v přenesené pravomoci (EU) 2019/715 ze dne 18. prosince 2018 o rámcovém finančním nařízení pro subjekty zřízené podle S</w:t>
      </w:r>
      <w:r w:rsidR="008A425C">
        <w:t>mlouvy o fungování Evropské unie</w:t>
      </w:r>
      <w:r w:rsidRPr="00036C01">
        <w:t xml:space="preserve"> a Smlouvy o Euratomu a uvedené v článku 70 nařízení Evropského parlamentu a Rady (EU, Euratom) 2018/1046</w:t>
      </w:r>
      <w:r w:rsidRPr="00036C01">
        <w:rPr>
          <w:rStyle w:val="FootnoteReference"/>
        </w:rPr>
        <w:footnoteReference w:id="5"/>
      </w:r>
      <w:r w:rsidRPr="00036C01">
        <w:t>, a zejména na článek 105 tohoto nařízení,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 ohledem na článek 100 a přílohu V jednacího řádu,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zprávu Výboru pro rozpočtovou kontrolu (A9</w:t>
      </w:r>
      <w:r w:rsidRPr="00036C01">
        <w:noBreakHyphen/>
        <w:t>0134/2024),</w:t>
      </w:r>
    </w:p>
    <w:p w:rsidR="0052188F" w:rsidRPr="00036C01" w:rsidRDefault="0052188F" w:rsidP="0052188F">
      <w:pPr>
        <w:pStyle w:val="NormalHanging12a"/>
      </w:pPr>
      <w:r w:rsidRPr="00036C01">
        <w:t>1.</w:t>
      </w:r>
      <w:r w:rsidRPr="00036C01">
        <w:tab/>
        <w:t>uděluje absolutorium výkonnému řediteli agentury ENISA (Agentura Evropské unie pro kybernetickou bezpečnost) za plnění rozpočtu agentury na rozpočtový rok 2022;</w:t>
      </w:r>
    </w:p>
    <w:p w:rsidR="0052188F" w:rsidRPr="00036C01" w:rsidRDefault="0052188F" w:rsidP="0052188F">
      <w:pPr>
        <w:pStyle w:val="NormalHanging12a"/>
      </w:pPr>
      <w:r w:rsidRPr="00036C01">
        <w:t>2.</w:t>
      </w:r>
      <w:r w:rsidRPr="00036C01">
        <w:tab/>
        <w:t>předkládá své připomínky v níže uvedeném usnesení;</w:t>
      </w:r>
    </w:p>
    <w:p w:rsidR="0052188F" w:rsidRPr="00036C01" w:rsidRDefault="0052188F" w:rsidP="0052188F">
      <w:pPr>
        <w:pStyle w:val="NormalHanging12a"/>
      </w:pPr>
      <w:r w:rsidRPr="00036C01">
        <w:t>3.</w:t>
      </w:r>
      <w:r w:rsidRPr="00036C01">
        <w:tab/>
        <w:t xml:space="preserve">pověřuje svou předsedkyni, aby předala toto rozhodnutí a usnesení, které je jeho nedílnou součástí, výkonnému řediteli agentury ENISA (Agentura Evropské unie pro kybernetickou bezpečnost), Radě, Komisi a Účetnímu dvoru a aby zajistila jejich zveřejnění v </w:t>
      </w:r>
      <w:r w:rsidRPr="00036C01">
        <w:rPr>
          <w:i/>
        </w:rPr>
        <w:t>Úředním věstníku Evropské unie</w:t>
      </w:r>
      <w:r w:rsidRPr="00036C01">
        <w:t xml:space="preserve"> (řada L).</w:t>
      </w:r>
    </w:p>
    <w:p w:rsidR="0052188F" w:rsidRPr="00036C01" w:rsidRDefault="0052188F" w:rsidP="0052188F"/>
    <w:p w:rsidR="0052188F" w:rsidRPr="00036C01" w:rsidRDefault="0052188F" w:rsidP="0052188F">
      <w:pPr>
        <w:widowControl/>
        <w:rPr>
          <w:rFonts w:ascii="Arial" w:hAnsi="Arial" w:cs="Arial"/>
          <w:b/>
        </w:rPr>
        <w:sectPr w:rsidR="0052188F" w:rsidRPr="00036C01" w:rsidSect="00036C01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52188F" w:rsidRPr="00036C01" w:rsidRDefault="0052188F" w:rsidP="009308EC">
      <w:pPr>
        <w:pStyle w:val="ATHeading3"/>
      </w:pPr>
      <w:bookmarkStart w:id="8" w:name="_Toc161936873"/>
      <w:r w:rsidRPr="00036C01">
        <w:lastRenderedPageBreak/>
        <w:t xml:space="preserve">2. </w:t>
      </w:r>
      <w:r w:rsidR="0020227E" w:rsidRPr="00036C01">
        <w:t>Rozhodnutí Evropského parlamentu</w:t>
      </w:r>
      <w:bookmarkEnd w:id="8"/>
      <w:r w:rsidR="0020227E">
        <w:t xml:space="preserve"> </w:t>
      </w:r>
      <w:r w:rsidR="008A425C" w:rsidRPr="00036C01">
        <w:t xml:space="preserve">ze dne 11. dubna 2024 </w:t>
      </w:r>
      <w:r w:rsidRPr="00036C01">
        <w:t>o uzavření účtů agentury ENISA (Agentura Evropské unie pro kybernetickou bezpečnost) za rozpočtový rok 2022</w:t>
      </w:r>
      <w:r w:rsidR="0020227E">
        <w:t xml:space="preserve"> </w:t>
      </w:r>
      <w:r w:rsidRPr="00036C01">
        <w:t>(2023/2159(DEC))</w:t>
      </w:r>
    </w:p>
    <w:p w:rsidR="0052188F" w:rsidRPr="00036C01" w:rsidRDefault="0052188F" w:rsidP="0052188F">
      <w:pPr>
        <w:pStyle w:val="EPComma"/>
      </w:pPr>
      <w:r w:rsidRPr="00036C01">
        <w:rPr>
          <w:i/>
        </w:rPr>
        <w:t>Evropský parlament</w:t>
      </w:r>
      <w:r w:rsidRPr="00036C01">
        <w:t>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konečnou roční účetní závěrku agentury ENISA (Agentura Evropské unie pro kybernetickou bezpečnost) za rozpočtový rok 2022,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výroční zprávu Účetního dvora o agenturách EU za rozpočtový rok 2022 spolu s odpověďmi agentur</w:t>
      </w:r>
      <w:r w:rsidRPr="00036C01">
        <w:rPr>
          <w:rStyle w:val="FootnoteReference"/>
        </w:rPr>
        <w:footnoteReference w:id="6"/>
      </w:r>
      <w:r w:rsidRPr="00036C01">
        <w:t>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prohlášení o věrohodnosti</w:t>
      </w:r>
      <w:r w:rsidRPr="00036C01">
        <w:rPr>
          <w:rStyle w:val="FootnoteReference"/>
        </w:rPr>
        <w:footnoteReference w:id="7"/>
      </w:r>
      <w:r w:rsidRPr="00036C01">
        <w:t xml:space="preserve"> účetnictví a o legalitě a správnosti uskutečněných operací, které předložil Účetní dvůr za rozpočtový rok 2022 podle článku 287 Smlouvy o fungování Evropské unie,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doporučení Rady ze dne 22. února 2024 o udělení absolutoria agentuře za plnění rozpočtu na rozpočtový rok 2022 (0</w:t>
      </w:r>
      <w:r w:rsidR="00C109BF">
        <w:t>618</w:t>
      </w:r>
      <w:r w:rsidRPr="00036C01">
        <w:t>0/2024 – C9</w:t>
      </w:r>
      <w:r w:rsidRPr="00036C01">
        <w:noBreakHyphen/>
        <w:t>00</w:t>
      </w:r>
      <w:r w:rsidR="00C109BF">
        <w:t>97</w:t>
      </w:r>
      <w:r w:rsidRPr="00036C01">
        <w:t>/2024),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článek 319 Smlouvy o fungování Evropské unie,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036C01">
        <w:rPr>
          <w:rStyle w:val="FootnoteReference"/>
        </w:rPr>
        <w:footnoteReference w:id="8"/>
      </w:r>
      <w:r w:rsidRPr="00036C01">
        <w:t>, a zejména článek 70 tohoto nařízení,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nařízení Evropského parlamentu a Rady (EU) 2019/881 ze dne 17. dubna 2019 o agentuře ENISA („Agentuře Evropské unie pro kybernetickou bezpečnost“), o certifikaci kybernetické bezpečnosti informačních a komunikačních technologií a o zrušení nařízení (EU) č. 526/2013 („akt o kybernetické bezpečnosti“)</w:t>
      </w:r>
      <w:r w:rsidRPr="00036C01">
        <w:rPr>
          <w:rStyle w:val="FootnoteReference"/>
        </w:rPr>
        <w:footnoteReference w:id="9"/>
      </w:r>
      <w:r w:rsidRPr="00036C01">
        <w:t>, a zejména na článek 31 tohoto nařízení,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 xml:space="preserve">s ohledem na nařízení Komise v přenesené pravomoci (EU) 2019/715 ze dne 18. prosince 2018 o rámcovém finančním nařízení pro subjekty zřízené podle </w:t>
      </w:r>
      <w:r w:rsidR="008A425C" w:rsidRPr="00036C01">
        <w:t>S</w:t>
      </w:r>
      <w:r w:rsidR="008A425C">
        <w:t xml:space="preserve">mlouvy o fungování Evropské unie </w:t>
      </w:r>
      <w:r w:rsidRPr="00036C01">
        <w:t>a Smlouvy o Euratomu a uvedené v článku 70 nařízení Evropského parlamentu a Rady (EU, Euratom) 2018/1046</w:t>
      </w:r>
      <w:r w:rsidRPr="00036C01">
        <w:rPr>
          <w:rStyle w:val="FootnoteReference"/>
        </w:rPr>
        <w:footnoteReference w:id="10"/>
      </w:r>
      <w:r w:rsidRPr="00036C01">
        <w:t>, a zejména na článek 105 tohoto nařízení,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 ohledem na článek 100 a přílohu V jednacího řádu,</w:t>
      </w:r>
    </w:p>
    <w:p w:rsidR="0052188F" w:rsidRPr="00036C01" w:rsidRDefault="0052188F" w:rsidP="0052188F">
      <w:pPr>
        <w:pStyle w:val="NormalHanging12a"/>
      </w:pPr>
      <w:r w:rsidRPr="00036C01">
        <w:t>–</w:t>
      </w:r>
      <w:r w:rsidRPr="00036C01">
        <w:tab/>
        <w:t>s ohledem na zprávu Výboru pro rozpočtovou kontrolu (A9</w:t>
      </w:r>
      <w:r w:rsidRPr="00036C01">
        <w:noBreakHyphen/>
        <w:t>0134/2024),</w:t>
      </w:r>
    </w:p>
    <w:p w:rsidR="0052188F" w:rsidRPr="00036C01" w:rsidRDefault="0052188F" w:rsidP="0052188F">
      <w:pPr>
        <w:pStyle w:val="NormalHanging12a"/>
      </w:pPr>
      <w:r w:rsidRPr="00036C01">
        <w:t>1.</w:t>
      </w:r>
      <w:r w:rsidRPr="00036C01">
        <w:tab/>
        <w:t xml:space="preserve">schvaluje uzavření účtů agentury ENISA (Agentura Evropské unie pro kybernetickou </w:t>
      </w:r>
      <w:r w:rsidRPr="00036C01">
        <w:lastRenderedPageBreak/>
        <w:t>bezpečnost) za rozpočtový rok 2022;</w:t>
      </w:r>
    </w:p>
    <w:p w:rsidR="0052188F" w:rsidRPr="00036C01" w:rsidRDefault="0052188F" w:rsidP="0052188F">
      <w:pPr>
        <w:pStyle w:val="NormalHanging12a"/>
      </w:pPr>
      <w:r w:rsidRPr="00036C01">
        <w:t>2.</w:t>
      </w:r>
      <w:r w:rsidRPr="00036C01">
        <w:tab/>
        <w:t xml:space="preserve">pověřuje svou předsedkyni, aby předala toto rozhodnutí výkonnému řediteli agentury ENISA (Agentura Evropské unie pro kybernetickou bezpečnost), Radě, Komisi a Účetnímu dvoru a aby zajistila jeho zveřejnění v </w:t>
      </w:r>
      <w:r w:rsidRPr="00036C01">
        <w:rPr>
          <w:i/>
        </w:rPr>
        <w:t>Úředním věstníku Evropské unie</w:t>
      </w:r>
      <w:r w:rsidRPr="00036C01">
        <w:t xml:space="preserve"> (řada L).</w:t>
      </w:r>
    </w:p>
    <w:p w:rsidR="0052188F" w:rsidRPr="00036C01" w:rsidRDefault="0052188F" w:rsidP="0052188F"/>
    <w:p w:rsidR="0052188F" w:rsidRPr="00036C01" w:rsidRDefault="0052188F" w:rsidP="0052188F">
      <w:pPr>
        <w:widowControl/>
        <w:rPr>
          <w:rFonts w:ascii="Arial" w:hAnsi="Arial" w:cs="Arial"/>
          <w:b/>
        </w:rPr>
        <w:sectPr w:rsidR="0052188F" w:rsidRPr="00036C01" w:rsidSect="00036C01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52188F" w:rsidRPr="00036C01" w:rsidRDefault="0052188F" w:rsidP="009308EC">
      <w:pPr>
        <w:pStyle w:val="ATHeading3"/>
      </w:pPr>
      <w:bookmarkStart w:id="9" w:name="_Toc161936874"/>
      <w:r w:rsidRPr="00036C01">
        <w:lastRenderedPageBreak/>
        <w:t xml:space="preserve">3. </w:t>
      </w:r>
      <w:r w:rsidR="0020227E" w:rsidRPr="00036C01">
        <w:t>Usnesení Evropského parlamentu</w:t>
      </w:r>
      <w:bookmarkEnd w:id="9"/>
      <w:r w:rsidR="0020227E">
        <w:t xml:space="preserve"> </w:t>
      </w:r>
      <w:r w:rsidR="008A425C" w:rsidRPr="00036C01">
        <w:t xml:space="preserve">ze dne 11. dubna 2024 </w:t>
      </w:r>
      <w:r w:rsidRPr="00036C01">
        <w:t>obsahující připomínky, které jsou nedílnou součástí rozhodnutí o udělení absolutoria za plnění rozpočtu agentury ENISA (Agentura Evropské unie pro kybernetickou bezpečnost) na rozpočtový rok 2022</w:t>
      </w:r>
      <w:r w:rsidR="0020227E">
        <w:t xml:space="preserve"> </w:t>
      </w:r>
      <w:r w:rsidRPr="00036C01">
        <w:t>(2023/2159(DEC))</w:t>
      </w:r>
    </w:p>
    <w:p w:rsidR="0052188F" w:rsidRPr="00036C01" w:rsidRDefault="0052188F" w:rsidP="0052188F">
      <w:pPr>
        <w:pStyle w:val="EPComma"/>
      </w:pPr>
      <w:r w:rsidRPr="00036C01">
        <w:rPr>
          <w:i/>
        </w:rPr>
        <w:t>Evropský parlament</w:t>
      </w:r>
      <w:r w:rsidRPr="00036C01">
        <w:t>,</w:t>
      </w:r>
    </w:p>
    <w:p w:rsidR="0052188F" w:rsidRPr="00036C01" w:rsidRDefault="0052188F" w:rsidP="0020227E">
      <w:pPr>
        <w:pStyle w:val="NormalHanging12a"/>
      </w:pPr>
      <w:r w:rsidRPr="00036C01">
        <w:t>–</w:t>
      </w:r>
      <w:r w:rsidRPr="00036C01">
        <w:tab/>
        <w:t>s ohledem na své rozhodnutí o udělení absolutoria za plnění rozpočtu agentury ENISA (Agentura Evropské unie pro kybernetickou bezpečnost) na rozpočtový rok 2022,</w:t>
      </w:r>
    </w:p>
    <w:p w:rsidR="0052188F" w:rsidRPr="00036C01" w:rsidRDefault="0052188F" w:rsidP="0020227E">
      <w:pPr>
        <w:pStyle w:val="NormalHanging12a"/>
      </w:pPr>
      <w:r w:rsidRPr="00036C01">
        <w:t>–</w:t>
      </w:r>
      <w:r w:rsidRPr="00036C01">
        <w:tab/>
        <w:t>s ohledem na článek 100 a přílohu V jednacího řádu,</w:t>
      </w:r>
    </w:p>
    <w:p w:rsidR="0052188F" w:rsidRPr="00036C01" w:rsidRDefault="0052188F" w:rsidP="0020227E">
      <w:pPr>
        <w:pStyle w:val="NormalHanging12a"/>
      </w:pPr>
      <w:r w:rsidRPr="00036C01">
        <w:t>–</w:t>
      </w:r>
      <w:r w:rsidRPr="00036C01">
        <w:tab/>
        <w:t>s ohledem na zvláštní zprávu Účetního dvora č. 05/2022;</w:t>
      </w:r>
    </w:p>
    <w:p w:rsidR="0052188F" w:rsidRPr="00036C01" w:rsidRDefault="0052188F" w:rsidP="0020227E">
      <w:pPr>
        <w:pStyle w:val="NormalHanging12a"/>
      </w:pPr>
      <w:r w:rsidRPr="00036C01">
        <w:t>–</w:t>
      </w:r>
      <w:r w:rsidRPr="00036C01">
        <w:tab/>
        <w:t>s ohledem na zprávu Výboru pro rozpočtovou kontrolu (A9</w:t>
      </w:r>
      <w:r w:rsidRPr="00036C01">
        <w:noBreakHyphen/>
        <w:t>0134/2024),</w:t>
      </w:r>
    </w:p>
    <w:p w:rsidR="0052188F" w:rsidRPr="00036C01" w:rsidRDefault="0052188F" w:rsidP="0020227E">
      <w:pPr>
        <w:autoSpaceDE w:val="0"/>
        <w:autoSpaceDN w:val="0"/>
        <w:adjustRightInd w:val="0"/>
        <w:spacing w:after="240"/>
        <w:ind w:left="567" w:hanging="567"/>
      </w:pPr>
      <w:r w:rsidRPr="00036C01">
        <w:t>A.</w:t>
      </w:r>
      <w:r w:rsidRPr="00036C01">
        <w:tab/>
        <w:t>vzhledem k tomu, že konečný rozpočet ENISA (dále jen „agentura“) na rok 2022 činil podle jejího výkazu příjmů a výdajů</w:t>
      </w:r>
      <w:r w:rsidRPr="00036C01">
        <w:rPr>
          <w:rStyle w:val="FootnoteReference"/>
          <w:szCs w:val="24"/>
        </w:rPr>
        <w:footnoteReference w:id="11"/>
      </w:r>
      <w:r w:rsidRPr="00036C01">
        <w:t>39 207 625 EUR, což ve srovnání s rokem 2021 představuje navýšení o 67,03 %; vzhledem k tomu, že zvýšení rozpočtu agentury je vysvětleno zejména dodatečnými úkoly souvisejícími s pilotním prováděním podpůrného opatření programu pro kybernetickou bezpečnost; vzhledem k tomu, že rozpočet agentury se odvíjí převážně od rozpočtu Unie;</w:t>
      </w:r>
    </w:p>
    <w:p w:rsidR="0052188F" w:rsidRPr="00036C01" w:rsidRDefault="0052188F" w:rsidP="0020227E">
      <w:pPr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036C01">
        <w:t>B.</w:t>
      </w:r>
      <w:r w:rsidRPr="00036C01">
        <w:tab/>
        <w:t>vzhledem k tomu, že Účetní dvůr ve své zprávě o roční účetní závěrce agentury za rozpočtový rok 2022 (dále jen „zpráva Účetního dvora“) uvedl, že získal přiměřenou jistotu, že účetní závěrka agentury je spolehlivá a že uskutečněné operace jsou legální a správné;</w:t>
      </w:r>
    </w:p>
    <w:p w:rsidR="0052188F" w:rsidRPr="00036C01" w:rsidRDefault="0052188F" w:rsidP="0020227E">
      <w:pPr>
        <w:pStyle w:val="Normal12Hanging"/>
        <w:rPr>
          <w:b/>
          <w:i/>
          <w:szCs w:val="24"/>
        </w:rPr>
      </w:pPr>
      <w:r w:rsidRPr="00036C01">
        <w:rPr>
          <w:b/>
          <w:i/>
        </w:rPr>
        <w:t>Rozpočtové a finanční řízení</w:t>
      </w:r>
    </w:p>
    <w:p w:rsidR="0052188F" w:rsidRPr="00036C01" w:rsidRDefault="0052188F" w:rsidP="0020227E">
      <w:pPr>
        <w:pStyle w:val="Normal12Hanging"/>
        <w:rPr>
          <w:szCs w:val="24"/>
        </w:rPr>
      </w:pPr>
      <w:r w:rsidRPr="00036C01">
        <w:t>1.</w:t>
      </w:r>
      <w:r w:rsidRPr="00036C01">
        <w:tab/>
        <w:t>s uspokojením bere na vědomí, že díky monitorování rozpočtu v rozpočtovém roce 2022 dosáhla míra plnění u prostředků na závazky v běžném roce 99,93 %, což ve srovnání s rokem 2021 představuje nárůst o 0,42 %; bere dále na vědomí, že míra čerpání prostředků na platby v běžném roce činila 52,02 %, což ve srovnání s rokem 2021 představuje pokles o 25,38 %;</w:t>
      </w:r>
    </w:p>
    <w:p w:rsidR="0052188F" w:rsidRPr="00036C01" w:rsidRDefault="0052188F" w:rsidP="0020227E">
      <w:pPr>
        <w:pStyle w:val="Normal12Hanging"/>
        <w:rPr>
          <w:b/>
          <w:i/>
          <w:szCs w:val="24"/>
        </w:rPr>
      </w:pPr>
      <w:r w:rsidRPr="00036C01">
        <w:t>2.</w:t>
      </w:r>
      <w:r w:rsidRPr="00036C01">
        <w:tab/>
        <w:t>zdůrazňuje, že částka konečného rozpočtu agentury je výsledkem opravy ve výši 15 000 000 EUR, kterou správní rada přijala dne 5. srpna 2022 z důvodu provádění podpůrné akce v oblasti kybernetické bezpečnosti, jejímž cílem je posílit reakci agentury při podpoře členských států v souladu s jejím mandátem; bere na vědomí, že většina závazků v rámci podpůrné akce v oblasti kybernetické bezpečnosti byla podepsána až koncem roku, což vysvětluje poměrně nízkou míru plateb (a následný rozsáhlý přenos prostředků);</w:t>
      </w:r>
    </w:p>
    <w:p w:rsidR="0052188F" w:rsidRPr="00036C01" w:rsidRDefault="0052188F" w:rsidP="0020227E">
      <w:pPr>
        <w:pStyle w:val="Normal12Hanging"/>
        <w:rPr>
          <w:b/>
          <w:i/>
          <w:szCs w:val="24"/>
        </w:rPr>
      </w:pPr>
      <w:r w:rsidRPr="00036C01">
        <w:rPr>
          <w:b/>
          <w:i/>
        </w:rPr>
        <w:t>Výkonnost</w:t>
      </w:r>
    </w:p>
    <w:p w:rsidR="0052188F" w:rsidRPr="00036C01" w:rsidRDefault="0052188F" w:rsidP="0020227E">
      <w:pPr>
        <w:pStyle w:val="Normal12Hanging"/>
        <w:rPr>
          <w:szCs w:val="24"/>
        </w:rPr>
      </w:pPr>
      <w:r w:rsidRPr="00036C01">
        <w:t>3.</w:t>
      </w:r>
      <w:r w:rsidRPr="00036C01">
        <w:tab/>
        <w:t xml:space="preserve">oceňuje, že agentura v roce 2022 splnila 100 % svého pracovního programu; vítá, že agentura k hodnocení svých činností a výsledků při plnění cílů pracovního programu používá klíčové ukazatele výkonnosti; poznamenává, že některé výstupy nedosáhly </w:t>
      </w:r>
      <w:r w:rsidRPr="00036C01">
        <w:lastRenderedPageBreak/>
        <w:t>svých cílů v plném rozsahu v důsledku změny priorit, kterou si vyžádala opatření na podporu kybernetické bezpečnosti v reakci na nezákonný a nevyprovokovaný útok Ruska proti Ukrajině; bere na vědomí, že některé z výstupů, kterých se uvedená změna priorit dotkla výrazněji, byly mimo jiné výstupy 4.2 „Vypracovat a zdokonalit standardní operační politiky, postupy, metodiky a nástroje pro řešení kybernetických krizí“ a 5.3 „Iniciovat rozvoj důvěryhodné sítě prodejců/dodavatelů“;</w:t>
      </w:r>
    </w:p>
    <w:p w:rsidR="0052188F" w:rsidRPr="00036C01" w:rsidRDefault="0052188F" w:rsidP="0020227E">
      <w:pPr>
        <w:pStyle w:val="NormalHanging12a"/>
      </w:pPr>
      <w:r w:rsidRPr="00036C01">
        <w:t>4.</w:t>
      </w:r>
      <w:r w:rsidRPr="00036C01">
        <w:tab/>
        <w:t>je si vědom toho, že nezákonný a nevyprovokovaný útok Ruska na Ukrajinu zaujímal v roce 2022 přední místo v rámci agendy Unie v oblasti bezpečnosti; s uspokojením konstatuje, že agentura posílila svou koordinaci a připravenost a přispěla ke sdílenému situačnímu povědomí v rámci Unie poskytováním pravidelných zpráv o situaci v oblasti kybernetických aktivit; zdůrazňuje, že byla rovněž zintenzivněna koordinace a výměna informací se sítěmi pro kybernetickou bezpečnost, jako je Evropská síť styčných organizací pro řešení kybernetických krizí (EU-</w:t>
      </w:r>
      <w:proofErr w:type="spellStart"/>
      <w:r w:rsidRPr="00036C01">
        <w:t>CyCLONe</w:t>
      </w:r>
      <w:proofErr w:type="spellEnd"/>
      <w:r w:rsidRPr="00036C01">
        <w:t>), kterou tvoří vnitrostátní orgány pro řešení kybernetických krizí, a s četnými odvětvovými komunitami podporovanými agenturou; vítá úsilí agentury o zajištění komunikačních kanálů mezi politickou, operační a technickou úrovní a o posílení spolupráce se sítí týmů pro reakci na incidenty v oblasti kybernetické bezpečnosti;</w:t>
      </w:r>
    </w:p>
    <w:p w:rsidR="0052188F" w:rsidRPr="00036C01" w:rsidRDefault="0052188F" w:rsidP="0020227E">
      <w:pPr>
        <w:pStyle w:val="Normal12Hanging"/>
        <w:rPr>
          <w:szCs w:val="24"/>
        </w:rPr>
      </w:pPr>
      <w:r w:rsidRPr="00036C01">
        <w:t>5.</w:t>
      </w:r>
      <w:r w:rsidRPr="00036C01">
        <w:tab/>
        <w:t>s uspokojením bere na vědomí, že v roce 2022 agentura zahájila pilotní projekt „teplotní mapy“ Unie, jehož cílem je poskytnout rychlý přehled o kybernetických incidentech a kybernetických událostech, které mají dopad na kritická odvětví Unie v důsledku kybernetické aktivity související s ruskou útočnou válkou proti Ukrajině; bere na vědomí, že tato odvětví přispěla ke zprávě Komise v oblasti integrovaného situačního povědomí a analýzy, která obsahuje 52 aktuálních poznatků týkajících se současné situace a incidentů v souvislosti s ruskou útočnou válkou proti Ukrajině a je přínosem pro mechanismus Unie pro řešení krizí;</w:t>
      </w:r>
    </w:p>
    <w:p w:rsidR="0052188F" w:rsidRPr="00036C01" w:rsidRDefault="0052188F" w:rsidP="0020227E">
      <w:pPr>
        <w:pStyle w:val="Normal12Hanging"/>
        <w:rPr>
          <w:szCs w:val="24"/>
        </w:rPr>
      </w:pPr>
      <w:r w:rsidRPr="00036C01">
        <w:t>6.</w:t>
      </w:r>
      <w:r w:rsidRPr="00036C01">
        <w:tab/>
        <w:t>Konstatuje, že podle zvláštní zprávy Účetního dvora č. 05/2022 „Kybernetická bezpečnost orgánů, institucí a jiných subjektů EU“ počet kybernetických útoků na orgány a instituce EU prudce vzrůstá a úroveň kybernetické připravenosti v orgánech a institucích Unie se liší, přičemž obecně neodpovídá rostoucím hrozbám; poznamenává, že vzhledem k tomu, že orgány a instituce Unie jsou vzájemně silně propojeny, může slabina u jednoho z nich vystavit ostatní bezpečnostním hrozbám; zdůrazňuje, že Účetní dvůr doporučuje, aby se agentura společně se skupinou pro reakci na počítačové hrozby v orgánech, institucích a jiných subjektech EU (CERT-EU) více zaměřily na ty orgány a instituce EU, které mají s řízením kybernetické bezpečnosti méně zkušeností, a to prostřednictvím: a) určení prioritních oblastí, v nichž orgány, instituce a jiné subjekty Unie potřebují největší podporu, například prostřednictvím posouzení vyspělosti kybernetické bezpečnosti, a b) provádění opatření na budování kapacit v souladu s memorandem o porozumění; vyzývá agenturu, aby se otázkami vznesenými Účetním dvorem zabývala a podala orgánu příslušnému k udělení absolutoria zprávu o veškerých opatřeních přijatých v této věci;</w:t>
      </w:r>
    </w:p>
    <w:p w:rsidR="0052188F" w:rsidRPr="00036C01" w:rsidRDefault="0052188F" w:rsidP="0020227E">
      <w:pPr>
        <w:pStyle w:val="Normal12Hanging"/>
        <w:rPr>
          <w:szCs w:val="24"/>
        </w:rPr>
      </w:pPr>
      <w:r w:rsidRPr="00036C01">
        <w:t>7.</w:t>
      </w:r>
      <w:r w:rsidRPr="00036C01">
        <w:tab/>
        <w:t xml:space="preserve">bere na vědomí, že agentura v roce 2022 v rámci plnění své úlohy při podpoře Unie vykonávala různé činnosti; bere na vědomí, že agentura sice byla schopna nabídnout podporu při vytváření řady návrhů politik, jako např. v oblasti bezpečnosti sítí a informací, kybernetické odolnosti a digitální provozní odolnosti, omezené zdroje jí však zabránily aktivně podpořit přípravu návrhů zahrnujících ustanovení o kybernetické bezpečnosti např. v rámci návrhů politik týkajících se evropského prostoru pro zdravotní data či dalších klíčových návrhů, jako je návrh o digitálních trzích a návrh </w:t>
      </w:r>
      <w:r w:rsidRPr="00036C01">
        <w:lastRenderedPageBreak/>
        <w:t>týkající se digitálních služeb; bere na vědomí, že mezi další činnosti patřilo informování tvůrců politik o účinnosti stávajících rámců kybernetické bezpečnosti a poskytování podpory kritickým odvětvím; dále konstatuje, že přijetí směrnice Evropského parlamentu a rady (EU) 2022/2555</w:t>
      </w:r>
      <w:r w:rsidRPr="00036C01">
        <w:rPr>
          <w:rStyle w:val="FootnoteReference"/>
          <w:szCs w:val="24"/>
        </w:rPr>
        <w:footnoteReference w:id="12"/>
      </w:r>
      <w:r w:rsidRPr="00036C01">
        <w:t xml:space="preserve"> (směrnice NIS 2) je důležitým opatřením, jehož záměrem je řešit problémy a harmonizovat politiky v celé Unii; zastává názor, že nedostatečná harmonizace při provádění směrnice NIS 1 vedla k roztříštěnosti politiky, kterou nyní řeší směrnice NIS 2; je si vědom toho, že směrnice NIS 2 rozšiřuje oblast působnosti a zavádí nové horizontální úkoly agentury, jako např. unijní rejstřík digitálních subjektů; zdůrazňuje, že agentura pomocí nové strategie přizpůsobila své služby a zdroje tak, aby odpovídaly měnícím se požadavkům v oblasti kybernetické bezpečnosti;</w:t>
      </w:r>
    </w:p>
    <w:p w:rsidR="0052188F" w:rsidRPr="00036C01" w:rsidRDefault="0052188F" w:rsidP="0020227E">
      <w:pPr>
        <w:pStyle w:val="Normal12Hanging"/>
        <w:rPr>
          <w:b/>
          <w:i/>
        </w:rPr>
      </w:pPr>
      <w:r w:rsidRPr="00036C01">
        <w:rPr>
          <w:b/>
          <w:i/>
        </w:rPr>
        <w:t>Účinnost a přínosy</w:t>
      </w:r>
    </w:p>
    <w:p w:rsidR="0052188F" w:rsidRPr="00036C01" w:rsidRDefault="0052188F" w:rsidP="0020227E">
      <w:pPr>
        <w:pStyle w:val="Normal12Hanging"/>
        <w:rPr>
          <w:szCs w:val="24"/>
        </w:rPr>
      </w:pPr>
      <w:r w:rsidRPr="00036C01">
        <w:t>8.</w:t>
      </w:r>
      <w:r w:rsidRPr="00036C01">
        <w:tab/>
        <w:t xml:space="preserve">bere na vědomí, že se agentura snažila více využívat služeb sdílených s jinými agenturami a/nebo Komisí, například prostřednictvím </w:t>
      </w:r>
      <w:proofErr w:type="spellStart"/>
      <w:r w:rsidRPr="00036C01">
        <w:t>meziagenturních</w:t>
      </w:r>
      <w:proofErr w:type="spellEnd"/>
      <w:r w:rsidRPr="00036C01">
        <w:t xml:space="preserve"> a interinstitucionálních zadávacích řízení a sdílením služeb s Evropským střediskem pro rozvoj odborného vzdělávání (</w:t>
      </w:r>
      <w:proofErr w:type="spellStart"/>
      <w:r w:rsidRPr="00036C01">
        <w:t>Cedefop</w:t>
      </w:r>
      <w:proofErr w:type="spellEnd"/>
      <w:r w:rsidRPr="00036C01">
        <w:t>) a Evropským centrem kompetencí pro kybernetickou bezpečnost (ECCC); dále bere na vědomí, že v roce 2022 agentura podepsala dohodu o úrovni služeb s nově zřízeným Evropským průmyslovým, technologickým a výzkumným centrem kompetencí pro kybernetickou bezpečnost na poskytování služeb pověřence pro ochranu osobních údajů a účetního pro toto centrum, jejíž plnění mělo probíhat v roce 2023;</w:t>
      </w:r>
    </w:p>
    <w:p w:rsidR="0052188F" w:rsidRPr="00036C01" w:rsidRDefault="0052188F" w:rsidP="0020227E">
      <w:pPr>
        <w:pStyle w:val="Normal12Hanging"/>
        <w:rPr>
          <w:szCs w:val="24"/>
        </w:rPr>
      </w:pPr>
      <w:r w:rsidRPr="00036C01">
        <w:t>9.</w:t>
      </w:r>
      <w:r w:rsidRPr="00036C01">
        <w:tab/>
        <w:t>bere na vědomí opatření, která agentura přijala s cílem přejít od tradiční metodiky stanovování počtu zaměstnanců ke strategickému plánování pracovních sil s cílem předvídat a řešit nedostatky v obsazování pracovních míst, aby bylo možné vytvořit pružnou pracovní sílu a přidělit zdroje prioritním oblastem;</w:t>
      </w:r>
    </w:p>
    <w:p w:rsidR="0052188F" w:rsidRPr="00036C01" w:rsidRDefault="0052188F" w:rsidP="0020227E">
      <w:pPr>
        <w:pStyle w:val="Normal12Hanging"/>
        <w:rPr>
          <w:szCs w:val="24"/>
        </w:rPr>
      </w:pPr>
      <w:r w:rsidRPr="00036C01">
        <w:t>10.</w:t>
      </w:r>
      <w:r w:rsidRPr="00036C01">
        <w:tab/>
        <w:t>vítá přínos agentury k podpoře sdílených služeb mezi agenturami prostřednictvím několika sítí v oblasti zadávání veřejných zakázek, lidských zdrojů, informačních a komunikačních technologií, řízení rizik, řízení výkonnosti, ochrany údajů, zabezpečení informací a účetnictví; poukazuje na horizontální výhody spolupráce a přizpůsobování osvědčených postupů a na to, že společné iniciativy sbližují různé úhly pohledu, omezují zdvojování úsilí, zlepšují učení a posilují vztahy mezi účastníky; vybízí agenturu, aby hledala interní postupy, které by mohly být zefektivněny prostřednictvím nových nástrojů IT;</w:t>
      </w:r>
    </w:p>
    <w:p w:rsidR="0052188F" w:rsidRPr="00036C01" w:rsidRDefault="0052188F" w:rsidP="0020227E">
      <w:pPr>
        <w:pStyle w:val="Normal12Hanging"/>
        <w:rPr>
          <w:szCs w:val="24"/>
        </w:rPr>
      </w:pPr>
      <w:r w:rsidRPr="00036C01">
        <w:t>11.</w:t>
      </w:r>
      <w:r w:rsidRPr="00036C01">
        <w:tab/>
        <w:t>s uspokojením bere na vědomí zapojení agentury do pilotního projektu v rámci sítě agentur EU, jehož cílem je podpořit agentury EU při zvyšování připravenosti na nadcházející nové nařízení o kybernetické bezpečnosti;</w:t>
      </w:r>
    </w:p>
    <w:p w:rsidR="0052188F" w:rsidRPr="00036C01" w:rsidRDefault="0052188F" w:rsidP="0020227E">
      <w:pPr>
        <w:pStyle w:val="NormalHanging12a"/>
      </w:pPr>
      <w:r w:rsidRPr="00036C01">
        <w:t>12.</w:t>
      </w:r>
      <w:r w:rsidRPr="00036C01">
        <w:tab/>
        <w:t xml:space="preserve">připomíná, že je důležité posílit digitalizaci agentury, pokud jde o její vnitřní chod a řízení i o rychlejší digitalizaci postupů; zdůrazňuje, že je třeba, aby byla agentura v tomto ohledu nadále aktivní, aby se zabránilo vzniku digitální propasti mezi </w:t>
      </w:r>
      <w:r w:rsidRPr="00036C01">
        <w:lastRenderedPageBreak/>
        <w:t>agenturami;</w:t>
      </w:r>
    </w:p>
    <w:p w:rsidR="0052188F" w:rsidRPr="00036C01" w:rsidRDefault="0052188F" w:rsidP="0020227E">
      <w:pPr>
        <w:pStyle w:val="Normal12Hanging"/>
        <w:rPr>
          <w:b/>
          <w:i/>
          <w:szCs w:val="24"/>
        </w:rPr>
      </w:pPr>
      <w:r w:rsidRPr="00036C01">
        <w:rPr>
          <w:b/>
          <w:i/>
        </w:rPr>
        <w:t>Personální politika</w:t>
      </w:r>
    </w:p>
    <w:p w:rsidR="0052188F" w:rsidRPr="00036C01" w:rsidRDefault="0052188F" w:rsidP="0020227E">
      <w:pPr>
        <w:pStyle w:val="Normal12Hanging"/>
        <w:rPr>
          <w:szCs w:val="24"/>
        </w:rPr>
      </w:pPr>
      <w:r w:rsidRPr="00036C01">
        <w:t>13.</w:t>
      </w:r>
      <w:r w:rsidRPr="00036C01">
        <w:tab/>
        <w:t>bere na vědomí, že ke dni 31. prosince 2022 byl plán pracovních míst proveden z 89,02 %, přičemž z 82 dočasných zaměstnanců schválených na základě rozpočtu Unie (ve srovnání se 76 schválenými pracovními místy v roce 2021) jich bylo jmenováno 73; bere na vědomí, že v roce 2022 pro agenturu dále pracovalo 27 smluvních zaměstnanců, 10 vyslaných národních odborníků, 10 dočasných zaměstnanců a 16 dodavatelů/poskytovatelů;</w:t>
      </w:r>
    </w:p>
    <w:p w:rsidR="0052188F" w:rsidRPr="00036C01" w:rsidRDefault="0052188F" w:rsidP="0020227E">
      <w:pPr>
        <w:spacing w:after="240"/>
        <w:ind w:left="567" w:hanging="567"/>
        <w:rPr>
          <w:szCs w:val="24"/>
        </w:rPr>
      </w:pPr>
      <w:r w:rsidRPr="00036C01">
        <w:t>14.</w:t>
      </w:r>
      <w:r w:rsidRPr="00036C01">
        <w:tab/>
        <w:t>se znepokojením bere na vědomí nedostatečnou genderovou vyváženost ve vyšších a středních úrovních vedení agentury, neboť ze 17 pozic je 12 obsazeno muži; domnívá se, že je třeba zlepšit genderovou vyváženost ve vrcholném a středním vedení agentury; připomíná, že je důležité zajistit, aby zastoupení žen a mužů bylo vyvážené, a vyzývá agenturu, aby tento aspekt zohlednila při budoucím jmenování členů svého vyššího a středního vedení; všímá si genderového rozložení správní rady agentury, kdy z 55 členů je 41 mužů (75 %); uznává, že složení správní rady do značné míry závisí na nominacích členských států; žádá Komisi a členské státy, aby při předkládání nominací do správní rady agentury přihlížely k tomu, že je důležité zajistit vyvážené zastoupení žen a mužů; bere na vědomí vyvážené zastoupení žen a mužů mezi zaměstnanci agentury jako celku: 57 mužů (52 %) a 53 žen (48 %); bere na vědomí opatření, která agentura přijala za účelem řešení problémů v oblasti genderové vyváženosti, včetně revize náborové politiky s cílem podpořit větší zájem žen o volná pracovní místa; dále bere na vědomí, že strategie agentury zahrnuje plán získat do konce roku 2025 certifikát excelence sítě agentur EU v oblasti rozmanitosti a začleňování;</w:t>
      </w:r>
    </w:p>
    <w:p w:rsidR="0052188F" w:rsidRPr="00036C01" w:rsidRDefault="0052188F" w:rsidP="0020227E">
      <w:pPr>
        <w:pStyle w:val="NormalHanging12a"/>
      </w:pPr>
      <w:r w:rsidRPr="00036C01">
        <w:t>15.</w:t>
      </w:r>
      <w:r w:rsidRPr="00036C01">
        <w:tab/>
        <w:t xml:space="preserve">bere na vědomí, že agentura uplatňuje politiku na ochranu lidské důstojnosti a k předcházení psychickému a sexuálnímu obtěžování a že je součástí </w:t>
      </w:r>
      <w:proofErr w:type="spellStart"/>
      <w:r w:rsidRPr="00036C01">
        <w:t>meziagenturní</w:t>
      </w:r>
      <w:proofErr w:type="spellEnd"/>
      <w:r w:rsidRPr="00036C01">
        <w:t xml:space="preserve"> pracovní skupiny důvěrných poradců; těší se na obdržení jejich zprávy a doporučení; konstatuje, že v roce 2022 nebyly hlášeny žádné případy obtěžování, a vybízí agenturu, aby pokračovala v práci na předcházení těmto případům i v budoucnu a rozvíjela ji;</w:t>
      </w:r>
    </w:p>
    <w:p w:rsidR="0052188F" w:rsidRPr="00036C01" w:rsidRDefault="0052188F" w:rsidP="0020227E">
      <w:pPr>
        <w:pStyle w:val="NormalHanging12a"/>
      </w:pPr>
      <w:r w:rsidRPr="00036C01">
        <w:t>16.</w:t>
      </w:r>
      <w:r w:rsidRPr="00036C01">
        <w:tab/>
        <w:t>vyjadřuje znepokojení nad geografickou nevyvážeností zaměstnanců agentury, vyšších a středních vedoucích pracovníků s 40,9% zastoupením řeckých státních příslušníků; trvá na tom, že je třeba provést zlepšení; žádá agenturu, aby orgánu příslušnému k udělení absolutoria podala v této souvislosti vysvětlení;</w:t>
      </w:r>
    </w:p>
    <w:p w:rsidR="0052188F" w:rsidRPr="00036C01" w:rsidRDefault="0052188F" w:rsidP="0020227E">
      <w:pPr>
        <w:spacing w:after="240"/>
        <w:ind w:left="567" w:hanging="567"/>
        <w:rPr>
          <w:szCs w:val="24"/>
        </w:rPr>
      </w:pPr>
      <w:r w:rsidRPr="00036C01">
        <w:t>17.</w:t>
      </w:r>
      <w:r w:rsidRPr="00036C01">
        <w:tab/>
        <w:t>se znepokojením konstatuje, že během přípravy pracovního programu na rok 2023 agentura zaznamenala nedostatek zdrojů ve výši 734 000 EUR, dva chybějící plné pracovní úvazky v provozní oblasti a 2,5 milionu EUR pro interní útvary; dále konstatuje, že důkladné hodnocení potřeb lidských zdrojů na období 2023-2025 odhalilo značný nedostatek, zejména v kritických oblastech činnosti, a pokud nebudou vytvořena další pracovní místa, agentura bude zřejmě nucena stanovit priority a upravit budoucí pracovní programy tak, aby tento nedostatek zdrojů vyrovnala; bere na vědomí, že správní rada agentury rovněž konstatovala, že je třeba navýšit počet pracovních míst, aby agentura mohla plně a udržitelně plnit svůj mandát;</w:t>
      </w:r>
    </w:p>
    <w:p w:rsidR="0052188F" w:rsidRPr="00036C01" w:rsidRDefault="0052188F" w:rsidP="0020227E">
      <w:pPr>
        <w:pStyle w:val="Normal12Hanging"/>
        <w:rPr>
          <w:szCs w:val="24"/>
        </w:rPr>
      </w:pPr>
      <w:r w:rsidRPr="00036C01">
        <w:t>18.</w:t>
      </w:r>
      <w:r w:rsidRPr="00036C01">
        <w:tab/>
        <w:t>vítá úsilí agentury o integraci osob se zdravotním postižením, pro něž vytváří přístupnou infrastrukturu a podpůrné služby;</w:t>
      </w:r>
    </w:p>
    <w:p w:rsidR="0052188F" w:rsidRPr="00036C01" w:rsidRDefault="0052188F" w:rsidP="0020227E">
      <w:pPr>
        <w:pStyle w:val="Normal12Hanging"/>
        <w:rPr>
          <w:szCs w:val="24"/>
        </w:rPr>
      </w:pPr>
      <w:r w:rsidRPr="00036C01">
        <w:lastRenderedPageBreak/>
        <w:t>19.</w:t>
      </w:r>
      <w:r w:rsidRPr="00036C01">
        <w:tab/>
        <w:t xml:space="preserve">bere na vědomí, že agentura v roce 2022 pokračovala v doplňkové podpoře zaměstnanců formou poukázek, proplácení nákladů na internet a programu </w:t>
      </w:r>
      <w:proofErr w:type="spellStart"/>
      <w:r w:rsidRPr="00036C01">
        <w:t>fit@work</w:t>
      </w:r>
      <w:proofErr w:type="spellEnd"/>
      <w:r w:rsidRPr="00036C01">
        <w:t xml:space="preserve"> a vypracovala svůj kodex chování, který zpřesňuje očekávání agentury týkající se chování a jednání zaměstnanců;</w:t>
      </w:r>
    </w:p>
    <w:p w:rsidR="0052188F" w:rsidRPr="00036C01" w:rsidRDefault="0052188F" w:rsidP="0020227E">
      <w:pPr>
        <w:pStyle w:val="NormalHanging12a"/>
        <w:rPr>
          <w:b/>
          <w:i/>
          <w:szCs w:val="24"/>
        </w:rPr>
      </w:pPr>
      <w:r w:rsidRPr="00036C01">
        <w:rPr>
          <w:b/>
          <w:i/>
        </w:rPr>
        <w:t>Zadávání veřejných zakázek</w:t>
      </w:r>
    </w:p>
    <w:p w:rsidR="0052188F" w:rsidRPr="00036C01" w:rsidRDefault="0052188F" w:rsidP="0020227E">
      <w:pPr>
        <w:pStyle w:val="NormalHanging12a"/>
        <w:rPr>
          <w:szCs w:val="24"/>
        </w:rPr>
      </w:pPr>
      <w:r w:rsidRPr="00036C01">
        <w:t>20.</w:t>
      </w:r>
      <w:r w:rsidRPr="00036C01">
        <w:tab/>
        <w:t>se znepokojením konstatuje, že Účetní dvůr zjistil dva případy, kdy agentura zadala zakázky nízké hodnoty (méně než 15 000 EUR), aniž by vydala hodnoticí zprávu a rozhodnutí o zadání zakázky řádně schválené a podepsané schvalující osobou, což je v rozporu s čl. 30 odst. 3 a 4 přílohy I finančního nařízení; v této souvislosti připomíná, že Účetní dvůr vznesl podobnou připomínku už ve zprávě za rok 2021 a agentura tehdy v odpovědi uvedla, že už podnikla nezbytné kroky k jejímu řešení; trvá na tom, že je důležité zavést postupy, které zajistí plný soulad s finančním nařízením; vyzývá agenturu, aby se zabývala otázkami vznesenými Účetním dvorem a podala v této věci zprávu orgánu příslušnému k udělení absolutoria;</w:t>
      </w:r>
    </w:p>
    <w:p w:rsidR="0052188F" w:rsidRPr="00036C01" w:rsidRDefault="0052188F" w:rsidP="0020227E">
      <w:pPr>
        <w:pStyle w:val="NormalHanging12a"/>
        <w:rPr>
          <w:szCs w:val="24"/>
        </w:rPr>
      </w:pPr>
      <w:r w:rsidRPr="00036C01">
        <w:t>21.</w:t>
      </w:r>
      <w:r w:rsidRPr="00036C01">
        <w:tab/>
        <w:t>bere na vědomí, že podle Účetního dvora agentura v průběhu roku 2022 nabídla svým vedoucím pracovníkům odborné hodnocení provedené externím poskytovatelem, kterého určila agentura; bere na vědomí, že ve třech případech zaplatila agentura za tyto služby přímo poskytovateli, zatímco ve zbývajících 23 případech proplatila příslušné částky vedoucím pracovníkům, kteří zaplatili poskytovateli služeb sami; poznamenává, že celková částka, kterou agentura zaplatila za 26 hodnocení, činila 120 276 EUR; vyjadřuje politování nad tím, že agentura vybrala poskytovatele bez zahájení otevřeného zadávacího řízení, a z tohoto důvodu Účetní dvůr dospěl k závěru, že tyto platby byly nesprávné; vyzývá agenturu, aby se otázkami vznesenými Účetním dvorem zabývala a podala orgánu příslušnému k udělení absolutoria zprávu o veškerých opatřeních přijatých v této věci;</w:t>
      </w:r>
    </w:p>
    <w:p w:rsidR="0052188F" w:rsidRPr="00036C01" w:rsidRDefault="0052188F" w:rsidP="0020227E">
      <w:pPr>
        <w:pStyle w:val="NormalHanging12a"/>
        <w:rPr>
          <w:szCs w:val="24"/>
        </w:rPr>
      </w:pPr>
      <w:r w:rsidRPr="00036C01">
        <w:t>22.</w:t>
      </w:r>
      <w:r w:rsidRPr="00036C01">
        <w:tab/>
        <w:t>trvá na tom, že cílem pravidel pro zadávání veřejných zakázek je umožnit zadavatelům získat zboží a služby, které potřebují, za nejlepší cenu a zároveň zajistit spravedlivou hospodářskou soutěž mezi uchazeči a dodržování zásad transparentnosti, proporcionality, rovného zacházení a nediskriminace; vyzývá agenturu, aby dále zlepšila postupy zadávání veřejných zakázek a zajistila jejich plný soulad s platnými pravidly tak, aby bylo dosaženo ekonomicky co nejvýhodnější nabídky;</w:t>
      </w:r>
    </w:p>
    <w:p w:rsidR="0052188F" w:rsidRPr="00036C01" w:rsidRDefault="0052188F" w:rsidP="0020227E">
      <w:pPr>
        <w:pStyle w:val="NormalHanging12a"/>
        <w:rPr>
          <w:szCs w:val="24"/>
        </w:rPr>
      </w:pPr>
      <w:r w:rsidRPr="00036C01">
        <w:rPr>
          <w:b/>
          <w:i/>
        </w:rPr>
        <w:t>Prevence a řešení střetů zájmů a transparentnost</w:t>
      </w:r>
    </w:p>
    <w:p w:rsidR="0052188F" w:rsidRPr="00036C01" w:rsidRDefault="0052188F" w:rsidP="0020227E">
      <w:pPr>
        <w:pStyle w:val="NormalHanging12a"/>
        <w:rPr>
          <w:szCs w:val="24"/>
        </w:rPr>
      </w:pPr>
      <w:r w:rsidRPr="00036C01">
        <w:t>23.</w:t>
      </w:r>
      <w:r w:rsidRPr="00036C01">
        <w:tab/>
        <w:t>bere na vědomí stávající opatření agentury a její soustavné úsilí o zajištění transparentnosti, prevence a řešení střetů zájmů a skutečnost, že životopisy členů správní rady a jejich prohlášení o závazcích a zájmech jsou zveřejňovány na internetových stránkách agentury, ačkoli některé životopisy chybí;</w:t>
      </w:r>
    </w:p>
    <w:p w:rsidR="0052188F" w:rsidRPr="00036C01" w:rsidRDefault="0052188F" w:rsidP="0020227E">
      <w:pPr>
        <w:pStyle w:val="NormalHanging12a"/>
        <w:rPr>
          <w:szCs w:val="24"/>
        </w:rPr>
      </w:pPr>
      <w:r w:rsidRPr="00036C01">
        <w:t>24.</w:t>
      </w:r>
      <w:r w:rsidRPr="00036C01">
        <w:tab/>
        <w:t>konstatuje, že agentura v roce 2022 neoznámila žádný případ střetu zájmů; dále bere na vědomí, že agentura přijala rozhodnutí správní rady č. 15/2021 o předcházení střetu zájmů a aktualizaci vzorů prohlášení; trvá na tom, že je třeba, aby měla agentura zavedeny postupy pro sledování dodržování pravidel týkajících se „efektu otáčivých dveří“ a aktivně sledovala profesní činnost svých vedoucích pracovníků, včetně těch, kteří agenturu opustili během posledních dvou let, aby bylo možné odhalit neohlášené případy „efektu otáčivých dveří“;</w:t>
      </w:r>
    </w:p>
    <w:p w:rsidR="0052188F" w:rsidRPr="00036C01" w:rsidRDefault="0052188F" w:rsidP="0020227E">
      <w:pPr>
        <w:pStyle w:val="NormalHanging12a"/>
        <w:rPr>
          <w:szCs w:val="24"/>
        </w:rPr>
      </w:pPr>
      <w:r w:rsidRPr="00036C01">
        <w:lastRenderedPageBreak/>
        <w:t>25.</w:t>
      </w:r>
      <w:r w:rsidRPr="00036C01">
        <w:tab/>
        <w:t>bere na vědomí, že kalendář schůzek vedení agentury s externími zúčastněnými stranami je veřejně dostupný na internetových stránkách agentury;</w:t>
      </w:r>
    </w:p>
    <w:p w:rsidR="0052188F" w:rsidRPr="00036C01" w:rsidRDefault="0052188F" w:rsidP="0020227E">
      <w:pPr>
        <w:pStyle w:val="NormalHanging12a"/>
      </w:pPr>
      <w:r w:rsidRPr="00036C01">
        <w:t>26.</w:t>
      </w:r>
      <w:r w:rsidRPr="00036C01">
        <w:tab/>
        <w:t>připomíná, že je důležité, aby se agentura více zviditelňovala ve sdělovacích prostředcích, na internetu a v sociálních médiích, a občané se tak mohli blíže seznámit s prací, kterou vykonává;</w:t>
      </w:r>
    </w:p>
    <w:p w:rsidR="0052188F" w:rsidRPr="00036C01" w:rsidRDefault="0052188F" w:rsidP="0020227E">
      <w:pPr>
        <w:pStyle w:val="Normal12Hanging"/>
        <w:rPr>
          <w:b/>
          <w:i/>
          <w:szCs w:val="24"/>
        </w:rPr>
      </w:pPr>
      <w:r w:rsidRPr="00036C01">
        <w:rPr>
          <w:b/>
          <w:i/>
        </w:rPr>
        <w:t>Interní audit</w:t>
      </w:r>
    </w:p>
    <w:p w:rsidR="0052188F" w:rsidRPr="00036C01" w:rsidRDefault="0052188F" w:rsidP="0020227E">
      <w:pPr>
        <w:pStyle w:val="Normal12Hanging"/>
      </w:pPr>
      <w:r w:rsidRPr="00036C01">
        <w:t>27.</w:t>
      </w:r>
      <w:r w:rsidRPr="00036C01">
        <w:tab/>
        <w:t>bere na vědomí, že Útvar interního auditu provedl v roce 2021 audit strategického plánování programování a řízení výkonnosti a v dubnu 2022 vydal závěrečnou zprávu o auditu obsahující tři důležitá doporučení; dále bere na vědomí, že agentura s připomínkami auditu souhlasí a přijala nezbytná opatření k jejich řešení;</w:t>
      </w:r>
    </w:p>
    <w:p w:rsidR="0052188F" w:rsidRPr="00036C01" w:rsidRDefault="0052188F" w:rsidP="0020227E">
      <w:pPr>
        <w:pStyle w:val="Normal12Hanging"/>
      </w:pPr>
      <w:r w:rsidRPr="00036C01">
        <w:t>28.</w:t>
      </w:r>
      <w:r w:rsidRPr="00036C01">
        <w:tab/>
        <w:t>poznamenává, že podle Účetního dvora nemá agentura předem stanovené modelové posouzení, konkrétně pokyny, které by hodnoticí komisi pomohlo posoudit nabídky; konstatuje, že to s sebou nese riziko, že jednotliví členové hodnoticí komise nebudou nabídky hodnotit konzistentním způsobem; vyzývá agenturu, aby se otázkou vznesenou Účetním dvorem zabývala a podala v této věci zprávu orgánu příslušnému k udělení absolutoria;</w:t>
      </w:r>
    </w:p>
    <w:p w:rsidR="0052188F" w:rsidRPr="00036C01" w:rsidRDefault="0052188F" w:rsidP="0020227E">
      <w:pPr>
        <w:pStyle w:val="Normal12Hanging"/>
      </w:pPr>
      <w:r w:rsidRPr="00036C01">
        <w:t>29.</w:t>
      </w:r>
      <w:r w:rsidRPr="00036C01">
        <w:tab/>
        <w:t xml:space="preserve">bere na vědomí, že v roce 2022 agentura provedla kontroly </w:t>
      </w:r>
      <w:r w:rsidRPr="009308EC">
        <w:rPr>
          <w:i/>
        </w:rPr>
        <w:t>ex post</w:t>
      </w:r>
      <w:r w:rsidRPr="00036C01">
        <w:t xml:space="preserve"> finančních transakcí uskutečněných v rozpočtovém roce 2021, jak stanoví podle čl. 45 odst. 8 a 9 nařízení Komise v přenesené pravomoci (EU) 2019/715</w:t>
      </w:r>
      <w:r w:rsidRPr="00036C01">
        <w:rPr>
          <w:rStyle w:val="FootnoteReference"/>
        </w:rPr>
        <w:footnoteReference w:id="13"/>
      </w:r>
      <w:r w:rsidRPr="00036C01">
        <w:t>; upozorňuje na skutečnost, že byly zjištěny tři nedostatky, které vedly k vydání třech doporučení týkajících se finančních transakcí, z nichž žádné nebylo považováno za kritické; poznamenává, že k odstranění hlavního nedostatku bylo v roce 2022 zavedeno týdenní sledování platebních lhůt, které má příslušné pracovníky finančního oddělení upozornit na naléhavé neprovedené transakce, aby byl dodržen právní rámec týkající se platebních lhůt;</w:t>
      </w:r>
    </w:p>
    <w:p w:rsidR="0052188F" w:rsidRPr="00036C01" w:rsidRDefault="0052188F" w:rsidP="0020227E">
      <w:pPr>
        <w:pStyle w:val="Normal12Hanging"/>
      </w:pPr>
      <w:r w:rsidRPr="00036C01">
        <w:t>30.</w:t>
      </w:r>
      <w:r w:rsidRPr="00036C01">
        <w:tab/>
        <w:t>bere na vědomí, že v roce 2022 bylo hodnocení účinnosti systémů vnitřní kontroly agentury založeno na ukazatelích rámce a také na dalších informacích ze zpráv o posouzení konkrétních (rizik), zjištění auditu a dalších příslušných zdrojů; poznamenává, že z hodnocení vnitřní kontroly agentury vyplývá přiměřená jistota, že usnadňuje účinné a účelné operace, zajišťuje kvalitní výkaznictví a soulad s předpisy, přesto je však třeba provést některá zlepšení v souvislosti s některými zásadami, aby se zvýšila účinnost a zajistilo řádné provádění vnitřní kontroly; vyzývá agenturu, aby orgánu příslušnému k udělení absolutoria podala zprávu o opatřeních přijatých v návaznosti na zlepšení navrhovaná v posouzení;</w:t>
      </w:r>
    </w:p>
    <w:p w:rsidR="0052188F" w:rsidRPr="00036C01" w:rsidRDefault="0052188F" w:rsidP="0020227E">
      <w:pPr>
        <w:pStyle w:val="Normal12Hanging"/>
        <w:rPr>
          <w:b/>
          <w:i/>
          <w:color w:val="000000"/>
        </w:rPr>
      </w:pPr>
      <w:r w:rsidRPr="00036C01">
        <w:rPr>
          <w:b/>
          <w:i/>
          <w:color w:val="000000"/>
        </w:rPr>
        <w:t>Další připomínky</w:t>
      </w:r>
    </w:p>
    <w:p w:rsidR="0052188F" w:rsidRPr="00036C01" w:rsidRDefault="0052188F" w:rsidP="0020227E">
      <w:pPr>
        <w:pStyle w:val="NormalHanging12a"/>
        <w:rPr>
          <w:szCs w:val="24"/>
        </w:rPr>
      </w:pPr>
      <w:r w:rsidRPr="00036C01">
        <w:t>31.</w:t>
      </w:r>
      <w:r w:rsidRPr="00036C01">
        <w:tab/>
        <w:t xml:space="preserve">bere na vědomí, že agentura zavedla důležitá opatření za účelem zvýšení ochrany kybernetické bezpečnosti, jako je například řešení zabezpečené elektronické pošty (SECEM2), test nasazení červeného týmu a následné opravy či kalení systémů, vyřazování starších systémů z provozu a aktualizace rámce interní politiky kybernetické </w:t>
      </w:r>
      <w:r w:rsidRPr="00036C01">
        <w:lastRenderedPageBreak/>
        <w:t>bezpečnosti;</w:t>
      </w:r>
    </w:p>
    <w:p w:rsidR="0052188F" w:rsidRPr="00036C01" w:rsidRDefault="0052188F" w:rsidP="0020227E">
      <w:pPr>
        <w:pStyle w:val="NormalHanging12a"/>
      </w:pPr>
      <w:r w:rsidRPr="00036C01">
        <w:t>32.</w:t>
      </w:r>
      <w:r w:rsidRPr="00036C01">
        <w:tab/>
        <w:t>vítá, že správní rada agentury doplnila do jednotného programového dokumentu agentury na období 2022–2024 cíl, aby agentura do roku 2030 dosáhla klimatické neutrality ve všech svých činnostech; konstatuje, že klíčovými cíli agentury jsou společně s přijetím strategie agentury ENISA také certifikace EMAS a zelené veřejné zakázky; bere na vědomí, že proces certifikace by měl být dokončen v průběhu roku 2024;</w:t>
      </w:r>
    </w:p>
    <w:p w:rsidR="0020227E" w:rsidRDefault="0020227E" w:rsidP="0020227E">
      <w:pPr>
        <w:pStyle w:val="NormalCenter12a"/>
        <w:widowControl/>
      </w:pPr>
      <w:r>
        <w:t>°</w:t>
      </w:r>
    </w:p>
    <w:p w:rsidR="0020227E" w:rsidRDefault="0020227E" w:rsidP="0020227E">
      <w:pPr>
        <w:pStyle w:val="NormalCenter12a"/>
        <w:widowControl/>
      </w:pPr>
      <w:r>
        <w:t>°     °</w:t>
      </w:r>
    </w:p>
    <w:p w:rsidR="00E365E1" w:rsidRPr="00036C01" w:rsidRDefault="0052188F" w:rsidP="0020227E">
      <w:pPr>
        <w:spacing w:after="240"/>
        <w:ind w:left="567" w:hanging="567"/>
      </w:pPr>
      <w:r w:rsidRPr="00036C01">
        <w:t>33.</w:t>
      </w:r>
      <w:r w:rsidRPr="00036C01">
        <w:tab/>
        <w:t xml:space="preserve">pokud jde o další připomínky, které jsou připojeny k rozhodnutí o udělení absolutoria a jsou horizontální povahy, odkazuje na své usnesení ze dne </w:t>
      </w:r>
      <w:r w:rsidR="008A425C">
        <w:t>11. dubna 2024</w:t>
      </w:r>
      <w:r w:rsidRPr="00036C01">
        <w:rPr>
          <w:vertAlign w:val="superscript"/>
        </w:rPr>
        <w:footnoteReference w:id="14"/>
      </w:r>
      <w:r w:rsidRPr="00036C01">
        <w:t xml:space="preserve"> o výkonnosti, finančním řízení a kontrole agentur.</w:t>
      </w:r>
      <w:bookmarkStart w:id="11" w:name="TextBodyEnd"/>
      <w:bookmarkEnd w:id="11"/>
    </w:p>
    <w:sectPr w:rsidR="00E365E1" w:rsidRPr="00036C01" w:rsidSect="00036C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7F3" w:rsidRPr="00036C01" w:rsidRDefault="009717F3">
      <w:r w:rsidRPr="00036C01">
        <w:separator/>
      </w:r>
    </w:p>
  </w:endnote>
  <w:endnote w:type="continuationSeparator" w:id="0">
    <w:p w:rsidR="009717F3" w:rsidRPr="00036C01" w:rsidRDefault="009717F3">
      <w:r w:rsidRPr="00036C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88F" w:rsidRPr="00036C01" w:rsidRDefault="0052188F" w:rsidP="0053074E">
    <w:pPr>
      <w:pStyle w:val="EPFooter"/>
    </w:pPr>
    <w:r w:rsidRPr="00036C01">
      <w:t>PE</w:t>
    </w:r>
    <w:r w:rsidRPr="00036C01">
      <w:rPr>
        <w:rStyle w:val="HideTWBExt"/>
      </w:rPr>
      <w:t>&lt;</w:t>
    </w:r>
    <w:proofErr w:type="spellStart"/>
    <w:r w:rsidRPr="00036C01">
      <w:rPr>
        <w:rStyle w:val="HideTWBExt"/>
      </w:rPr>
      <w:t>NoPE</w:t>
    </w:r>
    <w:proofErr w:type="spellEnd"/>
    <w:r w:rsidRPr="00036C01">
      <w:rPr>
        <w:rStyle w:val="HideTWBExt"/>
      </w:rPr>
      <w:t>&gt;</w:t>
    </w:r>
    <w:r w:rsidRPr="00036C01">
      <w:t>753.527</w:t>
    </w:r>
    <w:r w:rsidRPr="00036C01">
      <w:rPr>
        <w:rStyle w:val="HideTWBExt"/>
      </w:rPr>
      <w:t>&lt;/</w:t>
    </w:r>
    <w:proofErr w:type="spellStart"/>
    <w:r w:rsidRPr="00036C01">
      <w:rPr>
        <w:rStyle w:val="HideTWBExt"/>
      </w:rPr>
      <w:t>NoPE</w:t>
    </w:r>
    <w:proofErr w:type="spellEnd"/>
    <w:r w:rsidRPr="00036C01">
      <w:rPr>
        <w:rStyle w:val="HideTWBExt"/>
      </w:rPr>
      <w:t>&gt;&lt;Version&gt;</w:t>
    </w:r>
    <w:r w:rsidRPr="00036C01">
      <w:t>v02-00</w:t>
    </w:r>
    <w:r w:rsidRPr="00036C01">
      <w:rPr>
        <w:rStyle w:val="HideTWBExt"/>
      </w:rPr>
      <w:t>&lt;/</w:t>
    </w:r>
    <w:proofErr w:type="spellStart"/>
    <w:r w:rsidRPr="00036C01">
      <w:rPr>
        <w:rStyle w:val="HideTWBExt"/>
      </w:rPr>
      <w:t>Version</w:t>
    </w:r>
    <w:proofErr w:type="spellEnd"/>
    <w:r w:rsidRPr="00036C01">
      <w:rPr>
        <w:rStyle w:val="HideTWBExt"/>
      </w:rPr>
      <w:t>&gt;</w:t>
    </w:r>
    <w:r w:rsidRPr="00036C01">
      <w:tab/>
    </w:r>
    <w:r w:rsidRPr="00036C01">
      <w:fldChar w:fldCharType="begin"/>
    </w:r>
    <w:r w:rsidRPr="00036C01">
      <w:instrText xml:space="preserve"> PAGE  \* MERGEFORMAT </w:instrText>
    </w:r>
    <w:r w:rsidRPr="00036C01">
      <w:fldChar w:fldCharType="separate"/>
    </w:r>
    <w:r w:rsidR="00036C01" w:rsidRPr="00036C01">
      <w:rPr>
        <w:noProof/>
      </w:rPr>
      <w:t>2</w:t>
    </w:r>
    <w:r w:rsidRPr="00036C01">
      <w:fldChar w:fldCharType="end"/>
    </w:r>
    <w:r w:rsidRPr="00036C01">
      <w:t>/</w:t>
    </w:r>
    <w:fldSimple w:instr=" NUMPAGES  \* MERGEFORMAT ">
      <w:r w:rsidR="00036C01" w:rsidRPr="00036C01">
        <w:rPr>
          <w:noProof/>
        </w:rPr>
        <w:t>4</w:t>
      </w:r>
    </w:fldSimple>
    <w:r w:rsidRPr="00036C01">
      <w:tab/>
    </w:r>
    <w:r w:rsidRPr="00036C01">
      <w:rPr>
        <w:rStyle w:val="HideTWBExt"/>
      </w:rPr>
      <w:t>&lt;PathFdR&gt;</w:t>
    </w:r>
    <w:r w:rsidRPr="00036C01">
      <w:t>RR\1299245CS.docx</w:t>
    </w:r>
    <w:r w:rsidRPr="00036C01">
      <w:rPr>
        <w:rStyle w:val="HideTWBExt"/>
      </w:rPr>
      <w:t>&lt;/</w:t>
    </w:r>
    <w:proofErr w:type="spellStart"/>
    <w:r w:rsidRPr="00036C01">
      <w:rPr>
        <w:rStyle w:val="HideTWBExt"/>
      </w:rPr>
      <w:t>PathFdR</w:t>
    </w:r>
    <w:proofErr w:type="spellEnd"/>
    <w:r w:rsidRPr="00036C01">
      <w:rPr>
        <w:rStyle w:val="HideTWBExt"/>
      </w:rPr>
      <w:t>&gt;</w:t>
    </w:r>
  </w:p>
  <w:p w:rsidR="0052188F" w:rsidRPr="00036C01" w:rsidRDefault="0052188F" w:rsidP="0053074E">
    <w:pPr>
      <w:pStyle w:val="EPFooter2"/>
    </w:pPr>
    <w:r w:rsidRPr="00036C01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88F" w:rsidRPr="00036C01" w:rsidRDefault="0052188F" w:rsidP="0053074E">
    <w:pPr>
      <w:pStyle w:val="EPFooter"/>
    </w:pPr>
    <w:r w:rsidRPr="00036C01">
      <w:rPr>
        <w:rStyle w:val="HideTWBExt"/>
      </w:rPr>
      <w:t>&lt;PathFdR&gt;</w:t>
    </w:r>
    <w:r w:rsidRPr="00036C01">
      <w:t>RR\1299245CS.docx</w:t>
    </w:r>
    <w:r w:rsidRPr="00036C01">
      <w:rPr>
        <w:rStyle w:val="HideTWBExt"/>
      </w:rPr>
      <w:t>&lt;/</w:t>
    </w:r>
    <w:proofErr w:type="spellStart"/>
    <w:r w:rsidRPr="00036C01">
      <w:rPr>
        <w:rStyle w:val="HideTWBExt"/>
      </w:rPr>
      <w:t>PathFdR</w:t>
    </w:r>
    <w:proofErr w:type="spellEnd"/>
    <w:r w:rsidRPr="00036C01">
      <w:rPr>
        <w:rStyle w:val="HideTWBExt"/>
      </w:rPr>
      <w:t>&gt;</w:t>
    </w:r>
    <w:r w:rsidRPr="00036C01">
      <w:tab/>
    </w:r>
    <w:r w:rsidRPr="00036C01">
      <w:tab/>
      <w:t>PE</w:t>
    </w:r>
    <w:r w:rsidRPr="00036C01">
      <w:rPr>
        <w:rStyle w:val="HideTWBExt"/>
      </w:rPr>
      <w:t>&lt;</w:t>
    </w:r>
    <w:proofErr w:type="spellStart"/>
    <w:r w:rsidRPr="00036C01">
      <w:rPr>
        <w:rStyle w:val="HideTWBExt"/>
      </w:rPr>
      <w:t>NoPE</w:t>
    </w:r>
    <w:proofErr w:type="spellEnd"/>
    <w:r w:rsidRPr="00036C01">
      <w:rPr>
        <w:rStyle w:val="HideTWBExt"/>
      </w:rPr>
      <w:t>&gt;</w:t>
    </w:r>
    <w:r w:rsidRPr="00036C01">
      <w:t>753.527</w:t>
    </w:r>
    <w:r w:rsidRPr="00036C01">
      <w:rPr>
        <w:rStyle w:val="HideTWBExt"/>
      </w:rPr>
      <w:t>&lt;/</w:t>
    </w:r>
    <w:proofErr w:type="spellStart"/>
    <w:r w:rsidRPr="00036C01">
      <w:rPr>
        <w:rStyle w:val="HideTWBExt"/>
      </w:rPr>
      <w:t>NoPE</w:t>
    </w:r>
    <w:proofErr w:type="spellEnd"/>
    <w:r w:rsidRPr="00036C01">
      <w:rPr>
        <w:rStyle w:val="HideTWBExt"/>
      </w:rPr>
      <w:t>&gt;&lt;Version&gt;</w:t>
    </w:r>
    <w:r w:rsidRPr="00036C01">
      <w:t>v02-00</w:t>
    </w:r>
    <w:r w:rsidRPr="00036C01">
      <w:rPr>
        <w:rStyle w:val="HideTWBExt"/>
      </w:rPr>
      <w:t>&lt;/</w:t>
    </w:r>
    <w:proofErr w:type="spellStart"/>
    <w:r w:rsidRPr="00036C01">
      <w:rPr>
        <w:rStyle w:val="HideTWBExt"/>
      </w:rPr>
      <w:t>Version</w:t>
    </w:r>
    <w:proofErr w:type="spellEnd"/>
    <w:r w:rsidRPr="00036C01">
      <w:rPr>
        <w:rStyle w:val="HideTWBExt"/>
      </w:rPr>
      <w:t>&gt;</w:t>
    </w:r>
  </w:p>
  <w:p w:rsidR="0052188F" w:rsidRPr="00036C01" w:rsidRDefault="0052188F" w:rsidP="0053074E">
    <w:pPr>
      <w:pStyle w:val="EPFooter2"/>
    </w:pPr>
    <w:r w:rsidRPr="00036C01">
      <w:t>CS</w:t>
    </w:r>
    <w:r w:rsidRPr="00036C01">
      <w:tab/>
    </w:r>
    <w:r w:rsidRPr="00036C01">
      <w:rPr>
        <w:b w:val="0"/>
        <w:i/>
        <w:color w:val="C0C0C0"/>
        <w:sz w:val="22"/>
      </w:rPr>
      <w:t>Jednotná v rozmanitosti</w:t>
    </w:r>
    <w:r w:rsidRPr="00036C01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6C0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6C0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6C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7F3" w:rsidRPr="00036C01" w:rsidRDefault="009717F3">
      <w:r w:rsidRPr="00036C01">
        <w:separator/>
      </w:r>
    </w:p>
  </w:footnote>
  <w:footnote w:type="continuationSeparator" w:id="0">
    <w:p w:rsidR="009717F3" w:rsidRPr="00036C01" w:rsidRDefault="009717F3">
      <w:r w:rsidRPr="00036C01">
        <w:continuationSeparator/>
      </w:r>
    </w:p>
  </w:footnote>
  <w:footnote w:id="1">
    <w:p w:rsidR="0052188F" w:rsidRPr="00036C01" w:rsidRDefault="0052188F" w:rsidP="00036C01">
      <w:pPr>
        <w:pStyle w:val="FootnoteText"/>
        <w:ind w:left="567" w:hanging="567"/>
        <w:rPr>
          <w:sz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proofErr w:type="spellStart"/>
      <w:r w:rsidRPr="00036C01">
        <w:rPr>
          <w:sz w:val="24"/>
          <w:lang w:val="cs-CZ"/>
        </w:rPr>
        <w:t>Úř</w:t>
      </w:r>
      <w:proofErr w:type="spellEnd"/>
      <w:r w:rsidRPr="00036C01">
        <w:rPr>
          <w:sz w:val="24"/>
          <w:lang w:val="cs-CZ"/>
        </w:rPr>
        <w:t xml:space="preserve">. </w:t>
      </w:r>
      <w:proofErr w:type="spellStart"/>
      <w:r w:rsidRPr="00036C01">
        <w:rPr>
          <w:sz w:val="24"/>
          <w:lang w:val="cs-CZ"/>
        </w:rPr>
        <w:t>věst</w:t>
      </w:r>
      <w:proofErr w:type="spellEnd"/>
      <w:r w:rsidRPr="00036C01">
        <w:rPr>
          <w:sz w:val="24"/>
          <w:lang w:val="cs-CZ"/>
        </w:rPr>
        <w:t>. C, C/2023/594, 27.10.2023.</w:t>
      </w:r>
    </w:p>
  </w:footnote>
  <w:footnote w:id="2">
    <w:p w:rsidR="0052188F" w:rsidRPr="00036C01" w:rsidRDefault="0052188F" w:rsidP="00036C01">
      <w:pPr>
        <w:pStyle w:val="FootnoteText"/>
        <w:ind w:left="567" w:hanging="567"/>
        <w:rPr>
          <w:sz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proofErr w:type="spellStart"/>
      <w:r w:rsidRPr="00036C01">
        <w:rPr>
          <w:sz w:val="24"/>
          <w:lang w:val="cs-CZ"/>
        </w:rPr>
        <w:t>Úř</w:t>
      </w:r>
      <w:proofErr w:type="spellEnd"/>
      <w:r w:rsidRPr="00036C01">
        <w:rPr>
          <w:sz w:val="24"/>
          <w:lang w:val="cs-CZ"/>
        </w:rPr>
        <w:t xml:space="preserve">. </w:t>
      </w:r>
      <w:proofErr w:type="spellStart"/>
      <w:r w:rsidRPr="00036C01">
        <w:rPr>
          <w:sz w:val="24"/>
          <w:lang w:val="cs-CZ"/>
        </w:rPr>
        <w:t>věst</w:t>
      </w:r>
      <w:proofErr w:type="spellEnd"/>
      <w:r w:rsidRPr="00036C01">
        <w:rPr>
          <w:sz w:val="24"/>
          <w:lang w:val="cs-CZ"/>
        </w:rPr>
        <w:t>. C, C/2023/112, 12.10.2023.</w:t>
      </w:r>
    </w:p>
  </w:footnote>
  <w:footnote w:id="3">
    <w:p w:rsidR="0052188F" w:rsidRPr="00036C01" w:rsidRDefault="0052188F" w:rsidP="00036C01">
      <w:pPr>
        <w:pStyle w:val="FootnoteText"/>
        <w:ind w:left="567" w:hanging="567"/>
        <w:rPr>
          <w:sz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proofErr w:type="spellStart"/>
      <w:r w:rsidRPr="00036C01">
        <w:rPr>
          <w:sz w:val="24"/>
          <w:lang w:val="cs-CZ"/>
        </w:rPr>
        <w:t>Úř</w:t>
      </w:r>
      <w:proofErr w:type="spellEnd"/>
      <w:r w:rsidRPr="00036C01">
        <w:rPr>
          <w:sz w:val="24"/>
          <w:lang w:val="cs-CZ"/>
        </w:rPr>
        <w:t xml:space="preserve">. </w:t>
      </w:r>
      <w:proofErr w:type="spellStart"/>
      <w:r w:rsidRPr="00036C01">
        <w:rPr>
          <w:sz w:val="24"/>
          <w:lang w:val="cs-CZ"/>
        </w:rPr>
        <w:t>věst</w:t>
      </w:r>
      <w:proofErr w:type="spellEnd"/>
      <w:r w:rsidRPr="00036C01">
        <w:rPr>
          <w:sz w:val="24"/>
          <w:lang w:val="cs-CZ"/>
        </w:rPr>
        <w:t>. L 193, 30.7.2018, s. 1.</w:t>
      </w:r>
    </w:p>
  </w:footnote>
  <w:footnote w:id="4">
    <w:p w:rsidR="0052188F" w:rsidRPr="00036C01" w:rsidRDefault="0052188F" w:rsidP="00036C01">
      <w:pPr>
        <w:pStyle w:val="FootnoteText"/>
        <w:ind w:left="567" w:hanging="567"/>
        <w:rPr>
          <w:sz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proofErr w:type="spellStart"/>
      <w:r w:rsidRPr="00036C01">
        <w:rPr>
          <w:sz w:val="24"/>
          <w:lang w:val="cs-CZ"/>
        </w:rPr>
        <w:t>Úř</w:t>
      </w:r>
      <w:proofErr w:type="spellEnd"/>
      <w:r w:rsidRPr="00036C01">
        <w:rPr>
          <w:sz w:val="24"/>
          <w:lang w:val="cs-CZ"/>
        </w:rPr>
        <w:t xml:space="preserve">. </w:t>
      </w:r>
      <w:proofErr w:type="spellStart"/>
      <w:r w:rsidRPr="00036C01">
        <w:rPr>
          <w:sz w:val="24"/>
          <w:lang w:val="cs-CZ"/>
        </w:rPr>
        <w:t>věst</w:t>
      </w:r>
      <w:proofErr w:type="spellEnd"/>
      <w:r w:rsidRPr="00036C01">
        <w:rPr>
          <w:sz w:val="24"/>
          <w:lang w:val="cs-CZ"/>
        </w:rPr>
        <w:t>. L 151, 7.6.2019, s. 15.</w:t>
      </w:r>
    </w:p>
  </w:footnote>
  <w:footnote w:id="5">
    <w:p w:rsidR="0052188F" w:rsidRPr="00036C01" w:rsidRDefault="0052188F" w:rsidP="00036C01">
      <w:pPr>
        <w:pStyle w:val="FootnoteText"/>
        <w:ind w:left="567" w:hanging="567"/>
        <w:rPr>
          <w:sz w:val="24"/>
          <w:szCs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proofErr w:type="spellStart"/>
      <w:r w:rsidRPr="00036C01">
        <w:rPr>
          <w:sz w:val="24"/>
          <w:lang w:val="cs-CZ"/>
        </w:rPr>
        <w:t>Úř</w:t>
      </w:r>
      <w:proofErr w:type="spellEnd"/>
      <w:r w:rsidRPr="00036C01">
        <w:rPr>
          <w:sz w:val="24"/>
          <w:lang w:val="cs-CZ"/>
        </w:rPr>
        <w:t xml:space="preserve">. </w:t>
      </w:r>
      <w:proofErr w:type="spellStart"/>
      <w:r w:rsidRPr="00036C01">
        <w:rPr>
          <w:sz w:val="24"/>
          <w:lang w:val="cs-CZ"/>
        </w:rPr>
        <w:t>věst</w:t>
      </w:r>
      <w:proofErr w:type="spellEnd"/>
      <w:r w:rsidRPr="00036C01">
        <w:rPr>
          <w:sz w:val="24"/>
          <w:lang w:val="cs-CZ"/>
        </w:rPr>
        <w:t>. L 122, 10.5.2019, s. 1.</w:t>
      </w:r>
    </w:p>
  </w:footnote>
  <w:footnote w:id="6">
    <w:p w:rsidR="0052188F" w:rsidRPr="00036C01" w:rsidRDefault="0052188F" w:rsidP="00036C01">
      <w:pPr>
        <w:pStyle w:val="FootnoteText"/>
        <w:ind w:left="567" w:hanging="567"/>
        <w:rPr>
          <w:sz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proofErr w:type="spellStart"/>
      <w:r w:rsidRPr="00036C01">
        <w:rPr>
          <w:sz w:val="24"/>
          <w:lang w:val="cs-CZ"/>
        </w:rPr>
        <w:t>Úř</w:t>
      </w:r>
      <w:proofErr w:type="spellEnd"/>
      <w:r w:rsidRPr="00036C01">
        <w:rPr>
          <w:sz w:val="24"/>
          <w:lang w:val="cs-CZ"/>
        </w:rPr>
        <w:t xml:space="preserve">. </w:t>
      </w:r>
      <w:proofErr w:type="spellStart"/>
      <w:r w:rsidRPr="00036C01">
        <w:rPr>
          <w:sz w:val="24"/>
          <w:lang w:val="cs-CZ"/>
        </w:rPr>
        <w:t>věst</w:t>
      </w:r>
      <w:proofErr w:type="spellEnd"/>
      <w:r w:rsidRPr="00036C01">
        <w:rPr>
          <w:sz w:val="24"/>
          <w:lang w:val="cs-CZ"/>
        </w:rPr>
        <w:t>. C, C/2023/594, 27.10.2023.</w:t>
      </w:r>
    </w:p>
  </w:footnote>
  <w:footnote w:id="7">
    <w:p w:rsidR="0052188F" w:rsidRPr="00036C01" w:rsidRDefault="0052188F" w:rsidP="00036C01">
      <w:pPr>
        <w:pStyle w:val="FootnoteText"/>
        <w:ind w:left="567" w:hanging="567"/>
        <w:rPr>
          <w:sz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proofErr w:type="spellStart"/>
      <w:r w:rsidRPr="00036C01">
        <w:rPr>
          <w:sz w:val="24"/>
          <w:lang w:val="cs-CZ"/>
        </w:rPr>
        <w:t>Úř</w:t>
      </w:r>
      <w:proofErr w:type="spellEnd"/>
      <w:r w:rsidRPr="00036C01">
        <w:rPr>
          <w:sz w:val="24"/>
          <w:lang w:val="cs-CZ"/>
        </w:rPr>
        <w:t xml:space="preserve">. </w:t>
      </w:r>
      <w:proofErr w:type="spellStart"/>
      <w:r w:rsidRPr="00036C01">
        <w:rPr>
          <w:sz w:val="24"/>
          <w:lang w:val="cs-CZ"/>
        </w:rPr>
        <w:t>věst</w:t>
      </w:r>
      <w:proofErr w:type="spellEnd"/>
      <w:r w:rsidRPr="00036C01">
        <w:rPr>
          <w:sz w:val="24"/>
          <w:lang w:val="cs-CZ"/>
        </w:rPr>
        <w:t>. C, C/2023/112, 12.10.2023.</w:t>
      </w:r>
    </w:p>
  </w:footnote>
  <w:footnote w:id="8">
    <w:p w:rsidR="0052188F" w:rsidRPr="00036C01" w:rsidRDefault="0052188F" w:rsidP="00036C01">
      <w:pPr>
        <w:pStyle w:val="FootnoteText"/>
        <w:ind w:left="567" w:hanging="567"/>
        <w:rPr>
          <w:sz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proofErr w:type="spellStart"/>
      <w:r w:rsidRPr="00036C01">
        <w:rPr>
          <w:sz w:val="24"/>
          <w:lang w:val="cs-CZ"/>
        </w:rPr>
        <w:t>Úř</w:t>
      </w:r>
      <w:proofErr w:type="spellEnd"/>
      <w:r w:rsidRPr="00036C01">
        <w:rPr>
          <w:sz w:val="24"/>
          <w:lang w:val="cs-CZ"/>
        </w:rPr>
        <w:t xml:space="preserve">. </w:t>
      </w:r>
      <w:proofErr w:type="spellStart"/>
      <w:r w:rsidRPr="00036C01">
        <w:rPr>
          <w:sz w:val="24"/>
          <w:lang w:val="cs-CZ"/>
        </w:rPr>
        <w:t>věst</w:t>
      </w:r>
      <w:proofErr w:type="spellEnd"/>
      <w:r w:rsidRPr="00036C01">
        <w:rPr>
          <w:sz w:val="24"/>
          <w:lang w:val="cs-CZ"/>
        </w:rPr>
        <w:t>. L 193, 30.7.2018, s. 1.</w:t>
      </w:r>
    </w:p>
  </w:footnote>
  <w:footnote w:id="9">
    <w:p w:rsidR="0052188F" w:rsidRPr="00036C01" w:rsidRDefault="0052188F" w:rsidP="00036C01">
      <w:pPr>
        <w:pStyle w:val="FootnoteText"/>
        <w:ind w:left="567" w:hanging="567"/>
        <w:rPr>
          <w:sz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proofErr w:type="spellStart"/>
      <w:r w:rsidRPr="00036C01">
        <w:rPr>
          <w:sz w:val="24"/>
          <w:lang w:val="cs-CZ"/>
        </w:rPr>
        <w:t>Úř</w:t>
      </w:r>
      <w:proofErr w:type="spellEnd"/>
      <w:r w:rsidRPr="00036C01">
        <w:rPr>
          <w:sz w:val="24"/>
          <w:lang w:val="cs-CZ"/>
        </w:rPr>
        <w:t xml:space="preserve">. </w:t>
      </w:r>
      <w:proofErr w:type="spellStart"/>
      <w:r w:rsidRPr="00036C01">
        <w:rPr>
          <w:sz w:val="24"/>
          <w:lang w:val="cs-CZ"/>
        </w:rPr>
        <w:t>věst</w:t>
      </w:r>
      <w:proofErr w:type="spellEnd"/>
      <w:r w:rsidRPr="00036C01">
        <w:rPr>
          <w:sz w:val="24"/>
          <w:lang w:val="cs-CZ"/>
        </w:rPr>
        <w:t>. L 151, 7.6.2019, s. 15.</w:t>
      </w:r>
    </w:p>
  </w:footnote>
  <w:footnote w:id="10">
    <w:p w:rsidR="0052188F" w:rsidRPr="00036C01" w:rsidRDefault="0052188F" w:rsidP="00036C01">
      <w:pPr>
        <w:pStyle w:val="FootnoteText"/>
        <w:ind w:left="567" w:hanging="567"/>
        <w:rPr>
          <w:sz w:val="24"/>
          <w:szCs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proofErr w:type="spellStart"/>
      <w:r w:rsidRPr="00036C01">
        <w:rPr>
          <w:sz w:val="24"/>
          <w:lang w:val="cs-CZ"/>
        </w:rPr>
        <w:t>Úř</w:t>
      </w:r>
      <w:proofErr w:type="spellEnd"/>
      <w:r w:rsidRPr="00036C01">
        <w:rPr>
          <w:sz w:val="24"/>
          <w:lang w:val="cs-CZ"/>
        </w:rPr>
        <w:t xml:space="preserve">. </w:t>
      </w:r>
      <w:proofErr w:type="spellStart"/>
      <w:r w:rsidRPr="00036C01">
        <w:rPr>
          <w:sz w:val="24"/>
          <w:lang w:val="cs-CZ"/>
        </w:rPr>
        <w:t>věst</w:t>
      </w:r>
      <w:proofErr w:type="spellEnd"/>
      <w:r w:rsidRPr="00036C01">
        <w:rPr>
          <w:sz w:val="24"/>
          <w:lang w:val="cs-CZ"/>
        </w:rPr>
        <w:t>. L 122, 10.5.2019, s. 1.</w:t>
      </w:r>
    </w:p>
  </w:footnote>
  <w:footnote w:id="11">
    <w:p w:rsidR="0052188F" w:rsidRPr="00036C01" w:rsidRDefault="0052188F" w:rsidP="00036C01">
      <w:pPr>
        <w:pStyle w:val="FootnoteText"/>
        <w:ind w:left="567" w:hanging="567"/>
        <w:rPr>
          <w:sz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proofErr w:type="spellStart"/>
      <w:r w:rsidRPr="00036C01">
        <w:rPr>
          <w:sz w:val="24"/>
          <w:lang w:val="cs-CZ"/>
        </w:rPr>
        <w:t>Úř</w:t>
      </w:r>
      <w:proofErr w:type="spellEnd"/>
      <w:r w:rsidRPr="00036C01">
        <w:rPr>
          <w:sz w:val="24"/>
          <w:lang w:val="cs-CZ"/>
        </w:rPr>
        <w:t xml:space="preserve">. </w:t>
      </w:r>
      <w:proofErr w:type="spellStart"/>
      <w:r w:rsidRPr="00036C01">
        <w:rPr>
          <w:sz w:val="24"/>
          <w:lang w:val="cs-CZ"/>
        </w:rPr>
        <w:t>věst</w:t>
      </w:r>
      <w:proofErr w:type="spellEnd"/>
      <w:r w:rsidRPr="00036C01">
        <w:rPr>
          <w:sz w:val="24"/>
          <w:lang w:val="cs-CZ"/>
        </w:rPr>
        <w:t>. C 377/3, 30.09.2022, s.</w:t>
      </w:r>
      <w:r w:rsidR="00FD7B5F">
        <w:rPr>
          <w:sz w:val="24"/>
          <w:lang w:val="cs-CZ"/>
        </w:rPr>
        <w:t xml:space="preserve"> </w:t>
      </w:r>
      <w:bookmarkStart w:id="10" w:name="_GoBack"/>
      <w:bookmarkEnd w:id="10"/>
      <w:r w:rsidRPr="00036C01">
        <w:rPr>
          <w:sz w:val="24"/>
          <w:lang w:val="cs-CZ"/>
        </w:rPr>
        <w:t>2.</w:t>
      </w:r>
    </w:p>
  </w:footnote>
  <w:footnote w:id="12">
    <w:p w:rsidR="0052188F" w:rsidRPr="00036C01" w:rsidRDefault="0052188F" w:rsidP="00036C01">
      <w:pPr>
        <w:pStyle w:val="FootnoteText"/>
        <w:ind w:left="567" w:hanging="567"/>
        <w:rPr>
          <w:i/>
          <w:sz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r w:rsidRPr="00036C01">
        <w:rPr>
          <w:sz w:val="24"/>
          <w:lang w:val="cs-CZ"/>
        </w:rPr>
        <w:t xml:space="preserve">Směrnice Evropského parlamentu a Rady (EU) 2022/2555 ze dne 14. prosince 2022 o opatřeních k zajištění vysoké společné úrovně kybernetické bezpečnosti v Unii a o změně nařízení (EU) č. 910/2014 a směrnice (EU) 2018/1972 a o zrušení směrnice (EU) 2016/1148 (směrnice NIS 2) </w:t>
      </w:r>
      <w:r w:rsidR="00C109BF">
        <w:rPr>
          <w:sz w:val="24"/>
          <w:lang w:val="cs-CZ"/>
        </w:rPr>
        <w:t>(</w:t>
      </w:r>
      <w:proofErr w:type="spellStart"/>
      <w:r w:rsidRPr="00036C01">
        <w:rPr>
          <w:sz w:val="24"/>
          <w:lang w:val="cs-CZ"/>
        </w:rPr>
        <w:t>Úř</w:t>
      </w:r>
      <w:proofErr w:type="spellEnd"/>
      <w:r w:rsidRPr="00036C01">
        <w:rPr>
          <w:sz w:val="24"/>
          <w:lang w:val="cs-CZ"/>
        </w:rPr>
        <w:t xml:space="preserve">. </w:t>
      </w:r>
      <w:proofErr w:type="spellStart"/>
      <w:r w:rsidRPr="00036C01">
        <w:rPr>
          <w:sz w:val="24"/>
          <w:lang w:val="cs-CZ"/>
        </w:rPr>
        <w:t>věst</w:t>
      </w:r>
      <w:proofErr w:type="spellEnd"/>
      <w:r w:rsidRPr="00036C01">
        <w:rPr>
          <w:sz w:val="24"/>
          <w:lang w:val="cs-CZ"/>
        </w:rPr>
        <w:t>. L 333, 27.12.2022, s. 80</w:t>
      </w:r>
      <w:r w:rsidR="00C109BF">
        <w:rPr>
          <w:sz w:val="24"/>
          <w:lang w:val="cs-CZ"/>
        </w:rPr>
        <w:t>)</w:t>
      </w:r>
      <w:r w:rsidRPr="00036C01">
        <w:rPr>
          <w:sz w:val="24"/>
          <w:lang w:val="cs-CZ"/>
        </w:rPr>
        <w:t>.</w:t>
      </w:r>
    </w:p>
  </w:footnote>
  <w:footnote w:id="13">
    <w:p w:rsidR="0052188F" w:rsidRPr="00036C01" w:rsidRDefault="0052188F" w:rsidP="00036C01">
      <w:pPr>
        <w:pStyle w:val="FootnoteText"/>
        <w:ind w:left="567" w:hanging="567"/>
        <w:rPr>
          <w:sz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r w:rsidRPr="00036C01">
        <w:rPr>
          <w:sz w:val="24"/>
          <w:lang w:val="cs-CZ"/>
        </w:rPr>
        <w:t>Nařízení Komise v přenesené pravomoci (EU) 2019/715 ze dne 18. prosince 2018 o rámcovém finančním nařízení pro subjekty zřízené podle SFEU a Smlouvy o Euratomu a uvedené v článku 70 nařízení Evropského parlamentu a Rady (EU, Euratom) 2018/1046 (</w:t>
      </w:r>
      <w:proofErr w:type="spellStart"/>
      <w:r w:rsidRPr="00036C01">
        <w:rPr>
          <w:sz w:val="24"/>
          <w:lang w:val="cs-CZ"/>
        </w:rPr>
        <w:t>Úř</w:t>
      </w:r>
      <w:proofErr w:type="spellEnd"/>
      <w:r w:rsidRPr="00036C01">
        <w:rPr>
          <w:sz w:val="24"/>
          <w:lang w:val="cs-CZ"/>
        </w:rPr>
        <w:t xml:space="preserve">. </w:t>
      </w:r>
      <w:proofErr w:type="spellStart"/>
      <w:r w:rsidRPr="00036C01">
        <w:rPr>
          <w:sz w:val="24"/>
          <w:lang w:val="cs-CZ"/>
        </w:rPr>
        <w:t>věst</w:t>
      </w:r>
      <w:proofErr w:type="spellEnd"/>
      <w:r w:rsidRPr="00036C01">
        <w:rPr>
          <w:sz w:val="24"/>
          <w:lang w:val="cs-CZ"/>
        </w:rPr>
        <w:t>. L 122, 10.5.2019, s. 1).</w:t>
      </w:r>
    </w:p>
  </w:footnote>
  <w:footnote w:id="14">
    <w:p w:rsidR="0052188F" w:rsidRPr="00036C01" w:rsidRDefault="0052188F" w:rsidP="00036C01">
      <w:pPr>
        <w:pStyle w:val="FootnoteText"/>
        <w:ind w:left="567" w:hanging="567"/>
        <w:rPr>
          <w:sz w:val="24"/>
          <w:lang w:val="cs-CZ"/>
        </w:rPr>
      </w:pPr>
      <w:r w:rsidRPr="00036C01">
        <w:rPr>
          <w:rStyle w:val="FootnoteReference"/>
          <w:sz w:val="24"/>
          <w:lang w:val="cs-CZ"/>
        </w:rPr>
        <w:footnoteRef/>
      </w:r>
      <w:r w:rsidR="00036C01" w:rsidRPr="00036C01">
        <w:rPr>
          <w:sz w:val="24"/>
          <w:lang w:val="cs-CZ"/>
        </w:rPr>
        <w:t xml:space="preserve"> </w:t>
      </w:r>
      <w:r w:rsidR="00036C01" w:rsidRPr="00036C01">
        <w:rPr>
          <w:sz w:val="24"/>
          <w:lang w:val="cs-CZ"/>
        </w:rPr>
        <w:tab/>
      </w:r>
      <w:r w:rsidRPr="00036C01">
        <w:rPr>
          <w:sz w:val="24"/>
          <w:lang w:val="cs-CZ"/>
        </w:rPr>
        <w:t>Přijaté texty, P9_TA(2024)0</w:t>
      </w:r>
      <w:r w:rsidR="00283684">
        <w:rPr>
          <w:sz w:val="24"/>
          <w:lang w:val="cs-CZ"/>
        </w:rPr>
        <w:t>28</w:t>
      </w:r>
      <w:r w:rsidRPr="00036C01">
        <w:rPr>
          <w:sz w:val="24"/>
          <w:lang w:val="cs-CZ"/>
        </w:rPr>
        <w:t>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6C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6C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6C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4/2024"/>
    <w:docVar w:name="dvlangue" w:val="CS"/>
    <w:docVar w:name="dvnumam" w:val="0"/>
    <w:docVar w:name="dvpe" w:val="753.527"/>
    <w:docVar w:name="dvrapporteur" w:val="Zpravodaj: "/>
    <w:docVar w:name="dvtitre" w:val="1. Rozhodnutí Evropského parlamentu ze dne 11. dubna 2024 o udělení absolutoria za plnění rozpočtu agentury ENISA (Agentura Evropské unie pro kybernetickou bezpečnost) na rozpočtový rok 2022(2023/2159(DEC))"/>
  </w:docVars>
  <w:rsids>
    <w:rsidRoot w:val="009717F3"/>
    <w:rsid w:val="00002272"/>
    <w:rsid w:val="00036C0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27E"/>
    <w:rsid w:val="002767FF"/>
    <w:rsid w:val="0028368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88F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425C"/>
    <w:rsid w:val="008C2AC6"/>
    <w:rsid w:val="009308EC"/>
    <w:rsid w:val="00930C23"/>
    <w:rsid w:val="0093193B"/>
    <w:rsid w:val="009509D8"/>
    <w:rsid w:val="00950B64"/>
    <w:rsid w:val="009717F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9B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597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1EECC3"/>
  <w15:chartTrackingRefBased/>
  <w15:docId w15:val="{17E2C865-EC2B-4B34-9AEC-3ED0C785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2188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2188F"/>
    <w:pPr>
      <w:spacing w:before="480" w:after="240"/>
    </w:pPr>
  </w:style>
  <w:style w:type="paragraph" w:customStyle="1" w:styleId="PageHeading">
    <w:name w:val="PageHeading"/>
    <w:basedOn w:val="Normal"/>
    <w:rsid w:val="0052188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2188F"/>
    <w:rPr>
      <w:b/>
    </w:rPr>
  </w:style>
  <w:style w:type="paragraph" w:customStyle="1" w:styleId="NormalHanging12a">
    <w:name w:val="NormalHanging12a"/>
    <w:basedOn w:val="Normal"/>
    <w:link w:val="NormalHanging12aChar"/>
    <w:rsid w:val="0052188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2188F"/>
    <w:pPr>
      <w:spacing w:after="240"/>
      <w:jc w:val="center"/>
    </w:pPr>
  </w:style>
  <w:style w:type="paragraph" w:styleId="Header">
    <w:name w:val="header"/>
    <w:basedOn w:val="Normal"/>
    <w:link w:val="HeaderChar"/>
    <w:rsid w:val="005218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2188F"/>
    <w:rPr>
      <w:sz w:val="24"/>
      <w:lang w:val="cs-CZ"/>
    </w:rPr>
  </w:style>
  <w:style w:type="paragraph" w:customStyle="1" w:styleId="EPFooter">
    <w:name w:val="EPFooter"/>
    <w:basedOn w:val="Normal"/>
    <w:rsid w:val="0052188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52188F"/>
    <w:rPr>
      <w:sz w:val="24"/>
      <w:lang w:val="cs-CZ"/>
    </w:rPr>
  </w:style>
  <w:style w:type="paragraph" w:customStyle="1" w:styleId="Normal12Hanging">
    <w:name w:val="Normal12Hanging"/>
    <w:basedOn w:val="Normal"/>
    <w:rsid w:val="0052188F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2022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0227E"/>
    <w:rPr>
      <w:sz w:val="24"/>
      <w:lang w:val="cs-CZ"/>
    </w:rPr>
  </w:style>
  <w:style w:type="paragraph" w:styleId="BalloonText">
    <w:name w:val="Balloon Text"/>
    <w:basedOn w:val="Normal"/>
    <w:link w:val="BalloonTextChar"/>
    <w:rsid w:val="008A42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A425C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604B6-12E0-40B3-B44C-2154AA9FC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3586</Words>
  <Characters>21106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2024-05-15T10:04:00Z</dcterms:created>
  <dcterms:modified xsi:type="dcterms:W3CDTF">2024-05-15T10:04:00Z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P9_TA(2024)0252_</vt:lpwstr>
  </property>
  <property fmtid="{D5CDD505-2E9C-101B-9397-08002B2CF9AE}" pid="4" name="&lt;Type&gt;">
    <vt:lpwstr>RR</vt:lpwstr>
  </property>
</Properties>
</file>