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C3FB1" w:rsidTr="0010095E">
        <w:trPr>
          <w:trHeight w:hRule="exact" w:val="1418"/>
        </w:trPr>
        <w:tc>
          <w:tcPr>
            <w:tcW w:w="6804" w:type="dxa"/>
            <w:shd w:val="clear" w:color="auto" w:fill="auto"/>
            <w:vAlign w:val="center"/>
          </w:tcPr>
          <w:p w:rsidR="00751A4A" w:rsidRPr="00DC3FB1" w:rsidRDefault="00AD3B51" w:rsidP="0010095E">
            <w:pPr>
              <w:pStyle w:val="EPName"/>
            </w:pPr>
            <w:r w:rsidRPr="00DC3FB1">
              <w:t>Europos Parlamentas</w:t>
            </w:r>
          </w:p>
          <w:p w:rsidR="00751A4A" w:rsidRPr="00DC3FB1" w:rsidRDefault="00817416" w:rsidP="00756632">
            <w:pPr>
              <w:pStyle w:val="EPTerm"/>
              <w:rPr>
                <w:rStyle w:val="HideTWBExt"/>
                <w:noProof w:val="0"/>
                <w:vanish w:val="0"/>
                <w:color w:val="auto"/>
              </w:rPr>
            </w:pPr>
            <w:r w:rsidRPr="00DC3FB1">
              <w:t>2019-2024</w:t>
            </w:r>
          </w:p>
        </w:tc>
        <w:tc>
          <w:tcPr>
            <w:tcW w:w="2268" w:type="dxa"/>
            <w:shd w:val="clear" w:color="auto" w:fill="auto"/>
          </w:tcPr>
          <w:p w:rsidR="00751A4A" w:rsidRPr="00DC3FB1" w:rsidRDefault="00187494" w:rsidP="0010095E">
            <w:pPr>
              <w:pStyle w:val="EPLogo"/>
            </w:pPr>
            <w:r w:rsidRPr="00DC3FB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C3FB1" w:rsidRDefault="00D058B8" w:rsidP="004C5D52">
      <w:pPr>
        <w:pStyle w:val="LineTop"/>
      </w:pPr>
    </w:p>
    <w:p w:rsidR="00680577" w:rsidRPr="00DC3FB1" w:rsidRDefault="00AD3B51" w:rsidP="00680577">
      <w:pPr>
        <w:pStyle w:val="EPBodyTA1"/>
      </w:pPr>
      <w:r w:rsidRPr="00DC3FB1">
        <w:t>PRIIMTI TEKSTAI</w:t>
      </w:r>
    </w:p>
    <w:p w:rsidR="00D058B8" w:rsidRPr="00DC3FB1" w:rsidRDefault="00D058B8" w:rsidP="00D058B8">
      <w:pPr>
        <w:pStyle w:val="LineBottom"/>
      </w:pPr>
    </w:p>
    <w:p w:rsidR="00AD3B51" w:rsidRPr="00DC3FB1" w:rsidRDefault="00AD3B51" w:rsidP="00AD3B51">
      <w:pPr>
        <w:pStyle w:val="ATHeading1"/>
      </w:pPr>
      <w:bookmarkStart w:id="0" w:name="TANumber"/>
      <w:r w:rsidRPr="00DC3FB1">
        <w:t>P9_TA(2024)0</w:t>
      </w:r>
      <w:r w:rsidR="00C51E1F" w:rsidRPr="00DC3FB1">
        <w:t>252</w:t>
      </w:r>
      <w:bookmarkEnd w:id="0"/>
    </w:p>
    <w:p w:rsidR="00AD3B51" w:rsidRPr="00DC3FB1" w:rsidRDefault="00AD3B51" w:rsidP="00AD3B51">
      <w:pPr>
        <w:pStyle w:val="ATHeading2"/>
      </w:pPr>
      <w:bookmarkStart w:id="1" w:name="title"/>
      <w:r w:rsidRPr="00DC3FB1">
        <w:t>2022 m. biudžeto įvykdymo patvirtinimas: ENISA (Europos Sąjungos kibernetinio saugumo agentūra)</w:t>
      </w:r>
      <w:bookmarkEnd w:id="1"/>
    </w:p>
    <w:p w:rsidR="00AD3B51" w:rsidRPr="00DC3FB1" w:rsidRDefault="00AD3B51" w:rsidP="00AD3B51">
      <w:pPr>
        <w:rPr>
          <w:i/>
          <w:vanish/>
        </w:rPr>
      </w:pPr>
      <w:r w:rsidRPr="00DC3FB1">
        <w:rPr>
          <w:i/>
        </w:rPr>
        <w:fldChar w:fldCharType="begin"/>
      </w:r>
      <w:r w:rsidRPr="00DC3FB1">
        <w:rPr>
          <w:i/>
        </w:rPr>
        <w:instrText xml:space="preserve"> TC"(</w:instrText>
      </w:r>
      <w:bookmarkStart w:id="2" w:name="DocNumber"/>
      <w:r w:rsidRPr="00DC3FB1">
        <w:rPr>
          <w:i/>
        </w:rPr>
        <w:instrText>A9-0134/2024</w:instrText>
      </w:r>
      <w:bookmarkEnd w:id="2"/>
      <w:r w:rsidRPr="00DC3FB1">
        <w:rPr>
          <w:i/>
        </w:rPr>
        <w:instrText xml:space="preserve"> - Pranešėjas: Petri Sarvamaa)"\l3 \n&gt; \* MERGEFORMAT </w:instrText>
      </w:r>
      <w:r w:rsidRPr="00DC3FB1">
        <w:rPr>
          <w:i/>
        </w:rPr>
        <w:fldChar w:fldCharType="end"/>
      </w:r>
    </w:p>
    <w:p w:rsidR="00AD3B51" w:rsidRPr="00DC3FB1" w:rsidRDefault="00AD3B51" w:rsidP="00AD3B51">
      <w:pPr>
        <w:rPr>
          <w:vanish/>
        </w:rPr>
      </w:pPr>
      <w:bookmarkStart w:id="3" w:name="Commission"/>
      <w:r w:rsidRPr="00DC3FB1">
        <w:rPr>
          <w:vanish/>
        </w:rPr>
        <w:t>Biudžeto kontrolės komitetas</w:t>
      </w:r>
      <w:bookmarkEnd w:id="3"/>
    </w:p>
    <w:p w:rsidR="00AD3B51" w:rsidRPr="00DC3FB1" w:rsidRDefault="00AD3B51" w:rsidP="00AD3B51">
      <w:pPr>
        <w:rPr>
          <w:vanish/>
        </w:rPr>
      </w:pPr>
      <w:bookmarkStart w:id="4" w:name="PE"/>
      <w:r w:rsidRPr="00DC3FB1">
        <w:rPr>
          <w:vanish/>
        </w:rPr>
        <w:t>PE753.527</w:t>
      </w:r>
      <w:bookmarkEnd w:id="4"/>
    </w:p>
    <w:p w:rsidR="00AD3B51" w:rsidRPr="00DC3FB1" w:rsidRDefault="00AB1150" w:rsidP="00987288">
      <w:pPr>
        <w:pStyle w:val="ATHeading3"/>
      </w:pPr>
      <w:bookmarkStart w:id="5" w:name="Sujet"/>
      <w:r w:rsidRPr="00DC3FB1">
        <w:t>1. 2</w:t>
      </w:r>
      <w:r w:rsidR="00AD3B51" w:rsidRPr="00DC3FB1">
        <w:t xml:space="preserve">024 m. </w:t>
      </w:r>
      <w:r w:rsidRPr="00DC3FB1">
        <w:t>balandžio</w:t>
      </w:r>
      <w:r w:rsidR="00AD3B51" w:rsidRPr="00DC3FB1">
        <w:t xml:space="preserve"> 11 d. Europos Parlamento sprendimas dėl ENISA (Europos Sąjungos kibernetinio saugumo agentūros) 2022 finansinių metų biudžeto įvykdymo patvirtinimo</w:t>
      </w:r>
      <w:bookmarkEnd w:id="5"/>
      <w:r w:rsidR="00AD3B51" w:rsidRPr="00DC3FB1">
        <w:t xml:space="preserve"> </w:t>
      </w:r>
      <w:bookmarkStart w:id="6" w:name="References"/>
      <w:r w:rsidR="00AD3B51" w:rsidRPr="00DC3FB1">
        <w:t>(2023/2159(DEC))</w:t>
      </w:r>
      <w:bookmarkEnd w:id="6"/>
    </w:p>
    <w:p w:rsidR="000930F4" w:rsidRPr="00DC3FB1" w:rsidRDefault="000930F4" w:rsidP="000930F4">
      <w:pPr>
        <w:pStyle w:val="EPComma"/>
      </w:pPr>
      <w:bookmarkStart w:id="7" w:name="TextBodyBegin"/>
      <w:bookmarkEnd w:id="7"/>
      <w:r w:rsidRPr="00DC3FB1">
        <w:rPr>
          <w:i/>
        </w:rPr>
        <w:t>Europos Parlamentas</w:t>
      </w:r>
      <w:r w:rsidRPr="00DC3FB1">
        <w:t>,</w:t>
      </w:r>
    </w:p>
    <w:p w:rsidR="000930F4" w:rsidRPr="00DC3FB1" w:rsidRDefault="000930F4" w:rsidP="000930F4">
      <w:pPr>
        <w:pStyle w:val="NormalHanging12a"/>
      </w:pPr>
      <w:r w:rsidRPr="00DC3FB1">
        <w:t>–</w:t>
      </w:r>
      <w:r w:rsidRPr="00DC3FB1">
        <w:tab/>
        <w:t>atsižvelgdamas į ENISA (Europos Sąjungos kibernetinio saugumo agentūros) 2022 finansinių metų galutines metines ataskaitas,</w:t>
      </w:r>
    </w:p>
    <w:p w:rsidR="000930F4" w:rsidRPr="00DC3FB1" w:rsidRDefault="000930F4" w:rsidP="000930F4">
      <w:pPr>
        <w:pStyle w:val="NormalHanging12a"/>
      </w:pPr>
      <w:r w:rsidRPr="00DC3FB1">
        <w:t>–</w:t>
      </w:r>
      <w:r w:rsidRPr="00DC3FB1">
        <w:tab/>
        <w:t>atsižvelgdamas į Audito Rūmų 2022 finansinių metų metinę ataskaitą dėl ES agentūrų kartu su agentūrų atsakymais</w:t>
      </w:r>
      <w:r w:rsidRPr="00DC3FB1">
        <w:rPr>
          <w:rStyle w:val="FootnoteReference"/>
        </w:rPr>
        <w:footnoteReference w:id="1"/>
      </w:r>
      <w:r w:rsidRPr="00DC3FB1">
        <w:t>,</w:t>
      </w:r>
    </w:p>
    <w:p w:rsidR="000930F4" w:rsidRPr="00DC3FB1" w:rsidRDefault="000930F4" w:rsidP="000930F4">
      <w:pPr>
        <w:pStyle w:val="NormalHanging12a"/>
      </w:pPr>
      <w:r w:rsidRPr="00DC3FB1">
        <w:t>–</w:t>
      </w:r>
      <w:r w:rsidRPr="00DC3FB1">
        <w:tab/>
        <w:t>atsižvelgdamas į Audito Rūmų pagal Sutarties dėl Europos Sąjungos veikimo 287 straipsnį pateiktą sąskaitų patikimumo</w:t>
      </w:r>
      <w:r w:rsidRPr="00DC3FB1">
        <w:rPr>
          <w:rStyle w:val="FootnoteReference"/>
        </w:rPr>
        <w:footnoteReference w:id="2"/>
      </w:r>
      <w:r w:rsidRPr="00DC3FB1">
        <w:t xml:space="preserve"> ir pagal jas atliktų operacijų teisėtumo ir tvarkingumo patikinimo pareiškimą,</w:t>
      </w:r>
    </w:p>
    <w:p w:rsidR="000930F4" w:rsidRPr="00DC3FB1" w:rsidRDefault="000930F4" w:rsidP="000930F4">
      <w:pPr>
        <w:pStyle w:val="NormalHanging12a"/>
      </w:pPr>
      <w:r w:rsidRPr="00DC3FB1">
        <w:t>–</w:t>
      </w:r>
      <w:r w:rsidRPr="00DC3FB1">
        <w:tab/>
        <w:t xml:space="preserve">atsižvelgdamas į </w:t>
      </w:r>
      <w:r w:rsidR="0080777B" w:rsidRPr="00DC3FB1">
        <w:t xml:space="preserve">2024 m. vasario 22 d. </w:t>
      </w:r>
      <w:r w:rsidRPr="00DC3FB1">
        <w:t>Tarybos rekomendaciją dėl patvirtinimo, kad Agentūra įvykdė 2022 finansinių metų biudžetą (</w:t>
      </w:r>
      <w:r w:rsidR="00AB1150" w:rsidRPr="00DC3FB1">
        <w:t>06180</w:t>
      </w:r>
      <w:r w:rsidRPr="00DC3FB1">
        <w:t>/2024 – C9</w:t>
      </w:r>
      <w:r w:rsidRPr="00DC3FB1">
        <w:noBreakHyphen/>
      </w:r>
      <w:r w:rsidR="00AB1150" w:rsidRPr="00DC3FB1">
        <w:t>0097</w:t>
      </w:r>
      <w:r w:rsidRPr="00DC3FB1">
        <w:t>/2024),</w:t>
      </w:r>
    </w:p>
    <w:p w:rsidR="000930F4" w:rsidRPr="00DC3FB1" w:rsidRDefault="000930F4" w:rsidP="000930F4">
      <w:pPr>
        <w:pStyle w:val="NormalHanging12a"/>
      </w:pPr>
      <w:r w:rsidRPr="00DC3FB1">
        <w:t>–</w:t>
      </w:r>
      <w:r w:rsidRPr="00DC3FB1">
        <w:tab/>
        <w:t>atsižvelgdamas į Sutarties dėl Europos Sąjungos veikimo 319 straipsnį,</w:t>
      </w:r>
    </w:p>
    <w:p w:rsidR="000930F4" w:rsidRPr="00DC3FB1" w:rsidRDefault="000930F4" w:rsidP="000930F4">
      <w:pPr>
        <w:pStyle w:val="NormalHanging12a"/>
      </w:pPr>
      <w:r w:rsidRPr="00DC3FB1">
        <w:t>–</w:t>
      </w:r>
      <w:r w:rsidRPr="00DC3FB1">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DC3FB1">
        <w:rPr>
          <w:rStyle w:val="FootnoteReference"/>
        </w:rPr>
        <w:footnoteReference w:id="3"/>
      </w:r>
      <w:r w:rsidRPr="00DC3FB1">
        <w:t>, ypač į jo 70 straipsnį,</w:t>
      </w:r>
    </w:p>
    <w:p w:rsidR="000930F4" w:rsidRPr="00DC3FB1" w:rsidRDefault="000930F4" w:rsidP="000930F4">
      <w:pPr>
        <w:pStyle w:val="NormalHanging12a"/>
      </w:pPr>
      <w:r w:rsidRPr="00DC3FB1">
        <w:t>–</w:t>
      </w:r>
      <w:r w:rsidRPr="00DC3FB1">
        <w:tab/>
        <w:t xml:space="preserve">atsižvelgdamas į 2019 m. balandžio 17 d. Europos Parlamento ir Tarybos reglamentą (ES) 2019/881 dėl ENISA (Europos Sąjungos kibernetinio saugumo agentūros) ir </w:t>
      </w:r>
      <w:r w:rsidRPr="00DC3FB1">
        <w:lastRenderedPageBreak/>
        <w:t>informacinių ir ryšių technologijų kibernetinio saugumo sertifikavimo, kuriuo panaikinamas Reglamentas (ES) Nr. 526/2013 (Kibernetinio saugumo aktas)</w:t>
      </w:r>
      <w:r w:rsidRPr="00DC3FB1">
        <w:rPr>
          <w:rStyle w:val="FootnoteReference"/>
        </w:rPr>
        <w:footnoteReference w:id="4"/>
      </w:r>
      <w:r w:rsidRPr="00DC3FB1">
        <w:t>, ypač į jo 31 straipsnį,</w:t>
      </w:r>
    </w:p>
    <w:p w:rsidR="000930F4" w:rsidRPr="00DC3FB1" w:rsidRDefault="000930F4" w:rsidP="000930F4">
      <w:pPr>
        <w:pStyle w:val="NormalHanging12a"/>
      </w:pPr>
      <w:r w:rsidRPr="00DC3FB1">
        <w:t>–</w:t>
      </w:r>
      <w:r w:rsidRPr="00DC3FB1">
        <w:tab/>
        <w:t>atsižvelgdamas į 2018 m. gruodžio 18 d. Komisijos deleguotąjį reglamentą (ES) 2019/715 dėl finansinio pagrindų reglamento, taikomo organams, įsteigtiems pagal SESV ir Euratomo sutartį ir nurodytiems Europos Parlamento ir Tarybos reglamento (ES, Euratomas) 2018/1046</w:t>
      </w:r>
      <w:r w:rsidRPr="00DC3FB1">
        <w:rPr>
          <w:rStyle w:val="FootnoteReference"/>
        </w:rPr>
        <w:footnoteReference w:id="5"/>
      </w:r>
      <w:r w:rsidRPr="00DC3FB1">
        <w:t xml:space="preserve"> 70 straipsnyje, ypač į jo 105 straipsnį,</w:t>
      </w:r>
    </w:p>
    <w:p w:rsidR="000930F4" w:rsidRPr="00DC3FB1" w:rsidRDefault="000930F4" w:rsidP="000930F4">
      <w:pPr>
        <w:pStyle w:val="NormalHanging12a"/>
      </w:pPr>
      <w:r w:rsidRPr="00DC3FB1">
        <w:t>–</w:t>
      </w:r>
      <w:r w:rsidRPr="00DC3FB1">
        <w:tab/>
        <w:t>atsižvelgdamas į Darbo tvarkos taisyklių 100 straipsnį ir V priedą,</w:t>
      </w:r>
    </w:p>
    <w:p w:rsidR="000930F4" w:rsidRPr="00DC3FB1" w:rsidRDefault="000930F4" w:rsidP="000930F4">
      <w:pPr>
        <w:pStyle w:val="NormalHanging12a"/>
      </w:pPr>
      <w:r w:rsidRPr="00DC3FB1">
        <w:t>–</w:t>
      </w:r>
      <w:r w:rsidRPr="00DC3FB1">
        <w:tab/>
        <w:t>atsižvelgdamas į Biudžeto kontrolės komiteto pranešimą (A9-0134/2024),</w:t>
      </w:r>
    </w:p>
    <w:p w:rsidR="000930F4" w:rsidRPr="00DC3FB1" w:rsidRDefault="000930F4" w:rsidP="000930F4">
      <w:pPr>
        <w:pStyle w:val="NormalHanging12a"/>
      </w:pPr>
      <w:r w:rsidRPr="00DC3FB1">
        <w:t>1.</w:t>
      </w:r>
      <w:r w:rsidRPr="00DC3FB1">
        <w:tab/>
        <w:t>patvirtina ENISA (Europos Sąjungos kibernetinio saugumo agentūros) vykdomajam direktoriui, kad Agentūros 2022 finansinių metų biudžetas įvykdytas;</w:t>
      </w:r>
    </w:p>
    <w:p w:rsidR="000930F4" w:rsidRPr="00DC3FB1" w:rsidRDefault="000930F4" w:rsidP="000930F4">
      <w:pPr>
        <w:pStyle w:val="NormalHanging12a"/>
      </w:pPr>
      <w:r w:rsidRPr="00DC3FB1">
        <w:t>2.</w:t>
      </w:r>
      <w:r w:rsidRPr="00DC3FB1">
        <w:tab/>
        <w:t>išdėsto savo pastabas toliau pateikiamoje rezoliucijoje;</w:t>
      </w:r>
    </w:p>
    <w:p w:rsidR="000930F4" w:rsidRPr="00DC3FB1" w:rsidRDefault="000930F4" w:rsidP="000930F4">
      <w:pPr>
        <w:pStyle w:val="NormalHanging12a"/>
      </w:pPr>
      <w:r w:rsidRPr="00DC3FB1">
        <w:t>3.</w:t>
      </w:r>
      <w:r w:rsidRPr="00DC3FB1">
        <w:tab/>
        <w:t xml:space="preserve">paveda Pirmininkei perduoti šį sprendimą ir rezoliuciją, kuri yra neatskiriama jo dalis, ENISA (Europos Sąjungos kibernetinio saugumo agentūros) vykdomajam direktoriui, Tarybai, Komisijai ir Audito Rūmams ir pasirūpinti, kad jie būtų paskelbti </w:t>
      </w:r>
      <w:r w:rsidRPr="00DC3FB1">
        <w:rPr>
          <w:i/>
          <w:iCs/>
        </w:rPr>
        <w:t>Europos Sąjungos oficialiajame leidinyje</w:t>
      </w:r>
      <w:r w:rsidRPr="00DC3FB1">
        <w:t xml:space="preserve"> (L serijoje).</w:t>
      </w:r>
    </w:p>
    <w:p w:rsidR="000930F4" w:rsidRPr="00DC3FB1" w:rsidRDefault="000930F4" w:rsidP="000930F4"/>
    <w:p w:rsidR="000930F4" w:rsidRPr="00DC3FB1" w:rsidRDefault="000930F4" w:rsidP="000930F4">
      <w:pPr>
        <w:pStyle w:val="PageHeading"/>
        <w:sectPr w:rsidR="000930F4" w:rsidRPr="00DC3FB1" w:rsidSect="00611EC7">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0930F4" w:rsidRPr="00DC3FB1" w:rsidRDefault="000930F4" w:rsidP="00DC3FB1">
      <w:pPr>
        <w:pStyle w:val="ATHeading3"/>
      </w:pPr>
      <w:bookmarkStart w:id="8" w:name="_Toc161997427"/>
      <w:r w:rsidRPr="00DC3FB1">
        <w:lastRenderedPageBreak/>
        <w:t xml:space="preserve">2. </w:t>
      </w:r>
      <w:r w:rsidR="005238E1" w:rsidRPr="00DC3FB1">
        <w:t xml:space="preserve">2024 m. balandžio 11 d. Europos Parlamento sprendimas </w:t>
      </w:r>
      <w:bookmarkEnd w:id="8"/>
      <w:r w:rsidRPr="00DC3FB1">
        <w:t>dėl ENISA (Europos Sąjungos kibernetinio saugumo agentūros) 2022 finansinių metų sąskaitų uždarymo</w:t>
      </w:r>
      <w:r w:rsidR="005238E1" w:rsidRPr="00DC3FB1">
        <w:t xml:space="preserve"> </w:t>
      </w:r>
      <w:r w:rsidRPr="00DC3FB1">
        <w:t>(2023/2159(DEC))</w:t>
      </w:r>
    </w:p>
    <w:p w:rsidR="000930F4" w:rsidRPr="00DC3FB1" w:rsidRDefault="000930F4" w:rsidP="000930F4">
      <w:pPr>
        <w:pStyle w:val="EPComma"/>
      </w:pPr>
      <w:r w:rsidRPr="00DC3FB1">
        <w:rPr>
          <w:i/>
        </w:rPr>
        <w:t>Europos Parlamentas</w:t>
      </w:r>
      <w:r w:rsidRPr="00DC3FB1">
        <w:t>,</w:t>
      </w:r>
    </w:p>
    <w:p w:rsidR="000930F4" w:rsidRPr="00DC3FB1" w:rsidRDefault="000930F4" w:rsidP="000930F4">
      <w:pPr>
        <w:pStyle w:val="NormalHanging12a"/>
      </w:pPr>
      <w:r w:rsidRPr="00DC3FB1">
        <w:t>–</w:t>
      </w:r>
      <w:r w:rsidRPr="00DC3FB1">
        <w:tab/>
        <w:t>atsižvelgdamas į ENISA (Europos Sąjungos kibernetinio saugumo agentūros) 2022 finansinių metų galutines metines ataskaitas,</w:t>
      </w:r>
    </w:p>
    <w:p w:rsidR="000930F4" w:rsidRPr="00DC3FB1" w:rsidRDefault="000930F4" w:rsidP="000930F4">
      <w:pPr>
        <w:pStyle w:val="NormalHanging12a"/>
      </w:pPr>
      <w:r w:rsidRPr="00DC3FB1">
        <w:t>–</w:t>
      </w:r>
      <w:r w:rsidRPr="00DC3FB1">
        <w:tab/>
        <w:t>atsižvelgdamas į Audito Rūmų 2022 finansinių metų metinę ataskaitą dėl ES agentūrų kartu su agentūrų atsakymais</w:t>
      </w:r>
      <w:r w:rsidRPr="00DC3FB1">
        <w:rPr>
          <w:rStyle w:val="FootnoteReference"/>
        </w:rPr>
        <w:footnoteReference w:id="6"/>
      </w:r>
      <w:r w:rsidRPr="00DC3FB1">
        <w:t>,</w:t>
      </w:r>
    </w:p>
    <w:p w:rsidR="000930F4" w:rsidRPr="00DC3FB1" w:rsidRDefault="000930F4" w:rsidP="000930F4">
      <w:pPr>
        <w:pStyle w:val="NormalHanging12a"/>
      </w:pPr>
      <w:r w:rsidRPr="00DC3FB1">
        <w:t>–</w:t>
      </w:r>
      <w:r w:rsidRPr="00DC3FB1">
        <w:tab/>
        <w:t>atsižvelgdamas į Audito Rūmų pagal Sutarties dėl Europos Sąjungos veikimo 287 straipsnį pateiktą sąskaitų patikimumo</w:t>
      </w:r>
      <w:r w:rsidRPr="00DC3FB1">
        <w:rPr>
          <w:rStyle w:val="FootnoteReference"/>
        </w:rPr>
        <w:footnoteReference w:id="7"/>
      </w:r>
      <w:r w:rsidRPr="00DC3FB1">
        <w:t xml:space="preserve"> ir pagal jas atliktų operacijų teisėtumo ir tvarkingumo patikinimo pareiškimą,</w:t>
      </w:r>
    </w:p>
    <w:p w:rsidR="000930F4" w:rsidRPr="00DC3FB1" w:rsidRDefault="000930F4" w:rsidP="000930F4">
      <w:pPr>
        <w:pStyle w:val="NormalHanging12a"/>
      </w:pPr>
      <w:r w:rsidRPr="00DC3FB1">
        <w:t>–</w:t>
      </w:r>
      <w:r w:rsidRPr="00DC3FB1">
        <w:tab/>
        <w:t xml:space="preserve">atsižvelgdamas į </w:t>
      </w:r>
      <w:r w:rsidR="00E079BD" w:rsidRPr="00DC3FB1">
        <w:t xml:space="preserve">2024 m. vasario 22 d. </w:t>
      </w:r>
      <w:r w:rsidRPr="00DC3FB1">
        <w:t>Tarybos rekomendaciją dėl patvirtinimo, kad Agentūra įvykdė 2022 finansinių metų biudžetą (</w:t>
      </w:r>
      <w:r w:rsidR="00B851F0" w:rsidRPr="00DC3FB1">
        <w:t>06180</w:t>
      </w:r>
      <w:r w:rsidRPr="00DC3FB1">
        <w:t>/2024 – C9</w:t>
      </w:r>
      <w:r w:rsidRPr="00DC3FB1">
        <w:noBreakHyphen/>
      </w:r>
      <w:r w:rsidR="00B851F0" w:rsidRPr="00DC3FB1">
        <w:t>0097</w:t>
      </w:r>
      <w:r w:rsidRPr="00DC3FB1">
        <w:t>/2024),</w:t>
      </w:r>
    </w:p>
    <w:p w:rsidR="000930F4" w:rsidRPr="00DC3FB1" w:rsidRDefault="000930F4" w:rsidP="000930F4">
      <w:pPr>
        <w:pStyle w:val="NormalHanging12a"/>
      </w:pPr>
      <w:r w:rsidRPr="00DC3FB1">
        <w:t>–</w:t>
      </w:r>
      <w:r w:rsidRPr="00DC3FB1">
        <w:tab/>
        <w:t>atsižvelgdamas į Sutarties dėl Europos Sąjungos veikimo 319 straipsnį,</w:t>
      </w:r>
    </w:p>
    <w:p w:rsidR="000930F4" w:rsidRPr="00DC3FB1" w:rsidRDefault="000930F4" w:rsidP="000930F4">
      <w:pPr>
        <w:pStyle w:val="NormalHanging12a"/>
      </w:pPr>
      <w:r w:rsidRPr="00DC3FB1">
        <w:t>–</w:t>
      </w:r>
      <w:r w:rsidRPr="00DC3FB1">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DC3FB1">
        <w:rPr>
          <w:rStyle w:val="FootnoteReference"/>
        </w:rPr>
        <w:footnoteReference w:id="8"/>
      </w:r>
      <w:r w:rsidRPr="00DC3FB1">
        <w:t>, ypač į jo 70 straipsnį,</w:t>
      </w:r>
    </w:p>
    <w:p w:rsidR="000930F4" w:rsidRPr="00DC3FB1" w:rsidRDefault="000930F4" w:rsidP="000930F4">
      <w:pPr>
        <w:pStyle w:val="NormalHanging12a"/>
      </w:pPr>
      <w:r w:rsidRPr="00DC3FB1">
        <w:t>–</w:t>
      </w:r>
      <w:r w:rsidRPr="00DC3FB1">
        <w:tab/>
        <w:t>atsižvelgdamas į 2019 m. balandžio 17 d. Europos Parlamento ir Tarybos reglamentą (ES) 2019/881 dėl ENISA (Europos Sąjungos kibernetinio saugumo agentūros) ir informacinių ir ryšių technologijų kibernetinio saugumo sertifikavimo, kuriuo panaikinamas Reglamentas (ES) Nr. 526/2013 (Kibernetinio saugumo aktas)</w:t>
      </w:r>
      <w:r w:rsidRPr="00DC3FB1">
        <w:rPr>
          <w:rStyle w:val="FootnoteReference"/>
        </w:rPr>
        <w:footnoteReference w:id="9"/>
      </w:r>
      <w:r w:rsidRPr="00DC3FB1">
        <w:t>, ypač į jo 31 straipsnį,</w:t>
      </w:r>
    </w:p>
    <w:p w:rsidR="000930F4" w:rsidRPr="00DC3FB1" w:rsidRDefault="000930F4" w:rsidP="000930F4">
      <w:pPr>
        <w:pStyle w:val="NormalHanging12a"/>
      </w:pPr>
      <w:r w:rsidRPr="00DC3FB1">
        <w:t>–</w:t>
      </w:r>
      <w:r w:rsidRPr="00DC3FB1">
        <w:tab/>
        <w:t>atsižvelgdamas į 2018 m. gruodžio 18 d. Komisijos deleguotąjį reglamentą (ES) 2019/715 dėl finansinio pagrindų reglamento, taikomo organams, įsteigtiems pagal SESV ir Euratomo sutartį ir nurodytiems Europos Parlamento ir Tarybos reglamento (ES, Euratomas) 2018/1046</w:t>
      </w:r>
      <w:r w:rsidRPr="00DC3FB1">
        <w:rPr>
          <w:rStyle w:val="FootnoteReference"/>
        </w:rPr>
        <w:footnoteReference w:id="10"/>
      </w:r>
      <w:r w:rsidRPr="00DC3FB1">
        <w:t xml:space="preserve"> 70 straipsnyje, ypač į jo 105 straipsnį,</w:t>
      </w:r>
    </w:p>
    <w:p w:rsidR="000930F4" w:rsidRPr="00DC3FB1" w:rsidRDefault="000930F4" w:rsidP="000930F4">
      <w:pPr>
        <w:pStyle w:val="NormalHanging12a"/>
      </w:pPr>
      <w:r w:rsidRPr="00DC3FB1">
        <w:t>–</w:t>
      </w:r>
      <w:r w:rsidRPr="00DC3FB1">
        <w:tab/>
        <w:t>atsižvelgdamas į Darbo tvarkos taisyklių 100 straipsnį ir V priedą,</w:t>
      </w:r>
    </w:p>
    <w:p w:rsidR="000930F4" w:rsidRPr="00DC3FB1" w:rsidRDefault="000930F4" w:rsidP="000930F4">
      <w:pPr>
        <w:pStyle w:val="NormalHanging12a"/>
      </w:pPr>
      <w:r w:rsidRPr="00DC3FB1">
        <w:t>–</w:t>
      </w:r>
      <w:r w:rsidRPr="00DC3FB1">
        <w:tab/>
        <w:t>atsižvelgdamas į Biudžeto kontrolės komiteto pranešimą (A9-0134/2024),</w:t>
      </w:r>
    </w:p>
    <w:p w:rsidR="000930F4" w:rsidRPr="00DC3FB1" w:rsidRDefault="000930F4" w:rsidP="000930F4">
      <w:pPr>
        <w:pStyle w:val="NormalHanging12a"/>
      </w:pPr>
      <w:r w:rsidRPr="00DC3FB1">
        <w:t>1.</w:t>
      </w:r>
      <w:r w:rsidRPr="00DC3FB1">
        <w:tab/>
        <w:t>pritaria ENISA (Europos Sąjungos kibernetinio saugumo agentūros) 2022 finansinių metų sąskaitų uždarymui;</w:t>
      </w:r>
    </w:p>
    <w:p w:rsidR="000930F4" w:rsidRPr="00DC3FB1" w:rsidRDefault="000930F4" w:rsidP="000930F4">
      <w:pPr>
        <w:pStyle w:val="NormalHanging12a"/>
      </w:pPr>
      <w:r w:rsidRPr="00DC3FB1">
        <w:lastRenderedPageBreak/>
        <w:t>2.</w:t>
      </w:r>
      <w:r w:rsidRPr="00DC3FB1">
        <w:tab/>
        <w:t xml:space="preserve">paveda Pirmininkei perduoti šį sprendimą ENISA (Europos Sąjungos kibernetinio saugumo agentūros) vykdomajam direktoriui, Tarybai, Komisijai ir Audito Rūmams ir pasirūpinti, kad jis būtų paskelbtas </w:t>
      </w:r>
      <w:r w:rsidRPr="00DC3FB1">
        <w:rPr>
          <w:i/>
          <w:iCs/>
        </w:rPr>
        <w:t>Europos Sąjungos oficialiajame leidinyje</w:t>
      </w:r>
      <w:r w:rsidRPr="00DC3FB1">
        <w:t xml:space="preserve"> (L serijoje).</w:t>
      </w:r>
    </w:p>
    <w:p w:rsidR="000930F4" w:rsidRPr="00DC3FB1" w:rsidRDefault="000930F4" w:rsidP="000930F4"/>
    <w:p w:rsidR="000930F4" w:rsidRPr="00DC3FB1" w:rsidRDefault="000930F4" w:rsidP="000930F4">
      <w:pPr>
        <w:pStyle w:val="PageHeading"/>
        <w:sectPr w:rsidR="000930F4" w:rsidRPr="00DC3FB1" w:rsidSect="00611EC7">
          <w:footnotePr>
            <w:numRestart w:val="eachPage"/>
          </w:footnotePr>
          <w:endnotePr>
            <w:numFmt w:val="decimal"/>
          </w:endnotePr>
          <w:pgSz w:w="11906" w:h="16838" w:code="9"/>
          <w:pgMar w:top="1134" w:right="1418" w:bottom="1418" w:left="1418" w:header="567" w:footer="567" w:gutter="0"/>
          <w:cols w:space="720"/>
          <w:noEndnote/>
          <w:docGrid w:linePitch="326"/>
        </w:sectPr>
      </w:pPr>
    </w:p>
    <w:p w:rsidR="000930F4" w:rsidRPr="00DC3FB1" w:rsidRDefault="000930F4" w:rsidP="0022643B">
      <w:pPr>
        <w:pStyle w:val="ATHeading3"/>
      </w:pPr>
      <w:bookmarkStart w:id="9" w:name="_Toc161997428"/>
      <w:r w:rsidRPr="00DC3FB1">
        <w:lastRenderedPageBreak/>
        <w:t xml:space="preserve">3. </w:t>
      </w:r>
      <w:r w:rsidR="009F1785" w:rsidRPr="00DC3FB1">
        <w:t xml:space="preserve">2024 m. balandžio 11 d. Europos Parlamento rezoliucija </w:t>
      </w:r>
      <w:bookmarkEnd w:id="9"/>
      <w:r w:rsidRPr="00DC3FB1">
        <w:t>su pastabomis, sudarančiomis neatskiriamą sprendimo dėl ENISA (Europos Sąjungos kibernetinio saugumo agentūros) 2022 finansinių metų biudžeto įvykdymo patvirtinimo dalį</w:t>
      </w:r>
      <w:r w:rsidR="0080777B" w:rsidRPr="00DC3FB1">
        <w:t xml:space="preserve"> </w:t>
      </w:r>
      <w:r w:rsidRPr="00DC3FB1">
        <w:t>(2023/2159(DEC))</w:t>
      </w:r>
    </w:p>
    <w:p w:rsidR="000930F4" w:rsidRPr="00DC3FB1" w:rsidRDefault="000930F4" w:rsidP="000930F4">
      <w:pPr>
        <w:pStyle w:val="EPComma"/>
      </w:pPr>
      <w:r w:rsidRPr="00DC3FB1">
        <w:rPr>
          <w:i/>
        </w:rPr>
        <w:t>Europos Parlamentas</w:t>
      </w:r>
      <w:r w:rsidRPr="00DC3FB1">
        <w:t>,</w:t>
      </w:r>
    </w:p>
    <w:p w:rsidR="000930F4" w:rsidRPr="00DC3FB1" w:rsidRDefault="000930F4" w:rsidP="000930F4">
      <w:pPr>
        <w:pStyle w:val="NormalHanging12a"/>
      </w:pPr>
      <w:r w:rsidRPr="00DC3FB1">
        <w:t>–</w:t>
      </w:r>
      <w:r w:rsidRPr="00DC3FB1">
        <w:tab/>
        <w:t>atsižvelgdamas į savo sprendimą dėl ENISA (Europos Sąjungos kibernetinio saugumo agentūros) 2022 finansinių metų biudžeto įvykdymo patvirtinimo,</w:t>
      </w:r>
    </w:p>
    <w:p w:rsidR="000930F4" w:rsidRPr="00DC3FB1" w:rsidRDefault="000930F4" w:rsidP="000930F4">
      <w:pPr>
        <w:pStyle w:val="NormalHanging12a"/>
      </w:pPr>
      <w:r w:rsidRPr="00DC3FB1">
        <w:t>–</w:t>
      </w:r>
      <w:r w:rsidRPr="00DC3FB1">
        <w:tab/>
        <w:t>atsižvelgdamas į Darbo tvarkos taisyklių 100 straipsnį ir V priedą,</w:t>
      </w:r>
    </w:p>
    <w:p w:rsidR="000930F4" w:rsidRPr="00DC3FB1" w:rsidRDefault="000930F4" w:rsidP="000930F4">
      <w:pPr>
        <w:pStyle w:val="NormalHanging12a"/>
      </w:pPr>
      <w:r w:rsidRPr="00DC3FB1">
        <w:t>–</w:t>
      </w:r>
      <w:r w:rsidRPr="00DC3FB1">
        <w:tab/>
        <w:t>atsižvelgdami į Audito Rūmų sp</w:t>
      </w:r>
      <w:r w:rsidR="00DC3FB1">
        <w:t>ecialiąją ataskaitą Nr. 05/2022</w:t>
      </w:r>
      <w:bookmarkStart w:id="10" w:name="_GoBack"/>
      <w:bookmarkEnd w:id="10"/>
      <w:r w:rsidRPr="00DC3FB1">
        <w:t>,</w:t>
      </w:r>
    </w:p>
    <w:p w:rsidR="000930F4" w:rsidRPr="00DC3FB1" w:rsidRDefault="000930F4" w:rsidP="000930F4">
      <w:pPr>
        <w:pStyle w:val="NormalHanging12a"/>
      </w:pPr>
      <w:r w:rsidRPr="00DC3FB1">
        <w:t>–</w:t>
      </w:r>
      <w:r w:rsidRPr="00DC3FB1">
        <w:tab/>
        <w:t>atsižvelgdamas į Biudžeto kontrolės komiteto pranešimą (A9-0134/2024),</w:t>
      </w:r>
    </w:p>
    <w:p w:rsidR="000930F4" w:rsidRPr="00DC3FB1" w:rsidRDefault="000930F4" w:rsidP="000930F4">
      <w:pPr>
        <w:autoSpaceDE w:val="0"/>
        <w:autoSpaceDN w:val="0"/>
        <w:adjustRightInd w:val="0"/>
        <w:spacing w:after="240"/>
        <w:ind w:left="567" w:hanging="567"/>
      </w:pPr>
      <w:r w:rsidRPr="00DC3FB1">
        <w:t>A.</w:t>
      </w:r>
      <w:r w:rsidRPr="00DC3FB1">
        <w:tab/>
        <w:t>kadangi, remiantis ENISA (toliau – Agentūra) pajamų ir išlaidų suvestine</w:t>
      </w:r>
      <w:r w:rsidRPr="00DC3FB1">
        <w:rPr>
          <w:rStyle w:val="FootnoteReference"/>
          <w:szCs w:val="24"/>
        </w:rPr>
        <w:footnoteReference w:id="11"/>
      </w:r>
      <w:r w:rsidRPr="00DC3FB1">
        <w:t>, jos galutinis 2022 finansinių metų biudžetas buvo 39 207 625 EUR, t. y. 67,03 proc. didesnis nei 2021 m.; kadangi Agentūros biudžeto padidėjimą daugiausia galima paaiškinti papildomomis užduotimis, susijusiomis su bandomuoju paramos kibernetiniam saugumui veiksmų programos įgyvendinimu; kadangi Agentūros biudžetą sudaro daugiausia iš Sąjungos biudžeto gaunamos lėšos;</w:t>
      </w:r>
    </w:p>
    <w:p w:rsidR="000930F4" w:rsidRPr="00DC3FB1" w:rsidRDefault="000930F4" w:rsidP="000930F4">
      <w:pPr>
        <w:autoSpaceDE w:val="0"/>
        <w:autoSpaceDN w:val="0"/>
        <w:adjustRightInd w:val="0"/>
        <w:spacing w:after="240"/>
        <w:ind w:left="567" w:hanging="567"/>
        <w:rPr>
          <w:szCs w:val="24"/>
        </w:rPr>
      </w:pPr>
      <w:r w:rsidRPr="00DC3FB1">
        <w:t>B.</w:t>
      </w:r>
      <w:r w:rsidRPr="00DC3FB1">
        <w:tab/>
        <w:t>kadangi Audito Rūmai savo ataskaitoje dėl Agentūros 2022 finansinių metų metinių ataskaitų (toliau – Audito Rūmų ataskaita) nurodė, kad gavo pagrįstą patikinimą, jog Agentūros metinės ataskaitos yra patikimos ir jose nurodytos operacijos yra teisėtos ir tvarkingos;</w:t>
      </w:r>
    </w:p>
    <w:p w:rsidR="000930F4" w:rsidRPr="00DC3FB1" w:rsidRDefault="000930F4" w:rsidP="000930F4">
      <w:pPr>
        <w:pStyle w:val="Normal12Hanging"/>
        <w:rPr>
          <w:b/>
          <w:i/>
          <w:szCs w:val="24"/>
        </w:rPr>
      </w:pPr>
      <w:r w:rsidRPr="00DC3FB1">
        <w:rPr>
          <w:b/>
          <w:i/>
        </w:rPr>
        <w:t>Biudžeto ir finansų valdymas</w:t>
      </w:r>
    </w:p>
    <w:p w:rsidR="000930F4" w:rsidRPr="00DC3FB1" w:rsidRDefault="000930F4" w:rsidP="000930F4">
      <w:pPr>
        <w:pStyle w:val="Normal12Hanging"/>
        <w:rPr>
          <w:szCs w:val="24"/>
        </w:rPr>
      </w:pPr>
      <w:r w:rsidRPr="00DC3FB1">
        <w:t>1.</w:t>
      </w:r>
      <w:r w:rsidRPr="00DC3FB1">
        <w:tab/>
        <w:t>džiaugdamasis pažymi, kad 2022 finansiniais metais vykdant biudžeto stebėseną biudžeto įvykdymo lygis buvo 99,93 proc. įsipareigojimų asignavimų atveju, t. y. padidėjo 0,42 proc., palyginti su 2021 m.; taip pat pažymi, kad einamųjų metų mokėjimų asignavimų panaudojimo lygis buvo 52,02 proc., t. y. 25,38 proc. mažesnis palyginti su 2021 m.;</w:t>
      </w:r>
    </w:p>
    <w:p w:rsidR="000930F4" w:rsidRPr="00DC3FB1" w:rsidRDefault="000930F4" w:rsidP="000930F4">
      <w:pPr>
        <w:pStyle w:val="Normal12Hanging"/>
        <w:rPr>
          <w:b/>
          <w:i/>
          <w:szCs w:val="24"/>
        </w:rPr>
      </w:pPr>
      <w:r w:rsidRPr="00DC3FB1">
        <w:t>2.</w:t>
      </w:r>
      <w:r w:rsidRPr="00DC3FB1">
        <w:tab/>
        <w:t>pabrėžia, kad Agentūros galutinio biudžeto suma gauta dėl 2022 m. rugpjūčio 5 d. Valdančiosios tarybos priimto 15 000 000 EUR dalinio pakeitimo, susijusio su kibernetinio saugumo rėmimo veiksmų, kuriais siekiama stiprinti Agentūros atsaką remiant valstybes nares pagal jos įgaliojimus, įgyvendinimu; pažymi, kad dauguma įsipareigojimų pagal kibernetinio saugumo rėmimo veiksmus buvo pasirašyti metų pabaigoje, o tai paaiškina palyginti žemą mokėjimų lygį (ir vėlesnius didelius perkėlimus);</w:t>
      </w:r>
    </w:p>
    <w:p w:rsidR="000930F4" w:rsidRPr="00DC3FB1" w:rsidRDefault="000930F4" w:rsidP="000930F4">
      <w:pPr>
        <w:pStyle w:val="Normal12Hanging"/>
        <w:rPr>
          <w:b/>
          <w:i/>
          <w:szCs w:val="24"/>
        </w:rPr>
      </w:pPr>
      <w:r w:rsidRPr="00DC3FB1">
        <w:rPr>
          <w:b/>
          <w:i/>
        </w:rPr>
        <w:t>Veikla</w:t>
      </w:r>
    </w:p>
    <w:p w:rsidR="000930F4" w:rsidRPr="00DC3FB1" w:rsidRDefault="000930F4" w:rsidP="000930F4">
      <w:pPr>
        <w:pStyle w:val="Normal12Hanging"/>
        <w:rPr>
          <w:szCs w:val="24"/>
        </w:rPr>
      </w:pPr>
      <w:r w:rsidRPr="00DC3FB1">
        <w:t>3.</w:t>
      </w:r>
      <w:r w:rsidRPr="00DC3FB1">
        <w:tab/>
        <w:t xml:space="preserve">giria Agentūra už tai, kad ji įvykdė 100 proc. savo 2022 m. darbo programos; palankiai vertina tai, kad Agentūra naudoja pagrindinius veiklos rezultatų rodiklius (PVRR), kad įvertintų savo veiklą ir rezultatus siekiant darbo programos tikslų; pažymi, kad tam tikrų </w:t>
      </w:r>
      <w:r w:rsidRPr="00DC3FB1">
        <w:lastRenderedPageBreak/>
        <w:t>rezultatų tikslai nebuvo visiškai pasiekti dėl išteklių perskirstymo prioritetų, kad būtų galima vykdyti kibernetinio saugumo paramos veiksmus reaguojant į neteisėtą ir neišprovokuotą Rusijos invaziją į Ukrainą; pažymi, kad dėl minėto prioritetų pertvarkymo labiau paveikti rezultatai, be kita ko, buvo šie: 4.2 „Kibernetinei krizei skirtos standartinės veiklos politikos, procedūrų, metodikų ir priemonių kūrimas ir stiprinimas“ ir 5.3 „Patikimo pardavėjų ir (arba) tiekėjų tinklo kūrimo inicijavimas“;</w:t>
      </w:r>
    </w:p>
    <w:p w:rsidR="000930F4" w:rsidRPr="00DC3FB1" w:rsidRDefault="000930F4" w:rsidP="000930F4">
      <w:pPr>
        <w:pStyle w:val="NormalHanging12a"/>
      </w:pPr>
      <w:r w:rsidRPr="00DC3FB1">
        <w:t>4.</w:t>
      </w:r>
      <w:r w:rsidRPr="00DC3FB1">
        <w:tab/>
        <w:t>žino, kad 2022 m. Sąjungos saugumo darbotvarkėje dominavo neteisėta ir neišprovokuota Rusijos invazija į Ukrainą; su pasitenkinimu pažymi, kad Agentūra sustiprino savo koordinavimą ir pasirengimą ir prisidėjo prie bendro Sąjungos informuotumo apie padėtį, reguliariai teikdama ataskaitas dėl kibernetinės veiklos padėties; akcentuoja, kad taip pat buvo intensyviau koordinuojama veikla ir keičiamasi informacija su kibernetinio saugumo tinklais, pvz., Europos ryšių palaikymo kibernetinių krizių srityje organizacijų tinklu (EU-CyCLONe), kurį sudaro nacionalinės kibernetinio saugumo krizių valdymo institucijos, ir įvairiomis Agentūros remiamomis sektorių bendruomenėmis; palankiai vertina Agentūros pastangas užtikrinti politinio, operatyvinio ir techninio lygmenų komunikacijos kanalus ir tvirtesnį bendradarbiavimą su reagavimo į kompiuterių saugumo incidentus tarnybų tinklu;</w:t>
      </w:r>
    </w:p>
    <w:p w:rsidR="000930F4" w:rsidRPr="00DC3FB1" w:rsidRDefault="000930F4" w:rsidP="000930F4">
      <w:pPr>
        <w:pStyle w:val="Normal12Hanging"/>
        <w:rPr>
          <w:szCs w:val="24"/>
        </w:rPr>
      </w:pPr>
      <w:r w:rsidRPr="00DC3FB1">
        <w:t>5.</w:t>
      </w:r>
      <w:r w:rsidRPr="00DC3FB1">
        <w:tab/>
        <w:t>su pasitenkinimu pažymi, kad 2022 m. Agentūra išbandė Sąjungos spalvų intensyvumo žemėlapį, kuriuo buvo siekiama greitai apžvelgti kibernetinius incidentus ir kibernetinius įvykius, darančius poveikį Sąjungos ypatingos svarbos sektoriams dėl kibernetinio aktyvumo, susijusio su Rusijos agresijos karu prieš Ukrainą; pažymi, kad šie sektoriai prisidėjo prie Komisijos integruotos informuotumo apie padėtį ir analizės ataskaitos, kurioje pateikti 52 atnaujintos informacijos pranešimai apie dabartinę padėtį ir incidentus, susijusius su Rusijos agresijos karu prieš Ukrainą, taip prisidedant prie Sąjungos krizių valdymo mechanizmo;</w:t>
      </w:r>
    </w:p>
    <w:p w:rsidR="000930F4" w:rsidRPr="00DC3FB1" w:rsidRDefault="000930F4" w:rsidP="000930F4">
      <w:pPr>
        <w:pStyle w:val="Normal12Hanging"/>
        <w:rPr>
          <w:szCs w:val="24"/>
        </w:rPr>
      </w:pPr>
      <w:r w:rsidRPr="00DC3FB1">
        <w:t>6.</w:t>
      </w:r>
      <w:r w:rsidRPr="00DC3FB1">
        <w:tab/>
        <w:t>atkreipia dėmesį į tai, kad, remiantis Audito Rūmų specialiąja ataskaita 05/2022 „ES institucijų, įstaigų ir agentūrų kibernetinis saugumas“, kibernetinių išpuolių pieš ES įstaigas skaičius sparčiai auga, o kibernetinio saugumo pasirengimo lygis Sąjungos įstaigose skiriasi ir iš esmės neatitinka didėjančių grėsmių; pastebi, kad, kadangi Sąjungos įstaigos yra glaudžiai tarpusavyje susijusios, dėl vienos iš jų trūkumų gali kilti grėsmių kitų įstaigų saugumui; pabrėžia, kad Audito Rūmai rekomenduoja, kad Agentūra kartu su Sąjungos kompiuterinių incidentų tyrimo tarnyba daugiau dėmesio skirtų toms Sąjungos įstaigoms, kurios turi mažiau kibernetinio saugumo valdymo patirties: a) nustatydamos prioritetines sritis, kuriose Sąjungos institucijoms, įstaigoms ir agentūroms labiausiai reikia paramos, pavyzdžiui, atliekant brandos vertinimus, ir b) įgyvendindamos gebėjimų stiprinimo veiksmus pagal savo susitarimo memorandumą; ragina Agentūrą spręsti Audito Rūmų iškeltus klausimus ir pranešti biudžeto įvykdymą tvirtinančiai institucijai apie priemones, kurių imtasi šioje srityje;</w:t>
      </w:r>
    </w:p>
    <w:p w:rsidR="000930F4" w:rsidRPr="00DC3FB1" w:rsidRDefault="000930F4" w:rsidP="000930F4">
      <w:pPr>
        <w:pStyle w:val="Normal12Hanging"/>
        <w:rPr>
          <w:szCs w:val="24"/>
        </w:rPr>
      </w:pPr>
      <w:r w:rsidRPr="00DC3FB1">
        <w:t>7.</w:t>
      </w:r>
      <w:r w:rsidRPr="00DC3FB1">
        <w:tab/>
        <w:t xml:space="preserve">atkreipia dėmesį į tai, kad 2022 m. Agentūra vykdė įvairią veiklą, kad atliktų savo vaidmenį remiant Sąjungą; pažymi, kad, nors Agentūra galėjo pasiūlyti savo paramą keliems politikos dokumentų rinkiniams, pvz., tinklų ir informacijos saugumo, kibernetinio atsparumo ir skaitmeninės veiklos atsparumo srityse, dėl ribotų išteklių Agentūra negalėjo aktyviai remti politikos dokumentų, kuriuose yra kibernetinio saugumo nuostatų, pavyzdžiui, Europos sveikatos duomenų erdvės dokumento, ir kitų pagrindinių dokumentų, kaip antai dėl skaitmeninių rinkų ir skaitmeninių paslaugų; pažymi, kad kita veikla apėmė politikos formuotojų informavimą apie esamų kibernetinio saugumo sistemų veiksmingumą ir paramos teikimą ypatingos svarbos </w:t>
      </w:r>
      <w:r w:rsidRPr="00DC3FB1">
        <w:lastRenderedPageBreak/>
        <w:t>sektoriams; be to, pažymi, kad priėmus Europos Parlamento ir Tarybos direktyvą (ES)</w:t>
      </w:r>
      <w:r w:rsidRPr="00DC3FB1">
        <w:rPr>
          <w:rStyle w:val="FootnoteReference"/>
          <w:szCs w:val="24"/>
        </w:rPr>
        <w:footnoteReference w:id="12"/>
      </w:r>
      <w:r w:rsidRPr="00DC3FB1">
        <w:t xml:space="preserve"> 2022/2555 (TIS 2 direktyva) sukurta priemonė problemoms spręsti ir politikai visoje Sąjungoje suderinti; supranta, kad nepakankamas TIS 1 direktyvos įgyvendinimo suderinimas lėmė susiskaidžiusią politikos aplinką, su kuria susijusios problemos sprendžiamos TIS 2 direktyvoje; žino, kad pastarąja direktyva išplečiama jos taikymo sritis ir Agentūrai nustatomos naujos horizontaliosios užduotys, pvz., Sąjungos skaitmeninių subjektų registras; pabrėžia, kad Agentūra pakoregavo savo paslaugas ir išteklius priimdama naują strategiją, kad patenkintų kintančius kibernetinio saugumo aplinkos poreikius;</w:t>
      </w:r>
    </w:p>
    <w:p w:rsidR="000930F4" w:rsidRPr="00DC3FB1" w:rsidRDefault="000930F4" w:rsidP="000930F4">
      <w:pPr>
        <w:pStyle w:val="Normal12Hanging"/>
        <w:rPr>
          <w:b/>
          <w:i/>
        </w:rPr>
      </w:pPr>
      <w:r w:rsidRPr="00DC3FB1">
        <w:rPr>
          <w:b/>
          <w:i/>
        </w:rPr>
        <w:t>Veiksmingumas ir nauda</w:t>
      </w:r>
    </w:p>
    <w:p w:rsidR="000930F4" w:rsidRPr="00DC3FB1" w:rsidRDefault="000930F4" w:rsidP="000930F4">
      <w:pPr>
        <w:pStyle w:val="Normal12Hanging"/>
        <w:rPr>
          <w:szCs w:val="24"/>
        </w:rPr>
      </w:pPr>
      <w:r w:rsidRPr="00DC3FB1">
        <w:t>8.</w:t>
      </w:r>
      <w:r w:rsidRPr="00DC3FB1">
        <w:tab/>
        <w:t>pažymi, kad Agentūra siekė padidinti naudojimąsi paslaugomis, kuriomis dalijamasi su kitomis agentūromis ir (arba) Komisija, įskaitant, pvz., tarpžinybinius ir tarpinstitucinius viešųjų pirkimų procesus ir dalijimąsi paslaugomis su Europos profesinio mokymo plėtros centru (CEDEFOP) bei Europos kibernetinio saugumo kompetencijos centru (ECCC); be to, pažymi, kad 2022 m. Agentūra pasirašė susitarimą dėl paslaugų lygio su naujai įsteigtu Europos kibernetinio saugumo pramonės, technologijų ir mokslinių tyrimų kompetencijos centru dėl duomenų apsaugos pareigūnų ir apskaitininkų paslaugų teikimo centrui ir kad šis susitarimas turi būti įgyvendintas 2023 m.;</w:t>
      </w:r>
    </w:p>
    <w:p w:rsidR="000930F4" w:rsidRPr="00DC3FB1" w:rsidRDefault="000930F4" w:rsidP="000930F4">
      <w:pPr>
        <w:pStyle w:val="Normal12Hanging"/>
        <w:rPr>
          <w:szCs w:val="24"/>
        </w:rPr>
      </w:pPr>
      <w:r w:rsidRPr="00DC3FB1">
        <w:t>9.</w:t>
      </w:r>
      <w:r w:rsidRPr="00DC3FB1">
        <w:tab/>
        <w:t>atkreipia dėmesį į veiksmus, kurių ėmėsi Agentūra, siekdama pereiti nuo tradicinės darbuotojų skaičiaus metodikos prie strateginio darbo jėgos planavimo, kad būtų galima numatyti ir pašalinti darbuotojų trūkumą, siekiant sukurti lanksčią darbo jėgą ir skirti išteklių prioritetinėms sritims;</w:t>
      </w:r>
    </w:p>
    <w:p w:rsidR="000930F4" w:rsidRPr="00DC3FB1" w:rsidRDefault="000930F4" w:rsidP="000930F4">
      <w:pPr>
        <w:pStyle w:val="Normal12Hanging"/>
        <w:rPr>
          <w:szCs w:val="24"/>
        </w:rPr>
      </w:pPr>
      <w:r w:rsidRPr="00DC3FB1">
        <w:t>10.</w:t>
      </w:r>
      <w:r w:rsidRPr="00DC3FB1">
        <w:tab/>
        <w:t>palankiai vertina Agentūros indėlį skatinant bendras paslaugas tarp agentūrų per kelis tinklus viešųjų pirkimų, žmogiškųjų išteklių, IRT, rizikos valdymo, veiklos rezultatų valdymo, duomenų apsaugos, informacijos saugumo ir apskaitos srityse; atkreipia dėmesį į horizontaliąją bendradarbiavimo ir geriausios praktikos pritaikymo naudą ir tai, kad bendromis iniciatyvomis sutelkiamos įvairios perspektyvos, mažinamas pastangų dubliavimas, gerinamas mokymasis ir stiprinami dalyvių santykiai; skatina Agentūrą rasti vidaus procedūrų, kurias būtų galima supaprastinti naudojant naujas IT priemones;</w:t>
      </w:r>
    </w:p>
    <w:p w:rsidR="000930F4" w:rsidRPr="00DC3FB1" w:rsidRDefault="000930F4" w:rsidP="000930F4">
      <w:pPr>
        <w:pStyle w:val="Normal12Hanging"/>
        <w:rPr>
          <w:szCs w:val="24"/>
        </w:rPr>
      </w:pPr>
      <w:r w:rsidRPr="00DC3FB1">
        <w:t>11.</w:t>
      </w:r>
      <w:r w:rsidRPr="00DC3FB1">
        <w:tab/>
        <w:t>su pasitenkinimu atkreipia dėmesį į Agentūros dalyvavimą bandomuosiuose veiksmuose ES agentūrų tinkle, kuriais siekiama padėti Sąjungos agentūroms geriau pasirengti būsimam naujam kibernetinio saugumo reglamentui;</w:t>
      </w:r>
    </w:p>
    <w:p w:rsidR="000930F4" w:rsidRPr="00DC3FB1" w:rsidRDefault="000930F4" w:rsidP="000930F4">
      <w:pPr>
        <w:pStyle w:val="NormalHanging12a"/>
      </w:pPr>
      <w:r w:rsidRPr="00DC3FB1">
        <w:t>12.</w:t>
      </w:r>
      <w:r w:rsidRPr="00DC3FB1">
        <w:tab/>
        <w:t>primena, kad svarbu didinti Agentūros skaitmeninimą ne tik vidaus operacijų ir valdymo tikslais, bet ir siekiant paspartinti procedūrų skaitmeninimą; pabrėžia, kad Agentūra turi ir toliau proaktyviai veikti šioje srityje, kad būtų išvengta skaitmeninio atotrūkio tarp agentūrų;</w:t>
      </w:r>
    </w:p>
    <w:p w:rsidR="000930F4" w:rsidRPr="00DC3FB1" w:rsidRDefault="000930F4" w:rsidP="000930F4">
      <w:pPr>
        <w:pStyle w:val="Normal12Hanging"/>
        <w:rPr>
          <w:b/>
          <w:i/>
          <w:szCs w:val="24"/>
        </w:rPr>
      </w:pPr>
      <w:r w:rsidRPr="00DC3FB1">
        <w:rPr>
          <w:b/>
          <w:i/>
        </w:rPr>
        <w:t>Personalo politika</w:t>
      </w:r>
    </w:p>
    <w:p w:rsidR="000930F4" w:rsidRPr="00DC3FB1" w:rsidRDefault="000930F4" w:rsidP="000930F4">
      <w:pPr>
        <w:pStyle w:val="Normal12Hanging"/>
        <w:rPr>
          <w:szCs w:val="24"/>
        </w:rPr>
      </w:pPr>
      <w:r w:rsidRPr="00DC3FB1">
        <w:lastRenderedPageBreak/>
        <w:t>13.</w:t>
      </w:r>
      <w:r w:rsidRPr="00DC3FB1">
        <w:tab/>
        <w:t>pažymi, kad 2022 m. gruodžio 31 d. etatų planas buvo įgyvendintas 89,02 proc.: į 82 laikinųjų darbuotojų etatus, patvirtintus pagal Sąjungos biudžetą, (palyginti su 76 etatais, patvirtintais 2021 m.) paskirti 73 laikinieji darbuotojai; pažymi, kad 2022 m. Agentūroje taip pat dirbo 27 sutartininkai, 10 deleguotųjų nacionalinių ekspertų, 10 laikinųjų darbuotojų ir 16 rangovų;</w:t>
      </w:r>
    </w:p>
    <w:p w:rsidR="000930F4" w:rsidRPr="00DC3FB1" w:rsidRDefault="000930F4" w:rsidP="000930F4">
      <w:pPr>
        <w:spacing w:after="240"/>
        <w:ind w:left="567" w:hanging="567"/>
        <w:rPr>
          <w:szCs w:val="24"/>
        </w:rPr>
      </w:pPr>
      <w:r w:rsidRPr="00DC3FB1">
        <w:t>14.</w:t>
      </w:r>
      <w:r w:rsidRPr="00DC3FB1">
        <w:tab/>
        <w:t>susirūpinęs atkreipia dėmesį į lyčių pusiausvyros trūkumą tarp Agentūros vyresniosios ir vidurinės grandies vadovybės darbuotojų, t. y. 12 iš 17 jos atstovų yra vyrai (71 proc.); laikosi nuomonės, kad turi būti užtikrinta didesnė Agentūros vyresniosios vadovybės ir vidurinės grandies vadovų lyčių pusiausvyra; primena, kad svarbu užtikrinti lyčių pusiausvyrą, ir ragina Agentūrą atsižvelgti į šį aspektą ateityje skiriant vyresniosios vadovybės ir vidurinės grandies vadovus; atkreipia dėmesį į Agentūros valdančiosios tarybos sudėtį lyčių atžvilgiu – 41 iš 55 jos narių (75 proc.) yra vyrai; pripažįsta, kad Valdančiosios tarybos sudėtis didele dalimi priklauso nuo valstybių narių paskirtų kandidatų; primygtinai ragina Komisiją ir valstybes nares atsižvelgti į tai, kad svarbu užtikrinti lyčių pusiausvyrą skiriant savo narius į Agentūros valdančiąją tarybą; atkreipia dėmesį į subalansuotą visų Agentūros darbuotojų pasiskirstymą pagal lytį: 57 vyrai (52 proc.) ir 53 moterys (48 proc.); atkreipia dėmesį į veiksmus, kurių ėmėsi Agentūra siekdama spręsti lyčių pusiausvyros klausimus, įskaitant jos įdarbinimo politikos peržiūrą, siekiant paskatinti moteris teikti paraiškas; be to, pažymi, kad Agentūra savo organizacijos strategijoje suplanavo iki 2025 m. pabaigos gauti ES agentūrų tinklo kompetencijos sertifikatą įvairovės ir įtraukties srityje;</w:t>
      </w:r>
    </w:p>
    <w:p w:rsidR="000930F4" w:rsidRPr="00DC3FB1" w:rsidRDefault="000930F4" w:rsidP="000930F4">
      <w:pPr>
        <w:pStyle w:val="NormalHanging12a"/>
      </w:pPr>
      <w:r w:rsidRPr="00DC3FB1">
        <w:t>15.</w:t>
      </w:r>
      <w:r w:rsidRPr="00DC3FB1">
        <w:tab/>
        <w:t>pažymi, kad Agentūra vykdo asmens orumo apsaugos ir psichologinio bei seksualinio priekabiavimo prevencijos politiką ir priklauso konfidencialių patarėjų tarpžinybinei darbo grupei; laukia jų ataskaitos ir rekomendacijų; pažymi, kad 2022 m. nebuvo pranešta apie jokius priekabiavimo atvejus, ir ragina Agentūrą toliau tęsti ir plėtoti darbą, kad priekabiavimo atvejų nepasitaikytų ir ateityje;</w:t>
      </w:r>
    </w:p>
    <w:p w:rsidR="000930F4" w:rsidRPr="00DC3FB1" w:rsidRDefault="000930F4" w:rsidP="000930F4">
      <w:pPr>
        <w:pStyle w:val="NormalHanging12a"/>
      </w:pPr>
      <w:r w:rsidRPr="00DC3FB1">
        <w:t>16.</w:t>
      </w:r>
      <w:r w:rsidRPr="00DC3FB1">
        <w:tab/>
        <w:t>reiškia susirūpinimą dėl Agentūros vyresniosios vadovybės ir vidurinės grandies vadovų bei kitų darbuotojų geografinio disbalanso: joje dirba 40,9 proc. Graikijos piliečių; primygtinai tvirtina, kad reikia atlikti patobulinimus; prašo Agentūros informuoti biudžeto įvykdymą tvirtinančią instituciją šiuo klausimu;</w:t>
      </w:r>
    </w:p>
    <w:p w:rsidR="000930F4" w:rsidRPr="00DC3FB1" w:rsidRDefault="000930F4" w:rsidP="000930F4">
      <w:pPr>
        <w:spacing w:after="240"/>
        <w:ind w:left="567" w:hanging="567"/>
        <w:rPr>
          <w:szCs w:val="24"/>
        </w:rPr>
      </w:pPr>
      <w:r w:rsidRPr="00DC3FB1">
        <w:t>17.</w:t>
      </w:r>
      <w:r w:rsidRPr="00DC3FB1">
        <w:tab/>
        <w:t>susirūpinęs pažymi, kad rengdama 2023 m. darbo programą Agentūra nustatė, jog trūksta 734 000 EUR išteklių ir dviejų etato ekvivalentų veiklos srityje bei 2,5 mln. EUR bendrųjų paslaugų srityje; be to, pažymi, kad atlikus išsamų 2023–2025 m. žmogiškųjų išteklių poreikių vertinimą paaiškėjo didelis atotrūkis, visų pirma ypatingos svarbos veiklos srityse, ir be papildomų etatų Agentūrai gali reikėti nustatyti prioritetus ir pakoreguoti būsimas darbo programas, kad būtų kompensuotas išteklių trūkumas; atkreipia dėmesį į tai, kad Agentūros valdančioji taryba taip pat pareiškė, jog reikia padidinti etatų skaičių, kad Agentūra galėtų visapusiškai ir tvariai vykdyti savo įgaliojimus;</w:t>
      </w:r>
    </w:p>
    <w:p w:rsidR="000930F4" w:rsidRPr="00DC3FB1" w:rsidRDefault="000930F4" w:rsidP="000930F4">
      <w:pPr>
        <w:pStyle w:val="Normal12Hanging"/>
        <w:rPr>
          <w:szCs w:val="24"/>
        </w:rPr>
      </w:pPr>
      <w:r w:rsidRPr="00DC3FB1">
        <w:t>18.</w:t>
      </w:r>
      <w:r w:rsidRPr="00DC3FB1">
        <w:tab/>
        <w:t>palankiai vertina Agentūros pastangas integruoti asmenis su negalia, sukuriant prieinamą infrastruktūrą ir paramos paslaugas;</w:t>
      </w:r>
    </w:p>
    <w:p w:rsidR="000930F4" w:rsidRPr="00DC3FB1" w:rsidRDefault="000930F4" w:rsidP="000930F4">
      <w:pPr>
        <w:pStyle w:val="Normal12Hanging"/>
        <w:rPr>
          <w:szCs w:val="24"/>
        </w:rPr>
      </w:pPr>
      <w:r w:rsidRPr="00DC3FB1">
        <w:t>19.</w:t>
      </w:r>
      <w:r w:rsidRPr="00DC3FB1">
        <w:tab/>
        <w:t>pažymi, kad 2022 m. Agentūra toliau teikė papildomą paramą darbuotojams čekiais, kompensuodama interneto paslaugas ir vykdydama programą „fit@work“, bei parengė savo elgesio kodeksą, kuriame išdėstė Agentūros lūkesčius dėl darbuotojų elgesio;</w:t>
      </w:r>
    </w:p>
    <w:p w:rsidR="000930F4" w:rsidRPr="00DC3FB1" w:rsidRDefault="000930F4" w:rsidP="000930F4">
      <w:pPr>
        <w:pStyle w:val="NormalHanging12a"/>
        <w:rPr>
          <w:b/>
          <w:i/>
          <w:szCs w:val="24"/>
        </w:rPr>
      </w:pPr>
      <w:r w:rsidRPr="00DC3FB1">
        <w:rPr>
          <w:b/>
          <w:i/>
        </w:rPr>
        <w:lastRenderedPageBreak/>
        <w:t>Viešieji pirkimai</w:t>
      </w:r>
    </w:p>
    <w:p w:rsidR="000930F4" w:rsidRPr="00DC3FB1" w:rsidRDefault="000930F4" w:rsidP="000930F4">
      <w:pPr>
        <w:pStyle w:val="NormalHanging12a"/>
        <w:rPr>
          <w:szCs w:val="24"/>
        </w:rPr>
      </w:pPr>
      <w:r w:rsidRPr="00DC3FB1">
        <w:t>20.</w:t>
      </w:r>
      <w:r w:rsidRPr="00DC3FB1">
        <w:tab/>
        <w:t>susirūpinęs pažymi, kad Audito Rūmai nustatė du atvejus, kai Agentūra sudarė mažos vertės sutartis (iki 15 000 EUR) nepateikusi vertinimo ataskaitos ir leidimus suteikiančio pareigūno tinkamai patvirtinto ir pasirašyto sprendimo dėl sutarties skyrimo, o tai prieštarauja Finansinio reglamento I priedo 30.3 ir 30.4 punktams; atsižvelgdamas į tai primena, kad Audito Rūmai pateikė panašią pastabą savo 2021 m. ataskaitoje, ir Agentūros atsakymą, kad ji jau ėmėsi būtinų veiksmų šiai problemai spręsti; pabrėžia, kad svarbu įgyvendinti procedūras siekiant užtikrinti visapusišką Finansinio reglamento laikymąsi; ragina Agentūrą spręsti Audito Rūmų iškeltus klausimus ir informuoti biudžeto įvykdymą tvirtinančią instituciją apie bet kokius pokyčius šiuo atžvilgiu;</w:t>
      </w:r>
    </w:p>
    <w:p w:rsidR="000930F4" w:rsidRPr="00DC3FB1" w:rsidRDefault="000930F4" w:rsidP="000930F4">
      <w:pPr>
        <w:pStyle w:val="NormalHanging12a"/>
        <w:rPr>
          <w:szCs w:val="24"/>
        </w:rPr>
      </w:pPr>
      <w:r w:rsidRPr="00DC3FB1">
        <w:t>21.</w:t>
      </w:r>
      <w:r w:rsidRPr="00DC3FB1">
        <w:tab/>
        <w:t>atkreipia dėmesį į tai, kad, Audito Rūmų teigimu, 2022 m. Agentūra savo vadovams pasiūlė profesinį vertinimą, kurį atliko Agentūros paskirtas išorės paslaugų teikėjas; pažymi, kad trimis atvejais Agentūra tiesiogiai sumokėjo paslaugų teikėjui už šias paslaugas, o likusiais 23 atvejais ji kompensavo sumas savo vadovams, kurie paslaugų teikėjui sumokėjo patys; pastebi, kad visa suma, kurią Agentūra sumokėjo už 26 vertinimus, buvo 120 276 EUR; apgailestauja, kad Agentūra atrinko paslaugų teikėją nepradėdama atviros viešųjų pirkimų procedūros ir kad dėl šios priežasties Audito Rūmai padarė išvadą, kad šie mokėjimai buvo netvarkingi; ragina Agentūrą spręsti Audito Rūmų iškeltus klausimus ir pranešti biudžeto įvykdymą tvirtinančiai institucijai apie priemones, kurių imtasi šioje srityje;</w:t>
      </w:r>
    </w:p>
    <w:p w:rsidR="000930F4" w:rsidRPr="00DC3FB1" w:rsidRDefault="000930F4" w:rsidP="000930F4">
      <w:pPr>
        <w:pStyle w:val="NormalHanging12a"/>
        <w:rPr>
          <w:szCs w:val="24"/>
        </w:rPr>
      </w:pPr>
      <w:r w:rsidRPr="00DC3FB1">
        <w:t>22.</w:t>
      </w:r>
      <w:r w:rsidRPr="00DC3FB1">
        <w:tab/>
        <w:t>primygtinai teigia, kad viešųjų pirkimų taisyklių tikslas – sudaryti sąlygas perkantiesiems subjektams įsigyti reikalingų prekių ir paslaugų už geriausią kainą, kartu užtikrinant sąžiningą konkurso dalyvių konkurenciją ir skaidrumo, proporcingumo, vienodo požiūrio ir nediskriminavimo principų laikymąsi; ragina Agentūrą toliau gerinti savo viešųjų pirkimų procedūras, užtikrinančias, kad būtų visapusiškai laikomasi taikytinų taisyklių, kad būtų pasiektas ekonomiškai efektyviausias lėšų panaudojimas;</w:t>
      </w:r>
    </w:p>
    <w:p w:rsidR="000930F4" w:rsidRPr="00DC3FB1" w:rsidRDefault="000930F4" w:rsidP="000930F4">
      <w:pPr>
        <w:pStyle w:val="NormalHanging12a"/>
        <w:rPr>
          <w:szCs w:val="24"/>
        </w:rPr>
      </w:pPr>
      <w:r w:rsidRPr="00DC3FB1">
        <w:rPr>
          <w:b/>
          <w:i/>
        </w:rPr>
        <w:t>Interesų konfliktų prevencija ir valdymas, taip pat skaidrumas</w:t>
      </w:r>
    </w:p>
    <w:p w:rsidR="000930F4" w:rsidRPr="00DC3FB1" w:rsidRDefault="000930F4" w:rsidP="000930F4">
      <w:pPr>
        <w:pStyle w:val="NormalHanging12a"/>
        <w:rPr>
          <w:szCs w:val="24"/>
        </w:rPr>
      </w:pPr>
      <w:r w:rsidRPr="00DC3FB1">
        <w:t>23.</w:t>
      </w:r>
      <w:r w:rsidRPr="00DC3FB1">
        <w:tab/>
        <w:t>atkreipia dėmesį į priemones, kurias šiuo metu taiko Agentūra, ir pastangas, kurias ji deda siekdama užtikrinti skaidrumą, užkirsti kelią interesų konfliktams ir juos valdyti, ir pažymi, kad jos interneto svetainėje skelbiami Valdančiosios tarybos narių gyvenimo aprašymai ir jų įsipareigojimų bei interesų deklaracijos, nors kai kurių gyvenimo aprašymų trūksta;</w:t>
      </w:r>
    </w:p>
    <w:p w:rsidR="000930F4" w:rsidRPr="00DC3FB1" w:rsidRDefault="000930F4" w:rsidP="000930F4">
      <w:pPr>
        <w:pStyle w:val="NormalHanging12a"/>
        <w:rPr>
          <w:szCs w:val="24"/>
        </w:rPr>
      </w:pPr>
      <w:r w:rsidRPr="00DC3FB1">
        <w:t>24.</w:t>
      </w:r>
      <w:r w:rsidRPr="00DC3FB1">
        <w:tab/>
        <w:t>pažymi, kad 2022 m. Agentūra nepranešė apie jokius interesų konflikto atvejus; taip pat atkreipia dėmesį į tai, kad Agentūra priėmė savo Valdančiosios tarybos sprendimą Nr. 15/2021 dėl interesų konfliktų prevencijos ir atnaujintus deklaracijų šablonus; pabrėžia, kad svarbu nustatyti procedūras, skirtas stebėti, kaip laikomasi taisyklių, susijusių su „sukamųjų durų“ reiškiniu, ir aktyviai stebėti savo vyresniųjų darbuotojų, įskaitant tuos, kurie per pastaruosius dvejus metus išėjo iš Agentūros, profesinę veiklą, kad būtų galima nustatyti nedeklaruotas „sukamųjų durų“ reiškinio situacijas;</w:t>
      </w:r>
    </w:p>
    <w:p w:rsidR="000930F4" w:rsidRPr="00DC3FB1" w:rsidRDefault="000930F4" w:rsidP="000930F4">
      <w:pPr>
        <w:pStyle w:val="NormalHanging12a"/>
        <w:rPr>
          <w:szCs w:val="24"/>
        </w:rPr>
      </w:pPr>
      <w:r w:rsidRPr="00DC3FB1">
        <w:t>25.</w:t>
      </w:r>
      <w:r w:rsidRPr="00DC3FB1">
        <w:tab/>
        <w:t>atkreipia dėmesį į tai, kad Agentūros vadovybės ir išorės suinteresuotųjų subjektų susitikimų kalendorius viešai skelbiamas jos interneto svetainėje;</w:t>
      </w:r>
    </w:p>
    <w:p w:rsidR="000930F4" w:rsidRPr="00DC3FB1" w:rsidRDefault="000930F4" w:rsidP="000930F4">
      <w:pPr>
        <w:pStyle w:val="NormalHanging12a"/>
      </w:pPr>
      <w:r w:rsidRPr="00DC3FB1">
        <w:t>26.</w:t>
      </w:r>
      <w:r w:rsidRPr="00DC3FB1">
        <w:tab/>
        <w:t xml:space="preserve">primena, kad Agentūrai svarbu didinti matomumą žiniasklaidoje, internete ir </w:t>
      </w:r>
      <w:r w:rsidRPr="00DC3FB1">
        <w:lastRenderedPageBreak/>
        <w:t>socialiniuose tinkluose, siekiant su savo darbu supažindinti visuomenę;</w:t>
      </w:r>
    </w:p>
    <w:p w:rsidR="000930F4" w:rsidRPr="00DC3FB1" w:rsidRDefault="000930F4" w:rsidP="000930F4">
      <w:pPr>
        <w:pStyle w:val="Normal12Hanging"/>
        <w:rPr>
          <w:b/>
          <w:i/>
          <w:szCs w:val="24"/>
        </w:rPr>
      </w:pPr>
      <w:r w:rsidRPr="00DC3FB1">
        <w:rPr>
          <w:b/>
          <w:i/>
        </w:rPr>
        <w:t>Vidaus kontrolė</w:t>
      </w:r>
    </w:p>
    <w:p w:rsidR="000930F4" w:rsidRPr="00DC3FB1" w:rsidRDefault="000930F4" w:rsidP="000930F4">
      <w:pPr>
        <w:pStyle w:val="Normal12Hanging"/>
      </w:pPr>
      <w:r w:rsidRPr="00DC3FB1">
        <w:t>27.</w:t>
      </w:r>
      <w:r w:rsidRPr="00DC3FB1">
        <w:tab/>
        <w:t>pažymi, kad 2021 m. vidaus audito tarnyba atliko strateginio planavimo programavimo ir veiklos rezultatų valdymo auditą ir 2022 m. balandžio mėn. paskelbė savo galutinę audito ataskaitą su trimis svarbiomis rekomendacijomis, taip pat pažymi, kad Agentūra sutiko su audito pastabomis ir ėmėsi būtinų veiksmų šiems susirūpinimą keliantiems klausimams spręsti;</w:t>
      </w:r>
    </w:p>
    <w:p w:rsidR="000930F4" w:rsidRPr="00DC3FB1" w:rsidRDefault="000930F4" w:rsidP="000930F4">
      <w:pPr>
        <w:pStyle w:val="Normal12Hanging"/>
      </w:pPr>
      <w:r w:rsidRPr="00DC3FB1">
        <w:t>28.</w:t>
      </w:r>
      <w:r w:rsidRPr="00DC3FB1">
        <w:tab/>
        <w:t>atkreipia dėmesį į tai, kad Agentūra neturi iš anksto nustatyto vertinimo modelio, t. y. gairių, kurios padėtų vertinimo komisijai įvertinti pasiūlymus; pažymi, kad dėl to kyla rizika, kad kiekvienas vertinimo komisijos narys gali pasiūlymus įvertinti nenuosekliai; ragina Agentūrą spręsti šį Audito Rūmų iškeltą klausimą ir apie tai informuoti biudžeto įvykdymą tvirtinančią instituciją;</w:t>
      </w:r>
    </w:p>
    <w:p w:rsidR="000930F4" w:rsidRPr="00DC3FB1" w:rsidRDefault="000930F4" w:rsidP="000930F4">
      <w:pPr>
        <w:pStyle w:val="Normal12Hanging"/>
      </w:pPr>
      <w:r w:rsidRPr="00DC3FB1">
        <w:t>29.</w:t>
      </w:r>
      <w:r w:rsidRPr="00DC3FB1">
        <w:tab/>
        <w:t xml:space="preserve">atkreipia dėmesį į tai, kad 2022 m. Agentūra atliko 2021 finansiniais metais atliktų finansinių operacijų </w:t>
      </w:r>
      <w:r w:rsidRPr="00DC3FB1">
        <w:rPr>
          <w:i/>
          <w:iCs/>
        </w:rPr>
        <w:t>ex post</w:t>
      </w:r>
      <w:r w:rsidRPr="00DC3FB1">
        <w:t xml:space="preserve"> kontrolę pagal Komisijos deleguotojo reglamento (ES) 2019/715</w:t>
      </w:r>
      <w:r w:rsidRPr="00DC3FB1">
        <w:rPr>
          <w:rStyle w:val="FootnoteReference"/>
        </w:rPr>
        <w:footnoteReference w:id="13"/>
      </w:r>
      <w:r w:rsidRPr="00DC3FB1">
        <w:t xml:space="preserve"> 45 straipsnio 8 ir 9 dalis; atkreipia dėmesį į tai, kad buvo nustatyti trys trūkumai, dėl kurių pateiktos trys rekomendacijos dėl finansinių sandorių ir iš kurių nė vienas nebuvo laikomas kritiniu; pažymi, kad siekiant pašalinti pagrindinį trūkumą 2022 m. buvo pradėta savaitinė mokėjimo laiko stebėsena, siekiant įspėti atitinkamus finansų darbuotojus apie neatidėliotinas operacijas, kurias dar reikia tvarkyti, kad būtų laikomasi mokėjimo terminų teisinės sistemos;</w:t>
      </w:r>
    </w:p>
    <w:p w:rsidR="000930F4" w:rsidRPr="00DC3FB1" w:rsidRDefault="000930F4" w:rsidP="000930F4">
      <w:pPr>
        <w:pStyle w:val="Normal12Hanging"/>
      </w:pPr>
      <w:r w:rsidRPr="00DC3FB1">
        <w:t>30.</w:t>
      </w:r>
      <w:r w:rsidRPr="00DC3FB1">
        <w:tab/>
        <w:t>pažymi, kad 2022 m. Agentūros vidaus kontrolės sistemų veiksmingumo vertinimas buvo grindžiamas sistemos rodikliais, taip pat papildoma informacija iš konkrečių (rizikos) vertinimo ataskaitų, audito išvadų ir kitų atitinkamų šaltinių; pažymi, kad Agentūros vidaus kontrolės vertinimas rodo pakankamą patikinimą, kad bus sudarytos palankesnės sąlygos veiksmingai ir efektyviai vykdyti operacijas, užtikrinamas kokybiškas ataskaitų teikimas ir taisyklių laikymasis, tačiau reikia šiek tiek patobulinti tam tikrus principus, kad būtų padidintas veiksmingumas ir užtikrintas tinkamas vidaus kontrolės įgyvendinimas; ragina Agentūrą informuoti biudžeto įvykdymą tvirtinančią instituciją apie tolesnius veiksmus dėl patobulinimų vertinimo;</w:t>
      </w:r>
    </w:p>
    <w:p w:rsidR="000930F4" w:rsidRPr="00DC3FB1" w:rsidRDefault="000930F4" w:rsidP="000930F4">
      <w:pPr>
        <w:pStyle w:val="Normal12Hanging"/>
        <w:rPr>
          <w:b/>
          <w:i/>
          <w:color w:val="000000"/>
        </w:rPr>
      </w:pPr>
      <w:r w:rsidRPr="00DC3FB1">
        <w:rPr>
          <w:b/>
          <w:i/>
          <w:color w:val="000000"/>
        </w:rPr>
        <w:t>Kitos pastabos</w:t>
      </w:r>
    </w:p>
    <w:p w:rsidR="000930F4" w:rsidRPr="00DC3FB1" w:rsidRDefault="000930F4" w:rsidP="000930F4">
      <w:pPr>
        <w:pStyle w:val="NormalHanging12a"/>
        <w:rPr>
          <w:szCs w:val="24"/>
        </w:rPr>
      </w:pPr>
      <w:r w:rsidRPr="00DC3FB1">
        <w:t>31.</w:t>
      </w:r>
      <w:r w:rsidRPr="00DC3FB1">
        <w:tab/>
        <w:t>pažymi, kad Agentūra įgyvendino svarbias priemones, kuriomis siekiama padidinti kibernetinio saugumo apsaugą, pvz., saugų e. pašto sprendimą (SECEM2), organizacijos kibernetinio saugumo patikrą kibernetiniu išpuoliu ir tolesnius taisymo bei stiprinimo veiksmus, senųjų sistemų eksploatavimo nutraukimą ir vidaus kibernetinio saugumo politikos sistemos atnaujinimą;</w:t>
      </w:r>
    </w:p>
    <w:p w:rsidR="000930F4" w:rsidRPr="00DC3FB1" w:rsidRDefault="000930F4" w:rsidP="000930F4">
      <w:pPr>
        <w:pStyle w:val="NormalHanging12a"/>
      </w:pPr>
      <w:r w:rsidRPr="00DC3FB1">
        <w:t>32.</w:t>
      </w:r>
      <w:r w:rsidRPr="00DC3FB1">
        <w:tab/>
        <w:t xml:space="preserve">palankiai vertina tai, kad Agentūros valdančioji taryba į Agentūros 2022–2024 m. bendrąjį programavimo dokumentą įtraukė tikslą iki 2030 m. pasiekti poveikio klimatui neutralumą visose savo operacijose; pažymi, kad priėmus Agentūros organizacinę strategiją pagrindiniai Agentūros tikslai yra EMAS sertifikavimas ir žalieji viešieji </w:t>
      </w:r>
      <w:r w:rsidRPr="00DC3FB1">
        <w:lastRenderedPageBreak/>
        <w:t>pirkimai; atkreipia dėmesį į tai, kad sertifikavimo procesas turėtų būti baigtas 2024 m.;</w:t>
      </w:r>
    </w:p>
    <w:p w:rsidR="000930F4" w:rsidRPr="00DC3FB1" w:rsidRDefault="000930F4" w:rsidP="000930F4">
      <w:pPr>
        <w:pStyle w:val="NormalCenter12a"/>
      </w:pPr>
      <w:r w:rsidRPr="00DC3FB1">
        <w:t>°</w:t>
      </w:r>
    </w:p>
    <w:p w:rsidR="000930F4" w:rsidRPr="00DC3FB1" w:rsidRDefault="000930F4" w:rsidP="000930F4">
      <w:pPr>
        <w:pStyle w:val="NormalCenter12a"/>
      </w:pPr>
      <w:r w:rsidRPr="00DC3FB1">
        <w:t>°</w:t>
      </w:r>
      <w:r w:rsidRPr="00DC3FB1">
        <w:tab/>
        <w:t>°</w:t>
      </w:r>
    </w:p>
    <w:p w:rsidR="000930F4" w:rsidRPr="00DC3FB1" w:rsidRDefault="000930F4" w:rsidP="000930F4">
      <w:pPr>
        <w:pStyle w:val="NormalHanging12a"/>
      </w:pPr>
      <w:r w:rsidRPr="00DC3FB1">
        <w:t>33.</w:t>
      </w:r>
      <w:r w:rsidRPr="00DC3FB1">
        <w:tab/>
        <w:t xml:space="preserve">pažymi, kad kitos su sprendimu dėl biudžeto įvykdymo patvirtinimo susijusios pastabos, kurios yra horizontaliojo pobūdžio, pateikiamos jo </w:t>
      </w:r>
      <w:r w:rsidR="00B10AD7" w:rsidRPr="00DC3FB1">
        <w:t>2024 m. balandžio 11 d.</w:t>
      </w:r>
      <w:r w:rsidRPr="00DC3FB1">
        <w:t xml:space="preserve"> rezoliucijoje</w:t>
      </w:r>
      <w:r w:rsidRPr="00DC3FB1">
        <w:rPr>
          <w:vertAlign w:val="superscript"/>
        </w:rPr>
        <w:footnoteReference w:id="14"/>
      </w:r>
      <w:r w:rsidRPr="00DC3FB1">
        <w:t xml:space="preserve"> dėl agentūrų veiklos, finansų valdymo ir kontrolės.</w:t>
      </w:r>
    </w:p>
    <w:p w:rsidR="00E365E1" w:rsidRPr="00DC3FB1" w:rsidRDefault="00E365E1" w:rsidP="00AD3B51">
      <w:bookmarkStart w:id="11" w:name="TextBodyEnd"/>
      <w:bookmarkEnd w:id="11"/>
    </w:p>
    <w:sectPr w:rsidR="00E365E1" w:rsidRPr="00DC3FB1" w:rsidSect="00611EC7">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3B51" w:rsidRPr="00611EC7" w:rsidRDefault="00AD3B51">
      <w:r w:rsidRPr="00611EC7">
        <w:separator/>
      </w:r>
    </w:p>
  </w:endnote>
  <w:endnote w:type="continuationSeparator" w:id="0">
    <w:p w:rsidR="00AD3B51" w:rsidRPr="00611EC7" w:rsidRDefault="00AD3B51">
      <w:r w:rsidRPr="00611EC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30F4" w:rsidRPr="00611EC7" w:rsidRDefault="000930F4" w:rsidP="00E54520">
    <w:pPr>
      <w:pStyle w:val="EPFooter"/>
    </w:pPr>
    <w:r w:rsidRPr="00611EC7">
      <w:t>PE</w:t>
    </w:r>
    <w:r w:rsidRPr="00611EC7">
      <w:rPr>
        <w:rStyle w:val="HideTWBExt"/>
      </w:rPr>
      <w:t>&lt;NoPE&gt;</w:t>
    </w:r>
    <w:r w:rsidRPr="00611EC7">
      <w:t>753.527</w:t>
    </w:r>
    <w:r w:rsidRPr="00611EC7">
      <w:rPr>
        <w:rStyle w:val="HideTWBExt"/>
      </w:rPr>
      <w:t>&lt;/NoPE&gt;&lt;Version&gt;</w:t>
    </w:r>
    <w:r w:rsidRPr="00611EC7">
      <w:t>v02-00</w:t>
    </w:r>
    <w:r w:rsidRPr="00611EC7">
      <w:rPr>
        <w:rStyle w:val="HideTWBExt"/>
      </w:rPr>
      <w:t>&lt;/Version&gt;</w:t>
    </w:r>
    <w:r w:rsidRPr="00611EC7">
      <w:tab/>
    </w:r>
    <w:r w:rsidRPr="00611EC7">
      <w:fldChar w:fldCharType="begin"/>
    </w:r>
    <w:r w:rsidRPr="00611EC7">
      <w:instrText xml:space="preserve"> PAGE  \* MERGEFORMAT </w:instrText>
    </w:r>
    <w:r w:rsidRPr="00611EC7">
      <w:fldChar w:fldCharType="separate"/>
    </w:r>
    <w:r w:rsidR="00611EC7" w:rsidRPr="00611EC7">
      <w:rPr>
        <w:noProof/>
      </w:rPr>
      <w:t>2</w:t>
    </w:r>
    <w:r w:rsidRPr="00611EC7">
      <w:fldChar w:fldCharType="end"/>
    </w:r>
    <w:r w:rsidRPr="00611EC7">
      <w:t>/</w:t>
    </w:r>
    <w:r w:rsidR="00DC3FB1">
      <w:fldChar w:fldCharType="begin"/>
    </w:r>
    <w:r w:rsidR="00DC3FB1">
      <w:instrText xml:space="preserve"> NUMPAGES  \* MERGEFORMAT </w:instrText>
    </w:r>
    <w:r w:rsidR="00DC3FB1">
      <w:fldChar w:fldCharType="separate"/>
    </w:r>
    <w:r w:rsidR="00611EC7" w:rsidRPr="00611EC7">
      <w:rPr>
        <w:noProof/>
      </w:rPr>
      <w:t>3</w:t>
    </w:r>
    <w:r w:rsidR="00DC3FB1">
      <w:rPr>
        <w:noProof/>
      </w:rPr>
      <w:fldChar w:fldCharType="end"/>
    </w:r>
    <w:r w:rsidRPr="00611EC7">
      <w:tab/>
    </w:r>
    <w:r w:rsidRPr="00611EC7">
      <w:rPr>
        <w:rStyle w:val="HideTWBExt"/>
      </w:rPr>
      <w:t>&lt;PathFdR&gt;</w:t>
    </w:r>
    <w:r w:rsidRPr="00611EC7">
      <w:t>RR\1299245LT.docx</w:t>
    </w:r>
    <w:r w:rsidRPr="00611EC7">
      <w:rPr>
        <w:rStyle w:val="HideTWBExt"/>
      </w:rPr>
      <w:t>&lt;/PathFdR&gt;</w:t>
    </w:r>
  </w:p>
  <w:p w:rsidR="000930F4" w:rsidRPr="00611EC7" w:rsidRDefault="000930F4" w:rsidP="00E54520">
    <w:pPr>
      <w:pStyle w:val="EPFooter2"/>
    </w:pPr>
    <w:r w:rsidRPr="00611EC7">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30F4" w:rsidRPr="00611EC7" w:rsidRDefault="000930F4" w:rsidP="00E54520">
    <w:pPr>
      <w:pStyle w:val="EPFooter"/>
    </w:pPr>
    <w:r w:rsidRPr="00611EC7">
      <w:rPr>
        <w:rStyle w:val="HideTWBExt"/>
      </w:rPr>
      <w:t>&lt;PathFdR&gt;</w:t>
    </w:r>
    <w:r w:rsidRPr="00611EC7">
      <w:t>RR\1299245LT.docx</w:t>
    </w:r>
    <w:r w:rsidRPr="00611EC7">
      <w:rPr>
        <w:rStyle w:val="HideTWBExt"/>
      </w:rPr>
      <w:t>&lt;/PathFdR&gt;</w:t>
    </w:r>
    <w:r w:rsidRPr="00611EC7">
      <w:tab/>
    </w:r>
    <w:r w:rsidRPr="00611EC7">
      <w:tab/>
      <w:t>PE</w:t>
    </w:r>
    <w:r w:rsidRPr="00611EC7">
      <w:rPr>
        <w:rStyle w:val="HideTWBExt"/>
      </w:rPr>
      <w:t>&lt;NoPE&gt;</w:t>
    </w:r>
    <w:r w:rsidRPr="00611EC7">
      <w:t>753.527</w:t>
    </w:r>
    <w:r w:rsidRPr="00611EC7">
      <w:rPr>
        <w:rStyle w:val="HideTWBExt"/>
      </w:rPr>
      <w:t>&lt;/NoPE&gt;&lt;Version&gt;</w:t>
    </w:r>
    <w:r w:rsidRPr="00611EC7">
      <w:t>v02-00</w:t>
    </w:r>
    <w:r w:rsidRPr="00611EC7">
      <w:rPr>
        <w:rStyle w:val="HideTWBExt"/>
      </w:rPr>
      <w:t>&lt;/Version&gt;</w:t>
    </w:r>
  </w:p>
  <w:p w:rsidR="000930F4" w:rsidRPr="00611EC7" w:rsidRDefault="000930F4" w:rsidP="00E54520">
    <w:pPr>
      <w:pStyle w:val="EPFooter2"/>
    </w:pPr>
    <w:r w:rsidRPr="00611EC7">
      <w:t>LT</w:t>
    </w:r>
    <w:r w:rsidRPr="00611EC7">
      <w:tab/>
    </w:r>
    <w:r w:rsidRPr="00611EC7">
      <w:rPr>
        <w:b w:val="0"/>
        <w:i/>
        <w:color w:val="C0C0C0"/>
        <w:sz w:val="22"/>
      </w:rPr>
      <w:t>Suvienijusi įvairovę</w:t>
    </w:r>
    <w:r w:rsidRPr="00611EC7">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11EC7"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11EC7"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11EC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3B51" w:rsidRPr="00611EC7" w:rsidRDefault="00AD3B51">
      <w:r w:rsidRPr="00611EC7">
        <w:separator/>
      </w:r>
    </w:p>
  </w:footnote>
  <w:footnote w:type="continuationSeparator" w:id="0">
    <w:p w:rsidR="00AD3B51" w:rsidRPr="00611EC7" w:rsidRDefault="00AD3B51">
      <w:r w:rsidRPr="00611EC7">
        <w:continuationSeparator/>
      </w:r>
    </w:p>
  </w:footnote>
  <w:footnote w:id="1">
    <w:p w:rsidR="000930F4" w:rsidRPr="00611EC7" w:rsidRDefault="000930F4" w:rsidP="00611EC7">
      <w:pPr>
        <w:pStyle w:val="FootnoteText"/>
        <w:ind w:left="567" w:hanging="567"/>
        <w:rPr>
          <w:sz w:val="24"/>
          <w:lang w:val="lt-LT"/>
        </w:rPr>
      </w:pPr>
      <w:r w:rsidRPr="00611EC7">
        <w:rPr>
          <w:rStyle w:val="FootnoteReference"/>
          <w:sz w:val="24"/>
          <w:lang w:val="lt-LT"/>
        </w:rPr>
        <w:footnoteRef/>
      </w:r>
      <w:r w:rsidR="00611EC7" w:rsidRPr="00611EC7">
        <w:rPr>
          <w:sz w:val="24"/>
          <w:lang w:val="lt-LT"/>
        </w:rPr>
        <w:t xml:space="preserve"> </w:t>
      </w:r>
      <w:r w:rsidR="00611EC7" w:rsidRPr="00611EC7">
        <w:rPr>
          <w:sz w:val="24"/>
          <w:lang w:val="lt-LT"/>
        </w:rPr>
        <w:tab/>
      </w:r>
      <w:r w:rsidRPr="00611EC7">
        <w:rPr>
          <w:sz w:val="24"/>
          <w:lang w:val="lt-LT"/>
        </w:rPr>
        <w:t>OL C, C/2023/594, 2023 10 27.</w:t>
      </w:r>
    </w:p>
  </w:footnote>
  <w:footnote w:id="2">
    <w:p w:rsidR="000930F4" w:rsidRPr="00611EC7" w:rsidRDefault="000930F4" w:rsidP="00611EC7">
      <w:pPr>
        <w:pStyle w:val="FootnoteText"/>
        <w:ind w:left="567" w:hanging="567"/>
        <w:rPr>
          <w:sz w:val="24"/>
          <w:lang w:val="lt-LT"/>
        </w:rPr>
      </w:pPr>
      <w:r w:rsidRPr="00611EC7">
        <w:rPr>
          <w:rStyle w:val="FootnoteReference"/>
          <w:sz w:val="24"/>
          <w:lang w:val="lt-LT"/>
        </w:rPr>
        <w:footnoteRef/>
      </w:r>
      <w:r w:rsidR="00611EC7" w:rsidRPr="00611EC7">
        <w:rPr>
          <w:sz w:val="24"/>
          <w:lang w:val="lt-LT"/>
        </w:rPr>
        <w:t xml:space="preserve"> </w:t>
      </w:r>
      <w:r w:rsidR="00611EC7" w:rsidRPr="00611EC7">
        <w:rPr>
          <w:sz w:val="24"/>
          <w:lang w:val="lt-LT"/>
        </w:rPr>
        <w:tab/>
      </w:r>
      <w:r w:rsidRPr="00611EC7">
        <w:rPr>
          <w:sz w:val="24"/>
          <w:lang w:val="lt-LT"/>
        </w:rPr>
        <w:t>OL C, C/2023/112, 2023 10 12.</w:t>
      </w:r>
    </w:p>
  </w:footnote>
  <w:footnote w:id="3">
    <w:p w:rsidR="000930F4" w:rsidRPr="00611EC7" w:rsidRDefault="000930F4" w:rsidP="00611EC7">
      <w:pPr>
        <w:pStyle w:val="FootnoteText"/>
        <w:ind w:left="567" w:hanging="567"/>
        <w:rPr>
          <w:sz w:val="24"/>
          <w:lang w:val="lt-LT"/>
        </w:rPr>
      </w:pPr>
      <w:r w:rsidRPr="00611EC7">
        <w:rPr>
          <w:rStyle w:val="FootnoteReference"/>
          <w:sz w:val="24"/>
          <w:lang w:val="lt-LT"/>
        </w:rPr>
        <w:footnoteRef/>
      </w:r>
      <w:r w:rsidR="00611EC7" w:rsidRPr="00611EC7">
        <w:rPr>
          <w:sz w:val="24"/>
          <w:lang w:val="lt-LT"/>
        </w:rPr>
        <w:t xml:space="preserve"> </w:t>
      </w:r>
      <w:r w:rsidR="00611EC7" w:rsidRPr="00611EC7">
        <w:rPr>
          <w:sz w:val="24"/>
          <w:lang w:val="lt-LT"/>
        </w:rPr>
        <w:tab/>
      </w:r>
      <w:r w:rsidRPr="00611EC7">
        <w:rPr>
          <w:sz w:val="24"/>
          <w:lang w:val="lt-LT"/>
        </w:rPr>
        <w:t>OL L 193, 2018 7 30, p. 1.</w:t>
      </w:r>
    </w:p>
  </w:footnote>
  <w:footnote w:id="4">
    <w:p w:rsidR="000930F4" w:rsidRPr="00611EC7" w:rsidRDefault="000930F4" w:rsidP="00611EC7">
      <w:pPr>
        <w:pStyle w:val="FootnoteText"/>
        <w:ind w:left="567" w:hanging="567"/>
        <w:rPr>
          <w:sz w:val="24"/>
          <w:lang w:val="lt-LT"/>
        </w:rPr>
      </w:pPr>
      <w:r w:rsidRPr="00611EC7">
        <w:rPr>
          <w:rStyle w:val="FootnoteReference"/>
          <w:sz w:val="24"/>
          <w:lang w:val="lt-LT"/>
        </w:rPr>
        <w:footnoteRef/>
      </w:r>
      <w:r w:rsidR="00611EC7" w:rsidRPr="00611EC7">
        <w:rPr>
          <w:sz w:val="24"/>
          <w:lang w:val="lt-LT"/>
        </w:rPr>
        <w:t xml:space="preserve"> </w:t>
      </w:r>
      <w:r w:rsidR="00611EC7" w:rsidRPr="00611EC7">
        <w:rPr>
          <w:sz w:val="24"/>
          <w:lang w:val="lt-LT"/>
        </w:rPr>
        <w:tab/>
      </w:r>
      <w:r w:rsidRPr="00611EC7">
        <w:rPr>
          <w:sz w:val="24"/>
          <w:lang w:val="lt-LT"/>
        </w:rPr>
        <w:t>OL L 151, 2019 6 7, p. 15.</w:t>
      </w:r>
    </w:p>
  </w:footnote>
  <w:footnote w:id="5">
    <w:p w:rsidR="000930F4" w:rsidRPr="00611EC7" w:rsidRDefault="000930F4" w:rsidP="00611EC7">
      <w:pPr>
        <w:pStyle w:val="FootnoteText"/>
        <w:ind w:left="567" w:hanging="567"/>
        <w:rPr>
          <w:sz w:val="24"/>
          <w:szCs w:val="24"/>
          <w:lang w:val="lt-LT"/>
        </w:rPr>
      </w:pPr>
      <w:r w:rsidRPr="00611EC7">
        <w:rPr>
          <w:rStyle w:val="FootnoteReference"/>
          <w:sz w:val="24"/>
          <w:lang w:val="lt-LT"/>
        </w:rPr>
        <w:footnoteRef/>
      </w:r>
      <w:r w:rsidR="00611EC7" w:rsidRPr="00611EC7">
        <w:rPr>
          <w:sz w:val="24"/>
          <w:lang w:val="lt-LT"/>
        </w:rPr>
        <w:t xml:space="preserve"> </w:t>
      </w:r>
      <w:r w:rsidR="00611EC7" w:rsidRPr="00611EC7">
        <w:rPr>
          <w:sz w:val="24"/>
          <w:lang w:val="lt-LT"/>
        </w:rPr>
        <w:tab/>
      </w:r>
      <w:r w:rsidRPr="00611EC7">
        <w:rPr>
          <w:sz w:val="24"/>
          <w:lang w:val="lt-LT"/>
        </w:rPr>
        <w:t>OL L 122, 2019 5 10, p. 1</w:t>
      </w:r>
    </w:p>
  </w:footnote>
  <w:footnote w:id="6">
    <w:p w:rsidR="000930F4" w:rsidRPr="00611EC7" w:rsidRDefault="000930F4" w:rsidP="00611EC7">
      <w:pPr>
        <w:pStyle w:val="FootnoteText"/>
        <w:ind w:left="567" w:hanging="567"/>
        <w:rPr>
          <w:sz w:val="24"/>
          <w:lang w:val="lt-LT"/>
        </w:rPr>
      </w:pPr>
      <w:r w:rsidRPr="00611EC7">
        <w:rPr>
          <w:rStyle w:val="FootnoteReference"/>
          <w:sz w:val="24"/>
          <w:lang w:val="lt-LT"/>
        </w:rPr>
        <w:footnoteRef/>
      </w:r>
      <w:r w:rsidR="00611EC7" w:rsidRPr="00611EC7">
        <w:rPr>
          <w:sz w:val="24"/>
          <w:lang w:val="lt-LT"/>
        </w:rPr>
        <w:t xml:space="preserve"> </w:t>
      </w:r>
      <w:r w:rsidR="00611EC7" w:rsidRPr="00611EC7">
        <w:rPr>
          <w:sz w:val="24"/>
          <w:lang w:val="lt-LT"/>
        </w:rPr>
        <w:tab/>
      </w:r>
      <w:r w:rsidRPr="00611EC7">
        <w:rPr>
          <w:sz w:val="24"/>
          <w:lang w:val="lt-LT"/>
        </w:rPr>
        <w:t>OL C, C/2023/594, 2023 10 27.</w:t>
      </w:r>
    </w:p>
  </w:footnote>
  <w:footnote w:id="7">
    <w:p w:rsidR="000930F4" w:rsidRPr="00611EC7" w:rsidRDefault="000930F4" w:rsidP="00611EC7">
      <w:pPr>
        <w:pStyle w:val="FootnoteText"/>
        <w:ind w:left="567" w:hanging="567"/>
        <w:rPr>
          <w:sz w:val="24"/>
          <w:lang w:val="lt-LT"/>
        </w:rPr>
      </w:pPr>
      <w:r w:rsidRPr="00611EC7">
        <w:rPr>
          <w:rStyle w:val="FootnoteReference"/>
          <w:sz w:val="24"/>
          <w:lang w:val="lt-LT"/>
        </w:rPr>
        <w:footnoteRef/>
      </w:r>
      <w:r w:rsidR="00611EC7" w:rsidRPr="00611EC7">
        <w:rPr>
          <w:sz w:val="24"/>
          <w:lang w:val="lt-LT"/>
        </w:rPr>
        <w:t xml:space="preserve"> </w:t>
      </w:r>
      <w:r w:rsidR="00611EC7" w:rsidRPr="00611EC7">
        <w:rPr>
          <w:sz w:val="24"/>
          <w:lang w:val="lt-LT"/>
        </w:rPr>
        <w:tab/>
      </w:r>
      <w:r w:rsidRPr="00611EC7">
        <w:rPr>
          <w:sz w:val="24"/>
          <w:lang w:val="lt-LT"/>
        </w:rPr>
        <w:t>OL C, C/2023/112, 2023 10 12.</w:t>
      </w:r>
    </w:p>
  </w:footnote>
  <w:footnote w:id="8">
    <w:p w:rsidR="000930F4" w:rsidRPr="00611EC7" w:rsidRDefault="000930F4" w:rsidP="00611EC7">
      <w:pPr>
        <w:pStyle w:val="FootnoteText"/>
        <w:ind w:left="567" w:hanging="567"/>
        <w:rPr>
          <w:sz w:val="24"/>
          <w:lang w:val="lt-LT"/>
        </w:rPr>
      </w:pPr>
      <w:r w:rsidRPr="00611EC7">
        <w:rPr>
          <w:rStyle w:val="FootnoteReference"/>
          <w:sz w:val="24"/>
          <w:lang w:val="lt-LT"/>
        </w:rPr>
        <w:footnoteRef/>
      </w:r>
      <w:r w:rsidR="00611EC7" w:rsidRPr="00611EC7">
        <w:rPr>
          <w:sz w:val="24"/>
          <w:lang w:val="lt-LT"/>
        </w:rPr>
        <w:t xml:space="preserve"> </w:t>
      </w:r>
      <w:r w:rsidR="00611EC7" w:rsidRPr="00611EC7">
        <w:rPr>
          <w:sz w:val="24"/>
          <w:lang w:val="lt-LT"/>
        </w:rPr>
        <w:tab/>
      </w:r>
      <w:r w:rsidRPr="00611EC7">
        <w:rPr>
          <w:sz w:val="24"/>
          <w:lang w:val="lt-LT"/>
        </w:rPr>
        <w:t>OL L 193, 2018 7 30, p. 1.</w:t>
      </w:r>
    </w:p>
  </w:footnote>
  <w:footnote w:id="9">
    <w:p w:rsidR="000930F4" w:rsidRPr="00611EC7" w:rsidRDefault="000930F4" w:rsidP="00611EC7">
      <w:pPr>
        <w:pStyle w:val="FootnoteText"/>
        <w:ind w:left="567" w:hanging="567"/>
        <w:rPr>
          <w:sz w:val="24"/>
          <w:lang w:val="lt-LT"/>
        </w:rPr>
      </w:pPr>
      <w:r w:rsidRPr="00611EC7">
        <w:rPr>
          <w:rStyle w:val="FootnoteReference"/>
          <w:sz w:val="24"/>
          <w:lang w:val="lt-LT"/>
        </w:rPr>
        <w:footnoteRef/>
      </w:r>
      <w:r w:rsidR="00611EC7" w:rsidRPr="00611EC7">
        <w:rPr>
          <w:sz w:val="24"/>
          <w:lang w:val="lt-LT"/>
        </w:rPr>
        <w:t xml:space="preserve"> </w:t>
      </w:r>
      <w:r w:rsidR="00611EC7" w:rsidRPr="00611EC7">
        <w:rPr>
          <w:sz w:val="24"/>
          <w:lang w:val="lt-LT"/>
        </w:rPr>
        <w:tab/>
      </w:r>
      <w:r w:rsidRPr="00611EC7">
        <w:rPr>
          <w:sz w:val="24"/>
          <w:lang w:val="lt-LT"/>
        </w:rPr>
        <w:t>OL L 151, 2019 6 7, p. 15.</w:t>
      </w:r>
    </w:p>
  </w:footnote>
  <w:footnote w:id="10">
    <w:p w:rsidR="000930F4" w:rsidRPr="00611EC7" w:rsidRDefault="000930F4" w:rsidP="00611EC7">
      <w:pPr>
        <w:pStyle w:val="FootnoteText"/>
        <w:ind w:left="567" w:hanging="567"/>
        <w:rPr>
          <w:sz w:val="24"/>
          <w:szCs w:val="24"/>
          <w:lang w:val="lt-LT"/>
        </w:rPr>
      </w:pPr>
      <w:r w:rsidRPr="00611EC7">
        <w:rPr>
          <w:rStyle w:val="FootnoteReference"/>
          <w:sz w:val="24"/>
          <w:lang w:val="lt-LT"/>
        </w:rPr>
        <w:footnoteRef/>
      </w:r>
      <w:r w:rsidR="00611EC7" w:rsidRPr="00611EC7">
        <w:rPr>
          <w:sz w:val="24"/>
          <w:lang w:val="lt-LT"/>
        </w:rPr>
        <w:t xml:space="preserve"> </w:t>
      </w:r>
      <w:r w:rsidR="00611EC7" w:rsidRPr="00611EC7">
        <w:rPr>
          <w:sz w:val="24"/>
          <w:lang w:val="lt-LT"/>
        </w:rPr>
        <w:tab/>
      </w:r>
      <w:r w:rsidRPr="00611EC7">
        <w:rPr>
          <w:sz w:val="24"/>
          <w:lang w:val="lt-LT"/>
        </w:rPr>
        <w:t>OL L 122, 2019 5 10, p. 1</w:t>
      </w:r>
    </w:p>
  </w:footnote>
  <w:footnote w:id="11">
    <w:p w:rsidR="000930F4" w:rsidRPr="00611EC7" w:rsidRDefault="000930F4" w:rsidP="00611EC7">
      <w:pPr>
        <w:pStyle w:val="FootnoteText"/>
        <w:ind w:left="567" w:hanging="567"/>
        <w:rPr>
          <w:sz w:val="24"/>
          <w:lang w:val="lt-LT"/>
        </w:rPr>
      </w:pPr>
      <w:r w:rsidRPr="00611EC7">
        <w:rPr>
          <w:rStyle w:val="FootnoteReference"/>
          <w:sz w:val="24"/>
          <w:lang w:val="lt-LT"/>
        </w:rPr>
        <w:footnoteRef/>
      </w:r>
      <w:r w:rsidR="00611EC7" w:rsidRPr="00611EC7">
        <w:rPr>
          <w:sz w:val="24"/>
          <w:lang w:val="lt-LT"/>
        </w:rPr>
        <w:t xml:space="preserve"> </w:t>
      </w:r>
      <w:r w:rsidR="00611EC7" w:rsidRPr="00611EC7">
        <w:rPr>
          <w:sz w:val="24"/>
          <w:lang w:val="lt-LT"/>
        </w:rPr>
        <w:tab/>
      </w:r>
      <w:r w:rsidRPr="00611EC7">
        <w:rPr>
          <w:sz w:val="24"/>
          <w:lang w:val="lt-LT"/>
        </w:rPr>
        <w:t>OL C 377/3, 2022 9 30, p. 2.</w:t>
      </w:r>
    </w:p>
  </w:footnote>
  <w:footnote w:id="12">
    <w:p w:rsidR="000930F4" w:rsidRPr="00611EC7" w:rsidRDefault="000930F4" w:rsidP="00611EC7">
      <w:pPr>
        <w:pStyle w:val="FootnoteText"/>
        <w:ind w:left="567" w:hanging="567"/>
        <w:rPr>
          <w:i/>
          <w:sz w:val="24"/>
          <w:lang w:val="lt-LT"/>
        </w:rPr>
      </w:pPr>
      <w:r w:rsidRPr="00611EC7">
        <w:rPr>
          <w:rStyle w:val="FootnoteReference"/>
          <w:sz w:val="24"/>
          <w:lang w:val="lt-LT"/>
        </w:rPr>
        <w:footnoteRef/>
      </w:r>
      <w:r w:rsidR="00611EC7" w:rsidRPr="00611EC7">
        <w:rPr>
          <w:sz w:val="24"/>
          <w:lang w:val="lt-LT"/>
        </w:rPr>
        <w:t xml:space="preserve"> </w:t>
      </w:r>
      <w:r w:rsidR="00611EC7" w:rsidRPr="00611EC7">
        <w:rPr>
          <w:sz w:val="24"/>
          <w:lang w:val="lt-LT"/>
        </w:rPr>
        <w:tab/>
      </w:r>
      <w:r w:rsidRPr="00611EC7">
        <w:rPr>
          <w:sz w:val="24"/>
          <w:lang w:val="lt-LT"/>
        </w:rPr>
        <w:t>2022 m. gruodžio 14 d. Europos Parlamento ir Tarybos direktyva (ES) 2022/2555 dėl priemonių aukštam bendram kibernetinio saugumo lygiui visoje Sąjungoje užtikrinti, kuria iš dalies keičiamas Reglamentas (ES) Nr. 910/2014 ir Direktyva (ES) 2018/1972 ir panaikinama Direktyva (ES) 2016/1148 (TIS 2 direktyva) (OL L 333, 2022 12 27, p. 80).</w:t>
      </w:r>
    </w:p>
  </w:footnote>
  <w:footnote w:id="13">
    <w:p w:rsidR="000930F4" w:rsidRPr="00611EC7" w:rsidRDefault="000930F4" w:rsidP="00611EC7">
      <w:pPr>
        <w:pStyle w:val="FootnoteText"/>
        <w:ind w:left="567" w:hanging="567"/>
        <w:rPr>
          <w:sz w:val="24"/>
          <w:lang w:val="lt-LT"/>
        </w:rPr>
      </w:pPr>
      <w:r w:rsidRPr="00611EC7">
        <w:rPr>
          <w:rStyle w:val="FootnoteReference"/>
          <w:sz w:val="24"/>
          <w:lang w:val="lt-LT"/>
        </w:rPr>
        <w:footnoteRef/>
      </w:r>
      <w:r w:rsidR="00611EC7" w:rsidRPr="00611EC7">
        <w:rPr>
          <w:sz w:val="24"/>
          <w:lang w:val="lt-LT"/>
        </w:rPr>
        <w:t xml:space="preserve"> </w:t>
      </w:r>
      <w:r w:rsidR="00611EC7" w:rsidRPr="00611EC7">
        <w:rPr>
          <w:sz w:val="24"/>
          <w:lang w:val="lt-LT"/>
        </w:rPr>
        <w:tab/>
      </w:r>
      <w:r w:rsidRPr="00611EC7">
        <w:rPr>
          <w:sz w:val="24"/>
          <w:lang w:val="lt-LT"/>
        </w:rPr>
        <w:t>2018 m. gruodžio 18 d. Komisijos deleguotasis reglamentas (ES) 2019/715 dėl finansinio pagrindų reglamento, taikomo organams, įsteigtiems pagal SESV ir Euratomo sutartį ir nurodytiems Europos Parlamento ir Tarybos reglamento (ES, Euratomas) 2018/1046 70 straipsnyje (OL L 122, 2019 5 10, p. 1).</w:t>
      </w:r>
    </w:p>
  </w:footnote>
  <w:footnote w:id="14">
    <w:p w:rsidR="000930F4" w:rsidRPr="00611EC7" w:rsidRDefault="000930F4" w:rsidP="00611EC7">
      <w:pPr>
        <w:pStyle w:val="FootnoteText"/>
        <w:ind w:left="567" w:hanging="567"/>
        <w:rPr>
          <w:sz w:val="24"/>
          <w:lang w:val="lt-LT"/>
        </w:rPr>
      </w:pPr>
      <w:r w:rsidRPr="00611EC7">
        <w:rPr>
          <w:rStyle w:val="FootnoteReference"/>
          <w:sz w:val="24"/>
          <w:lang w:val="lt-LT"/>
        </w:rPr>
        <w:footnoteRef/>
      </w:r>
      <w:r w:rsidR="00611EC7" w:rsidRPr="00611EC7">
        <w:rPr>
          <w:sz w:val="24"/>
          <w:lang w:val="lt-LT"/>
        </w:rPr>
        <w:t xml:space="preserve"> </w:t>
      </w:r>
      <w:r w:rsidR="00611EC7" w:rsidRPr="00611EC7">
        <w:rPr>
          <w:sz w:val="24"/>
          <w:lang w:val="lt-LT"/>
        </w:rPr>
        <w:tab/>
      </w:r>
      <w:r w:rsidRPr="00611EC7">
        <w:rPr>
          <w:sz w:val="24"/>
          <w:lang w:val="lt-LT"/>
        </w:rPr>
        <w:t>Tą dieną priimti tekstai, P9_TA(2024)0</w:t>
      </w:r>
      <w:r w:rsidR="00C51E1F">
        <w:rPr>
          <w:sz w:val="24"/>
          <w:lang w:val="lt-LT"/>
        </w:rPr>
        <w:t>28</w:t>
      </w:r>
      <w:r w:rsidRPr="00611EC7">
        <w:rPr>
          <w:sz w:val="24"/>
          <w:lang w:val="lt-LT"/>
        </w:rPr>
        <w:t>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11EC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11EC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11EC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9"/>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4/2024"/>
    <w:docVar w:name="dvlangue" w:val="LT"/>
    <w:docVar w:name="dvnumam" w:val="0"/>
    <w:docVar w:name="dvpe" w:val="753.527"/>
    <w:docVar w:name="dvrapporteur" w:val="Pranešėjas: "/>
    <w:docVar w:name="dvtitre" w:val="2024 m. balandzio 11 d. Europos Parlamento sprendimas dėl ENISA (Europos Sąjungos kibernetinio saugumo agentūros) 2022 finansinių metų biudžeto įvykdymo patvirtinimo(2023/2159(DEC))"/>
  </w:docVars>
  <w:rsids>
    <w:rsidRoot w:val="00AD3B51"/>
    <w:rsid w:val="00002272"/>
    <w:rsid w:val="00064002"/>
    <w:rsid w:val="000677B9"/>
    <w:rsid w:val="000831BA"/>
    <w:rsid w:val="000930F4"/>
    <w:rsid w:val="000A42CC"/>
    <w:rsid w:val="000E7DD9"/>
    <w:rsid w:val="0010095E"/>
    <w:rsid w:val="00125B37"/>
    <w:rsid w:val="00187494"/>
    <w:rsid w:val="001F32AE"/>
    <w:rsid w:val="0022643B"/>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E06F5"/>
    <w:rsid w:val="004E258B"/>
    <w:rsid w:val="0050519A"/>
    <w:rsid w:val="005072A1"/>
    <w:rsid w:val="00514517"/>
    <w:rsid w:val="005238E1"/>
    <w:rsid w:val="00532B60"/>
    <w:rsid w:val="00545827"/>
    <w:rsid w:val="00560270"/>
    <w:rsid w:val="005C2568"/>
    <w:rsid w:val="006037C0"/>
    <w:rsid w:val="00611EC7"/>
    <w:rsid w:val="006631B6"/>
    <w:rsid w:val="00680577"/>
    <w:rsid w:val="006F74FA"/>
    <w:rsid w:val="00731ADD"/>
    <w:rsid w:val="00734777"/>
    <w:rsid w:val="00747932"/>
    <w:rsid w:val="00751A4A"/>
    <w:rsid w:val="00756632"/>
    <w:rsid w:val="00762C74"/>
    <w:rsid w:val="00786EC0"/>
    <w:rsid w:val="007D1690"/>
    <w:rsid w:val="007E22AD"/>
    <w:rsid w:val="0080777B"/>
    <w:rsid w:val="00817416"/>
    <w:rsid w:val="00842779"/>
    <w:rsid w:val="00865F67"/>
    <w:rsid w:val="00881A7B"/>
    <w:rsid w:val="008840E5"/>
    <w:rsid w:val="00887B3E"/>
    <w:rsid w:val="008C2AC6"/>
    <w:rsid w:val="00930C23"/>
    <w:rsid w:val="0093193B"/>
    <w:rsid w:val="009509D8"/>
    <w:rsid w:val="00950B64"/>
    <w:rsid w:val="00981893"/>
    <w:rsid w:val="00987288"/>
    <w:rsid w:val="009F1785"/>
    <w:rsid w:val="00A1687D"/>
    <w:rsid w:val="00A43E52"/>
    <w:rsid w:val="00A4678D"/>
    <w:rsid w:val="00A778C7"/>
    <w:rsid w:val="00AB1150"/>
    <w:rsid w:val="00AB441E"/>
    <w:rsid w:val="00AB6293"/>
    <w:rsid w:val="00AD3B51"/>
    <w:rsid w:val="00AE0928"/>
    <w:rsid w:val="00AF3B82"/>
    <w:rsid w:val="00B10AD7"/>
    <w:rsid w:val="00B12E95"/>
    <w:rsid w:val="00B22876"/>
    <w:rsid w:val="00B558F0"/>
    <w:rsid w:val="00B851F0"/>
    <w:rsid w:val="00BD48FE"/>
    <w:rsid w:val="00BD7BD8"/>
    <w:rsid w:val="00BE6ADC"/>
    <w:rsid w:val="00C05BFE"/>
    <w:rsid w:val="00C23CD4"/>
    <w:rsid w:val="00C51E1F"/>
    <w:rsid w:val="00C61C0C"/>
    <w:rsid w:val="00C941CB"/>
    <w:rsid w:val="00CC2357"/>
    <w:rsid w:val="00CF071A"/>
    <w:rsid w:val="00D058B8"/>
    <w:rsid w:val="00D56C11"/>
    <w:rsid w:val="00D834A0"/>
    <w:rsid w:val="00D872DF"/>
    <w:rsid w:val="00D91E21"/>
    <w:rsid w:val="00DA7FCD"/>
    <w:rsid w:val="00DC3FB1"/>
    <w:rsid w:val="00E079B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D4BAF0"/>
  <w15:chartTrackingRefBased/>
  <w15:docId w15:val="{09F39E0D-F24F-4B5A-985D-46D78FF6F4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0930F4"/>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0930F4"/>
    <w:pPr>
      <w:spacing w:before="480" w:after="240"/>
    </w:pPr>
  </w:style>
  <w:style w:type="paragraph" w:customStyle="1" w:styleId="PageHeading">
    <w:name w:val="PageHeading"/>
    <w:basedOn w:val="Normal"/>
    <w:rsid w:val="000930F4"/>
    <w:pPr>
      <w:keepNext/>
      <w:spacing w:after="480"/>
      <w:jc w:val="center"/>
    </w:pPr>
    <w:rPr>
      <w:rFonts w:ascii="Arial" w:hAnsi="Arial" w:cs="Arial"/>
      <w:b/>
    </w:rPr>
  </w:style>
  <w:style w:type="paragraph" w:customStyle="1" w:styleId="NormalBold">
    <w:name w:val="NormalBold"/>
    <w:basedOn w:val="Normal"/>
    <w:rsid w:val="000930F4"/>
    <w:rPr>
      <w:b/>
    </w:rPr>
  </w:style>
  <w:style w:type="paragraph" w:customStyle="1" w:styleId="NormalHanging12a">
    <w:name w:val="NormalHanging12a"/>
    <w:basedOn w:val="Normal"/>
    <w:link w:val="NormalHanging12aChar"/>
    <w:rsid w:val="000930F4"/>
    <w:pPr>
      <w:spacing w:after="240"/>
      <w:ind w:left="567" w:hanging="567"/>
    </w:pPr>
  </w:style>
  <w:style w:type="paragraph" w:customStyle="1" w:styleId="NormalCenter12a">
    <w:name w:val="NormalCenter12a"/>
    <w:basedOn w:val="Normal"/>
    <w:rsid w:val="000930F4"/>
    <w:pPr>
      <w:spacing w:after="240"/>
      <w:jc w:val="center"/>
    </w:pPr>
  </w:style>
  <w:style w:type="paragraph" w:styleId="Header">
    <w:name w:val="header"/>
    <w:basedOn w:val="Normal"/>
    <w:link w:val="HeaderChar"/>
    <w:rsid w:val="000930F4"/>
    <w:pPr>
      <w:tabs>
        <w:tab w:val="center" w:pos="4513"/>
        <w:tab w:val="right" w:pos="9026"/>
      </w:tabs>
    </w:pPr>
  </w:style>
  <w:style w:type="character" w:customStyle="1" w:styleId="HeaderChar">
    <w:name w:val="Header Char"/>
    <w:basedOn w:val="DefaultParagraphFont"/>
    <w:link w:val="Header"/>
    <w:rsid w:val="000930F4"/>
    <w:rPr>
      <w:sz w:val="24"/>
      <w:lang w:val="lt-LT"/>
    </w:rPr>
  </w:style>
  <w:style w:type="paragraph" w:customStyle="1" w:styleId="EPFooter">
    <w:name w:val="EPFooter"/>
    <w:basedOn w:val="Normal"/>
    <w:rsid w:val="000930F4"/>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0930F4"/>
    <w:rPr>
      <w:sz w:val="24"/>
      <w:lang w:val="lt-LT"/>
    </w:rPr>
  </w:style>
  <w:style w:type="paragraph" w:customStyle="1" w:styleId="Normal12Hanging">
    <w:name w:val="Normal12Hanging"/>
    <w:basedOn w:val="Normal"/>
    <w:rsid w:val="000930F4"/>
    <w:pPr>
      <w:spacing w:after="240"/>
      <w:ind w:left="567" w:hanging="567"/>
    </w:pPr>
  </w:style>
  <w:style w:type="paragraph" w:styleId="BalloonText">
    <w:name w:val="Balloon Text"/>
    <w:basedOn w:val="Normal"/>
    <w:link w:val="BalloonTextChar"/>
    <w:rsid w:val="00AB1150"/>
    <w:rPr>
      <w:rFonts w:ascii="Segoe UI" w:hAnsi="Segoe UI" w:cs="Segoe UI"/>
      <w:sz w:val="18"/>
      <w:szCs w:val="18"/>
    </w:rPr>
  </w:style>
  <w:style w:type="character" w:customStyle="1" w:styleId="BalloonTextChar">
    <w:name w:val="Balloon Text Char"/>
    <w:basedOn w:val="DefaultParagraphFont"/>
    <w:link w:val="BalloonText"/>
    <w:rsid w:val="00AB1150"/>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AD3F02-7061-4433-93E6-5F02AA4326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3153</Words>
  <Characters>21553</Characters>
  <Application>Microsoft Office Word</Application>
  <DocSecurity>0</DocSecurity>
  <Lines>179</Lines>
  <Paragraphs>49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2024-04-11T16:27:00Z</dcterms:created>
  <dcterms:modified xsi:type="dcterms:W3CDTF">2024-04-11T16:27:00Z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A9-0134/2024</vt:lpwstr>
  </property>
  <property fmtid="{D5CDD505-2E9C-101B-9397-08002B2CF9AE}" pid="4" name="&lt;Type&gt;">
    <vt:lpwstr>RR</vt:lpwstr>
  </property>
</Properties>
</file>