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E195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E1955" w:rsidRDefault="00A1628E" w:rsidP="0010095E">
            <w:pPr>
              <w:pStyle w:val="EPName"/>
            </w:pPr>
            <w:r w:rsidRPr="009E1955">
              <w:t>Parlament Europejski</w:t>
            </w:r>
          </w:p>
          <w:p w:rsidR="00751A4A" w:rsidRPr="009E195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195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E1955" w:rsidRDefault="00187494" w:rsidP="0010095E">
            <w:pPr>
              <w:pStyle w:val="EPLogo"/>
            </w:pPr>
            <w:r w:rsidRPr="009E195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E1955" w:rsidRDefault="00D058B8" w:rsidP="004C5D52">
      <w:pPr>
        <w:pStyle w:val="LineTop"/>
      </w:pPr>
    </w:p>
    <w:p w:rsidR="00680577" w:rsidRPr="009E1955" w:rsidRDefault="00A1628E" w:rsidP="00680577">
      <w:pPr>
        <w:pStyle w:val="EPBodyTA1"/>
      </w:pPr>
      <w:r w:rsidRPr="009E1955">
        <w:t>TEKSTY PRZYJĘTE</w:t>
      </w:r>
    </w:p>
    <w:p w:rsidR="00D058B8" w:rsidRPr="009E1955" w:rsidRDefault="00D058B8" w:rsidP="00D058B8">
      <w:pPr>
        <w:pStyle w:val="LineBottom"/>
      </w:pPr>
    </w:p>
    <w:p w:rsidR="00A1628E" w:rsidRPr="009E1955" w:rsidRDefault="00A1628E" w:rsidP="00A1628E">
      <w:pPr>
        <w:pStyle w:val="ATHeading1"/>
      </w:pPr>
      <w:bookmarkStart w:id="0" w:name="TANumber"/>
      <w:r w:rsidRPr="009E1955">
        <w:t>P9_TA(2024)0</w:t>
      </w:r>
      <w:bookmarkEnd w:id="0"/>
      <w:r w:rsidR="00A5555F">
        <w:t>252</w:t>
      </w:r>
    </w:p>
    <w:p w:rsidR="00A1628E" w:rsidRPr="009E1955" w:rsidRDefault="008143A8" w:rsidP="00A1628E">
      <w:pPr>
        <w:pStyle w:val="ATHeading2"/>
      </w:pPr>
      <w:r w:rsidRPr="008143A8">
        <w:rPr>
          <w:bCs/>
        </w:rPr>
        <w:t xml:space="preserve">Absolutorium za rok 2022: Agencja Unii Europejskiej ds. </w:t>
      </w:r>
      <w:proofErr w:type="spellStart"/>
      <w:r w:rsidRPr="00A5555F">
        <w:rPr>
          <w:bCs/>
        </w:rPr>
        <w:t>Cyberbezpieczeństwa</w:t>
      </w:r>
      <w:proofErr w:type="spellEnd"/>
      <w:r w:rsidRPr="00A5555F">
        <w:rPr>
          <w:bCs/>
        </w:rPr>
        <w:t xml:space="preserve"> (ENISA)</w:t>
      </w:r>
    </w:p>
    <w:p w:rsidR="00A1628E" w:rsidRPr="009E1955" w:rsidRDefault="00A1628E" w:rsidP="00A1628E">
      <w:pPr>
        <w:rPr>
          <w:i/>
          <w:vanish/>
        </w:rPr>
      </w:pPr>
      <w:r w:rsidRPr="009E1955">
        <w:rPr>
          <w:i/>
        </w:rPr>
        <w:fldChar w:fldCharType="begin"/>
      </w:r>
      <w:r w:rsidRPr="009E1955">
        <w:rPr>
          <w:i/>
        </w:rPr>
        <w:instrText xml:space="preserve"> TC"(</w:instrText>
      </w:r>
      <w:bookmarkStart w:id="1" w:name="DocNumber"/>
      <w:r w:rsidRPr="009E1955">
        <w:rPr>
          <w:i/>
        </w:rPr>
        <w:instrText>A9-0134/2024</w:instrText>
      </w:r>
      <w:bookmarkEnd w:id="1"/>
      <w:r w:rsidRPr="009E1955">
        <w:rPr>
          <w:i/>
        </w:rPr>
        <w:instrText xml:space="preserve"> - Sprawozdawca: </w:instrText>
      </w:r>
      <w:proofErr w:type="spellStart"/>
      <w:r w:rsidRPr="009E1955">
        <w:rPr>
          <w:i/>
        </w:rPr>
        <w:instrText>Petri</w:instrText>
      </w:r>
      <w:proofErr w:type="spellEnd"/>
      <w:r w:rsidRPr="009E1955">
        <w:rPr>
          <w:i/>
        </w:rPr>
        <w:instrText xml:space="preserve"> </w:instrText>
      </w:r>
      <w:proofErr w:type="spellStart"/>
      <w:r w:rsidRPr="009E1955">
        <w:rPr>
          <w:i/>
        </w:rPr>
        <w:instrText>Sarvamaa</w:instrText>
      </w:r>
      <w:proofErr w:type="spellEnd"/>
      <w:proofErr w:type="gramStart"/>
      <w:r w:rsidRPr="009E1955">
        <w:rPr>
          <w:i/>
        </w:rPr>
        <w:instrText>)"\l</w:instrText>
      </w:r>
      <w:proofErr w:type="gramEnd"/>
      <w:r w:rsidRPr="009E1955">
        <w:rPr>
          <w:i/>
        </w:rPr>
        <w:instrText xml:space="preserve">3 \n&gt; \* MERGEFORMAT </w:instrText>
      </w:r>
      <w:r w:rsidRPr="009E1955">
        <w:rPr>
          <w:i/>
        </w:rPr>
        <w:fldChar w:fldCharType="end"/>
      </w:r>
    </w:p>
    <w:p w:rsidR="00A1628E" w:rsidRPr="009E1955" w:rsidRDefault="00A1628E" w:rsidP="00A1628E">
      <w:pPr>
        <w:rPr>
          <w:vanish/>
        </w:rPr>
      </w:pPr>
      <w:bookmarkStart w:id="2" w:name="Commission"/>
      <w:r w:rsidRPr="009E1955">
        <w:rPr>
          <w:vanish/>
        </w:rPr>
        <w:t>Komisja Kontroli Budżetowej</w:t>
      </w:r>
      <w:bookmarkEnd w:id="2"/>
    </w:p>
    <w:p w:rsidR="00A1628E" w:rsidRPr="009E1955" w:rsidRDefault="00A1628E" w:rsidP="00A1628E">
      <w:pPr>
        <w:rPr>
          <w:vanish/>
        </w:rPr>
      </w:pPr>
      <w:bookmarkStart w:id="3" w:name="PE"/>
      <w:r w:rsidRPr="009E1955">
        <w:rPr>
          <w:vanish/>
        </w:rPr>
        <w:t>PE753.527</w:t>
      </w:r>
      <w:bookmarkEnd w:id="3"/>
    </w:p>
    <w:p w:rsidR="00A1628E" w:rsidRPr="009E1955" w:rsidRDefault="008143A8" w:rsidP="00A1628E">
      <w:pPr>
        <w:pStyle w:val="ATHeading3"/>
      </w:pPr>
      <w:bookmarkStart w:id="4" w:name="Sujet"/>
      <w:r>
        <w:t xml:space="preserve">1. </w:t>
      </w:r>
      <w:r w:rsidR="00A1628E" w:rsidRPr="009E1955">
        <w:t xml:space="preserve">Decyzja Parlamentu Europejskiego z dnia </w:t>
      </w:r>
      <w:r>
        <w:t>11 kwietnia</w:t>
      </w:r>
      <w:r w:rsidR="00A1628E" w:rsidRPr="009E1955">
        <w:t xml:space="preserve"> 2024 r. w sprawie absolutorium z wykonania budżetu ENISA (Agencji Unii Europejskiej ds. </w:t>
      </w:r>
      <w:proofErr w:type="spellStart"/>
      <w:r w:rsidR="00A1628E" w:rsidRPr="009E1955">
        <w:t>Cyberbezpieczeństwa</w:t>
      </w:r>
      <w:proofErr w:type="spellEnd"/>
      <w:r w:rsidR="00A1628E" w:rsidRPr="009E1955">
        <w:t>) za rok budżetowy 2022</w:t>
      </w:r>
      <w:bookmarkEnd w:id="4"/>
      <w:r w:rsidR="00A1628E" w:rsidRPr="009E1955">
        <w:t xml:space="preserve"> </w:t>
      </w:r>
      <w:bookmarkStart w:id="5" w:name="References"/>
      <w:r w:rsidR="00A1628E" w:rsidRPr="009E1955">
        <w:t>(2023/2159(DEC))</w:t>
      </w:r>
      <w:bookmarkEnd w:id="5"/>
    </w:p>
    <w:p w:rsidR="009271BE" w:rsidRPr="009E1955" w:rsidRDefault="009271BE" w:rsidP="009271BE">
      <w:pPr>
        <w:pStyle w:val="EPComma"/>
      </w:pPr>
      <w:bookmarkStart w:id="6" w:name="TextBodyBegin"/>
      <w:bookmarkEnd w:id="6"/>
      <w:r w:rsidRPr="009E1955">
        <w:rPr>
          <w:i/>
        </w:rPr>
        <w:t>Parlament Europejski</w:t>
      </w:r>
      <w:r w:rsidRPr="009E1955">
        <w:t>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końcowe roczne sprawozdanie finansowe ENISA (Agencji Unii Europejskiej ds. </w:t>
      </w:r>
      <w:proofErr w:type="spellStart"/>
      <w:r w:rsidRPr="009E1955">
        <w:t>Cyberbezpieczeństwa</w:t>
      </w:r>
      <w:proofErr w:type="spellEnd"/>
      <w:r w:rsidRPr="009E1955">
        <w:t>) za rok budżetowy 2022,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sprawozdanie roczne Trybunału Obrachunkowego dotyczące agencji UE za rok budżetowy 2022 wraz z odpowiedziami agencji</w:t>
      </w:r>
      <w:r w:rsidRPr="009E1955">
        <w:rPr>
          <w:rStyle w:val="FootnoteReference"/>
        </w:rPr>
        <w:footnoteReference w:id="1"/>
      </w:r>
      <w:r w:rsidRPr="009E1955">
        <w:t>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poświadczenie wiarygodności</w:t>
      </w:r>
      <w:r w:rsidRPr="009E1955">
        <w:rPr>
          <w:rStyle w:val="FootnoteReference"/>
        </w:rPr>
        <w:footnoteReference w:id="2"/>
      </w:r>
      <w:r w:rsidRPr="009E1955">
        <w:t xml:space="preserve"> rachunków, jak również legalności i prawidłowości operacji leżących u ich podstaw przedłożone przez Trybunał Obrachunkowy za rok budżetowy 2022 zgodnie z art. 287 Traktatu o funkcjonowaniu Unii Europejskiej,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zalecenie Rady z dnia 22 lutego 2024 r. w sprawie udzielenia Agencji absolutorium z wykonania budż</w:t>
      </w:r>
      <w:r w:rsidR="005B37DE">
        <w:t>etu za rok budżetowy 2022 (06180/2024 – C9</w:t>
      </w:r>
      <w:r w:rsidR="005B37DE">
        <w:noBreakHyphen/>
        <w:t>0097</w:t>
      </w:r>
      <w:r w:rsidRPr="009E1955">
        <w:t>/2024),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art. 319 Traktatu o funkcjonowaniu Unii Europejskiej,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rozporządzenie Parlamentu Europe</w:t>
      </w:r>
      <w:r w:rsidR="00353D68">
        <w:t xml:space="preserve">jskiego i Rady (UE, </w:t>
      </w:r>
      <w:proofErr w:type="spellStart"/>
      <w:r w:rsidR="00353D68">
        <w:t>Euratom</w:t>
      </w:r>
      <w:proofErr w:type="spellEnd"/>
      <w:r w:rsidR="00353D68">
        <w:t xml:space="preserve">) </w:t>
      </w:r>
      <w:r w:rsidRPr="009E1955">
        <w:t xml:space="preserve">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</w:t>
      </w:r>
      <w:r w:rsidRPr="009E1955">
        <w:lastRenderedPageBreak/>
        <w:t xml:space="preserve">uchylające rozporządzenie (UE, </w:t>
      </w:r>
      <w:proofErr w:type="spellStart"/>
      <w:r w:rsidRPr="009E1955">
        <w:t>Euratom</w:t>
      </w:r>
      <w:proofErr w:type="spellEnd"/>
      <w:r w:rsidRPr="009E1955">
        <w:t>) nr 966/2012</w:t>
      </w:r>
      <w:r w:rsidRPr="009E1955">
        <w:rPr>
          <w:rStyle w:val="FootnoteReference"/>
        </w:rPr>
        <w:footnoteReference w:id="3"/>
      </w:r>
      <w:r w:rsidRPr="009E1955">
        <w:t>, w szczególności jego art. 70,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 xml:space="preserve">uwzględniając rozporządzenie Parlamentu Europejskiego i Rady (UE) 2019/881 z dnia 17 kwietnia 2019 r. w sprawie ENISA (Agencji Unii Europejskiej ds. </w:t>
      </w:r>
      <w:proofErr w:type="spellStart"/>
      <w:r w:rsidRPr="009E1955">
        <w:t>Cyberbezpieczeństwa</w:t>
      </w:r>
      <w:proofErr w:type="spellEnd"/>
      <w:r w:rsidRPr="009E1955">
        <w:t xml:space="preserve">) oraz certyfikacji </w:t>
      </w:r>
      <w:proofErr w:type="spellStart"/>
      <w:r w:rsidRPr="009E1955">
        <w:t>cyberbezpieczeństwa</w:t>
      </w:r>
      <w:proofErr w:type="spellEnd"/>
      <w:r w:rsidRPr="009E1955">
        <w:t xml:space="preserve"> w zakresie technologii informacyjno-komunikacyjnych oraz uchylenia rozporządzenia (UE) nr 526/2013 (akt o </w:t>
      </w:r>
      <w:proofErr w:type="spellStart"/>
      <w:r w:rsidRPr="009E1955">
        <w:t>cyberbezpieczeństwie</w:t>
      </w:r>
      <w:proofErr w:type="spellEnd"/>
      <w:proofErr w:type="gramStart"/>
      <w:r w:rsidRPr="009E1955">
        <w:t>)</w:t>
      </w:r>
      <w:r w:rsidRPr="009E1955">
        <w:rPr>
          <w:rStyle w:val="FootnoteReference"/>
        </w:rPr>
        <w:footnoteReference w:id="4"/>
      </w:r>
      <w:r w:rsidRPr="009E1955">
        <w:t>, w</w:t>
      </w:r>
      <w:proofErr w:type="gramEnd"/>
      <w:r w:rsidRPr="009E1955">
        <w:t xml:space="preserve"> szczególności jego art. 31,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 xml:space="preserve">uwzględniając rozporządzenie delegowane Komisji (UE) 2019/715 z dnia 18 grudnia 2018 r. w sprawie ramowego rozporządzenia finansowego dotyczącego organów utworzonych na podstawie TFUE oraz Traktatu </w:t>
      </w:r>
      <w:proofErr w:type="spellStart"/>
      <w:r w:rsidRPr="009E1955">
        <w:t>Euratom</w:t>
      </w:r>
      <w:proofErr w:type="spellEnd"/>
      <w:r w:rsidRPr="009E1955">
        <w:t xml:space="preserve">, o których mowa w art. 70 rozporządzenia Parlamentu Europejskiego i Rady (UE, </w:t>
      </w:r>
      <w:proofErr w:type="spellStart"/>
      <w:r w:rsidRPr="009E1955">
        <w:t>Euratom</w:t>
      </w:r>
      <w:proofErr w:type="spellEnd"/>
      <w:r w:rsidRPr="009E1955">
        <w:t>) 2018/1046</w:t>
      </w:r>
      <w:r w:rsidRPr="009E1955">
        <w:rPr>
          <w:rStyle w:val="FootnoteReference"/>
        </w:rPr>
        <w:footnoteReference w:id="5"/>
      </w:r>
      <w:r w:rsidRPr="009E1955">
        <w:t>, w szczególności jego art. 105,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art. 100 Regulaminu i załącznik V do Regulaminu,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sprawozdanie Komisji Kontroli Budżetowej (A9-0134/2024),</w:t>
      </w:r>
    </w:p>
    <w:p w:rsidR="009271BE" w:rsidRPr="009E1955" w:rsidRDefault="009271BE" w:rsidP="009271BE">
      <w:pPr>
        <w:pStyle w:val="NormalHanging12a"/>
      </w:pPr>
      <w:r w:rsidRPr="009E1955">
        <w:t>1.</w:t>
      </w:r>
      <w:r w:rsidRPr="009E1955">
        <w:tab/>
      </w:r>
      <w:proofErr w:type="gramStart"/>
      <w:r w:rsidRPr="009E1955">
        <w:t>udziela</w:t>
      </w:r>
      <w:proofErr w:type="gramEnd"/>
      <w:r w:rsidRPr="009E1955">
        <w:t xml:space="preserve"> dyrektorowi wykonawczemu ENISA (Agencji Unii Europejskiej ds. </w:t>
      </w:r>
      <w:proofErr w:type="spellStart"/>
      <w:r w:rsidRPr="009E1955">
        <w:t>Cyberbezpieczeństwa</w:t>
      </w:r>
      <w:proofErr w:type="spellEnd"/>
      <w:r w:rsidRPr="009E1955">
        <w:t>) absolutorium z wykonania budżetu Agencji za rok budżetowy 2022;</w:t>
      </w:r>
    </w:p>
    <w:p w:rsidR="009271BE" w:rsidRPr="009E1955" w:rsidRDefault="009271BE" w:rsidP="009271BE">
      <w:pPr>
        <w:pStyle w:val="NormalHanging12a"/>
      </w:pPr>
      <w:r w:rsidRPr="009E1955">
        <w:t>2.</w:t>
      </w:r>
      <w:r w:rsidRPr="009E1955">
        <w:tab/>
      </w:r>
      <w:proofErr w:type="gramStart"/>
      <w:r w:rsidRPr="009E1955">
        <w:t>przedstawia</w:t>
      </w:r>
      <w:proofErr w:type="gramEnd"/>
      <w:r w:rsidRPr="009E1955">
        <w:t xml:space="preserve"> swoje uwagi w poniższej rezolucji;</w:t>
      </w:r>
    </w:p>
    <w:p w:rsidR="009271BE" w:rsidRPr="009E1955" w:rsidRDefault="009271BE" w:rsidP="009271BE">
      <w:pPr>
        <w:pStyle w:val="NormalHanging12a"/>
      </w:pPr>
      <w:r w:rsidRPr="009E1955">
        <w:t>3.</w:t>
      </w:r>
      <w:r w:rsidRPr="009E1955">
        <w:tab/>
      </w:r>
      <w:proofErr w:type="gramStart"/>
      <w:r w:rsidRPr="009E1955">
        <w:t>zobowiązuje</w:t>
      </w:r>
      <w:proofErr w:type="gramEnd"/>
      <w:r w:rsidRPr="009E1955">
        <w:t xml:space="preserve"> swoją przewodniczącą do przekazania niniejszej decyzji wraz z rezolucją, która stanowi jej integralną część, dyrektorowi wykonawczemu ENISA (Agencji Unii Europejskiej ds. </w:t>
      </w:r>
      <w:proofErr w:type="spellStart"/>
      <w:r w:rsidRPr="009E1955">
        <w:t>Cyberbezpieczeństwa</w:t>
      </w:r>
      <w:proofErr w:type="spellEnd"/>
      <w:r w:rsidRPr="009E1955">
        <w:t xml:space="preserve">), Radzie, Komisji i Trybunałowi Obrachunkowemu oraz do zarządzenia jej publikacji w </w:t>
      </w:r>
      <w:r w:rsidRPr="009E1955">
        <w:rPr>
          <w:i/>
        </w:rPr>
        <w:t>Dzienniku Urzędowym Unii Europejskiej</w:t>
      </w:r>
      <w:r w:rsidRPr="009E1955">
        <w:t xml:space="preserve"> (seria L).</w:t>
      </w:r>
    </w:p>
    <w:p w:rsidR="009271BE" w:rsidRPr="009E1955" w:rsidRDefault="009271BE" w:rsidP="009271BE"/>
    <w:p w:rsidR="009271BE" w:rsidRPr="009E1955" w:rsidRDefault="009271BE" w:rsidP="009271BE">
      <w:pPr>
        <w:widowControl/>
        <w:rPr>
          <w:rFonts w:ascii="Arial" w:hAnsi="Arial" w:cs="Arial"/>
          <w:b/>
        </w:rPr>
        <w:sectPr w:rsidR="009271BE" w:rsidRPr="009E1955" w:rsidSect="009E195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9271BE" w:rsidRPr="009E1955" w:rsidRDefault="009271BE" w:rsidP="008143A8">
      <w:pPr>
        <w:pStyle w:val="ATHeading3"/>
      </w:pPr>
      <w:bookmarkStart w:id="7" w:name="_Toc161904613"/>
      <w:r w:rsidRPr="009E1955">
        <w:lastRenderedPageBreak/>
        <w:t xml:space="preserve">2. </w:t>
      </w:r>
      <w:r w:rsidR="008143A8">
        <w:t>Decyzja</w:t>
      </w:r>
      <w:r w:rsidR="008143A8" w:rsidRPr="009E1955">
        <w:t xml:space="preserve"> Parlamentu Europejskiego</w:t>
      </w:r>
      <w:bookmarkEnd w:id="7"/>
      <w:r w:rsidR="008143A8">
        <w:t xml:space="preserve"> </w:t>
      </w:r>
      <w:r w:rsidR="008143A8" w:rsidRPr="009E1955">
        <w:t xml:space="preserve">z dnia </w:t>
      </w:r>
      <w:r w:rsidR="008143A8">
        <w:t>11 kwietnia</w:t>
      </w:r>
      <w:r w:rsidR="008143A8" w:rsidRPr="009E1955">
        <w:t xml:space="preserve"> 2024 r. </w:t>
      </w:r>
      <w:r w:rsidRPr="009E1955">
        <w:t>w sprawie zamknięcia ksiąg dochodów i wydatków ENISA (Agencji Unii Europejskiej ds. </w:t>
      </w:r>
      <w:proofErr w:type="spellStart"/>
      <w:r w:rsidRPr="009E1955">
        <w:t>Cyberbezpieczeństwa</w:t>
      </w:r>
      <w:proofErr w:type="spellEnd"/>
      <w:r w:rsidRPr="009E1955">
        <w:t>) za rok budżetowy 2022</w:t>
      </w:r>
      <w:r w:rsidR="008143A8">
        <w:t xml:space="preserve"> </w:t>
      </w:r>
      <w:r w:rsidRPr="009E1955">
        <w:t>(2023/2159(DEC))</w:t>
      </w:r>
    </w:p>
    <w:p w:rsidR="009271BE" w:rsidRPr="009E1955" w:rsidRDefault="009271BE" w:rsidP="009271BE">
      <w:pPr>
        <w:pStyle w:val="EPComma"/>
      </w:pPr>
      <w:r w:rsidRPr="009E1955">
        <w:rPr>
          <w:i/>
        </w:rPr>
        <w:t>Parlament Europejski</w:t>
      </w:r>
      <w:r w:rsidRPr="009E1955">
        <w:t>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końcowe roczne sprawozdanie finansowe ENISA (Agencji Unii Europejskiej ds. </w:t>
      </w:r>
      <w:proofErr w:type="spellStart"/>
      <w:r w:rsidRPr="009E1955">
        <w:t>Cyberbezpieczeństwa</w:t>
      </w:r>
      <w:proofErr w:type="spellEnd"/>
      <w:r w:rsidRPr="009E1955">
        <w:t>) za rok budżetowy 2022,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sprawozdanie roczne Trybunału Obrachunkowego dotyczące agencji UE za rok budżetowy 2022 wraz z odpowiedziami agencji</w:t>
      </w:r>
      <w:r w:rsidRPr="009E1955">
        <w:rPr>
          <w:rStyle w:val="FootnoteReference"/>
        </w:rPr>
        <w:footnoteReference w:id="6"/>
      </w:r>
      <w:r w:rsidRPr="009E1955">
        <w:t>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poświadczenie wiarygodności</w:t>
      </w:r>
      <w:r w:rsidRPr="009E1955">
        <w:rPr>
          <w:rStyle w:val="FootnoteReference"/>
        </w:rPr>
        <w:footnoteReference w:id="7"/>
      </w:r>
      <w:r w:rsidRPr="009E1955">
        <w:t xml:space="preserve"> rachunków, jak również legalności i prawidłowości operacji leżących u ich podstaw przedłożone przez Trybunał Obrachunkowy za rok budżetowy 2022 zgodnie z art. 287 Traktatu o funkcjonowaniu Unii Europejskiej,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zalecenie Rady z dnia 22 lutego 2024 r. w sprawie udzielenia Agencji absolutorium z wykonania budż</w:t>
      </w:r>
      <w:r w:rsidR="005B37DE">
        <w:t>etu za rok budżetowy 2022 (06180/2024 – C9</w:t>
      </w:r>
      <w:r w:rsidR="005B37DE">
        <w:noBreakHyphen/>
        <w:t>0097</w:t>
      </w:r>
      <w:r w:rsidRPr="009E1955">
        <w:t>/2024),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art. 319 Traktatu o funkcjonowaniu Unii Europejskiej,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rozporządzenie Parlamentu Europe</w:t>
      </w:r>
      <w:r w:rsidR="00353D68">
        <w:t xml:space="preserve">jskiego i Rady (UE, </w:t>
      </w:r>
      <w:proofErr w:type="spellStart"/>
      <w:r w:rsidR="00353D68">
        <w:t>Euratom</w:t>
      </w:r>
      <w:proofErr w:type="spellEnd"/>
      <w:r w:rsidR="00353D68">
        <w:t xml:space="preserve">) </w:t>
      </w:r>
      <w:bookmarkStart w:id="8" w:name="_GoBack"/>
      <w:bookmarkEnd w:id="8"/>
      <w:r w:rsidRPr="009E1955">
        <w:t xml:space="preserve">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uchylające rozporządzenie (UE, </w:t>
      </w:r>
      <w:proofErr w:type="spellStart"/>
      <w:r w:rsidRPr="009E1955">
        <w:t>Euratom</w:t>
      </w:r>
      <w:proofErr w:type="spellEnd"/>
      <w:r w:rsidRPr="009E1955">
        <w:t>) nr 966/2012</w:t>
      </w:r>
      <w:r w:rsidRPr="009E1955">
        <w:rPr>
          <w:rStyle w:val="FootnoteReference"/>
        </w:rPr>
        <w:footnoteReference w:id="8"/>
      </w:r>
      <w:r w:rsidRPr="009E1955">
        <w:t>, w szczególności jego art. 70,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 xml:space="preserve">uwzględniając rozporządzenie Parlamentu Europejskiego i Rady (UE) 2019/881 z dnia 17 kwietnia 2019 r. w sprawie ENISA (Agencji Unii Europejskiej ds. </w:t>
      </w:r>
      <w:proofErr w:type="spellStart"/>
      <w:r w:rsidRPr="009E1955">
        <w:t>Cyberbezpieczeństwa</w:t>
      </w:r>
      <w:proofErr w:type="spellEnd"/>
      <w:r w:rsidRPr="009E1955">
        <w:t xml:space="preserve">) oraz certyfikacji </w:t>
      </w:r>
      <w:proofErr w:type="spellStart"/>
      <w:r w:rsidRPr="009E1955">
        <w:t>cyberbezpieczeństwa</w:t>
      </w:r>
      <w:proofErr w:type="spellEnd"/>
      <w:r w:rsidRPr="009E1955">
        <w:t xml:space="preserve"> w zakresie technologii informacyjno-komunikacyjnych oraz uchylenia rozporządzenia (UE) nr 526/2013 (akt o </w:t>
      </w:r>
      <w:proofErr w:type="spellStart"/>
      <w:r w:rsidRPr="009E1955">
        <w:t>cyberbezpieczeństwie</w:t>
      </w:r>
      <w:proofErr w:type="spellEnd"/>
      <w:proofErr w:type="gramStart"/>
      <w:r w:rsidRPr="009E1955">
        <w:t>)</w:t>
      </w:r>
      <w:r w:rsidRPr="009E1955">
        <w:rPr>
          <w:rStyle w:val="FootnoteReference"/>
        </w:rPr>
        <w:footnoteReference w:id="9"/>
      </w:r>
      <w:r w:rsidRPr="009E1955">
        <w:t>, w</w:t>
      </w:r>
      <w:proofErr w:type="gramEnd"/>
      <w:r w:rsidRPr="009E1955">
        <w:t xml:space="preserve"> szczególności jego art. 31,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 xml:space="preserve">uwzględniając rozporządzenie delegowane Komisji (UE) 2019/715 z dnia 18 grudnia 2018 r. w sprawie ramowego rozporządzenia finansowego dotyczącego organów utworzonych na podstawie TFUE oraz Traktatu </w:t>
      </w:r>
      <w:proofErr w:type="spellStart"/>
      <w:r w:rsidRPr="009E1955">
        <w:t>Euratom</w:t>
      </w:r>
      <w:proofErr w:type="spellEnd"/>
      <w:r w:rsidRPr="009E1955">
        <w:t xml:space="preserve">, o których mowa w art. 70 rozporządzenia Parlamentu Europejskiego i Rady (UE, </w:t>
      </w:r>
      <w:proofErr w:type="spellStart"/>
      <w:r w:rsidRPr="009E1955">
        <w:t>Euratom</w:t>
      </w:r>
      <w:proofErr w:type="spellEnd"/>
      <w:r w:rsidRPr="009E1955">
        <w:t>) 2018/1046</w:t>
      </w:r>
      <w:r w:rsidRPr="009E1955">
        <w:rPr>
          <w:rStyle w:val="FootnoteReference"/>
        </w:rPr>
        <w:footnoteReference w:id="10"/>
      </w:r>
      <w:r w:rsidRPr="009E1955">
        <w:t>, w szczególności jego art. 105,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art. 100 Regulaminu i załącznik V do Regulaminu,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sprawozdanie Komisji Kontroli Budżetowej (A9-0134/2024),</w:t>
      </w:r>
    </w:p>
    <w:p w:rsidR="009271BE" w:rsidRPr="009E1955" w:rsidRDefault="009271BE" w:rsidP="009271BE">
      <w:pPr>
        <w:pStyle w:val="NormalHanging12a"/>
      </w:pPr>
      <w:r w:rsidRPr="009E1955">
        <w:lastRenderedPageBreak/>
        <w:t>1.</w:t>
      </w:r>
      <w:r w:rsidRPr="009E1955">
        <w:tab/>
      </w:r>
      <w:proofErr w:type="gramStart"/>
      <w:r w:rsidRPr="009E1955">
        <w:t>zatwierdza</w:t>
      </w:r>
      <w:proofErr w:type="gramEnd"/>
      <w:r w:rsidRPr="009E1955">
        <w:t xml:space="preserve"> zamknięcie ksiąg dochodów i wydatków ENISA (Agencji Unii Europejskiej ds. </w:t>
      </w:r>
      <w:proofErr w:type="spellStart"/>
      <w:r w:rsidRPr="009E1955">
        <w:t>Cyberbezpieczeństwa</w:t>
      </w:r>
      <w:proofErr w:type="spellEnd"/>
      <w:r w:rsidRPr="009E1955">
        <w:t>) za rok budżetowy 2022;</w:t>
      </w:r>
    </w:p>
    <w:p w:rsidR="009271BE" w:rsidRPr="009E1955" w:rsidRDefault="009271BE" w:rsidP="009271BE">
      <w:pPr>
        <w:pStyle w:val="NormalHanging12a"/>
      </w:pPr>
      <w:r w:rsidRPr="009E1955">
        <w:t>2.</w:t>
      </w:r>
      <w:r w:rsidRPr="009E1955">
        <w:tab/>
      </w:r>
      <w:proofErr w:type="gramStart"/>
      <w:r w:rsidRPr="009E1955">
        <w:t>zobowiązuje</w:t>
      </w:r>
      <w:proofErr w:type="gramEnd"/>
      <w:r w:rsidRPr="009E1955">
        <w:t xml:space="preserve"> swoją przewodniczącą do przekazania niniejszej decyzji dyrektorowi wykonawczemu ENISA (Agencji Unii Europejskiej ds. </w:t>
      </w:r>
      <w:proofErr w:type="spellStart"/>
      <w:r w:rsidRPr="009E1955">
        <w:t>Cyberbezpieczeństwa</w:t>
      </w:r>
      <w:proofErr w:type="spellEnd"/>
      <w:r w:rsidRPr="009E1955">
        <w:t xml:space="preserve">), Radzie, Komisji i Trybunałowi Obrachunkowemu oraz do zarządzenia jej publikacji w </w:t>
      </w:r>
      <w:r w:rsidRPr="009E1955">
        <w:rPr>
          <w:i/>
        </w:rPr>
        <w:t>Dzienniku Urzędowym Unii Europejskiej</w:t>
      </w:r>
      <w:r w:rsidRPr="009E1955">
        <w:t xml:space="preserve"> (seria L).</w:t>
      </w:r>
    </w:p>
    <w:p w:rsidR="009271BE" w:rsidRPr="009E1955" w:rsidRDefault="009271BE" w:rsidP="009271BE"/>
    <w:p w:rsidR="009271BE" w:rsidRPr="009E1955" w:rsidRDefault="009271BE" w:rsidP="009271BE">
      <w:pPr>
        <w:widowControl/>
        <w:rPr>
          <w:rFonts w:ascii="Arial" w:hAnsi="Arial" w:cs="Arial"/>
          <w:b/>
        </w:rPr>
        <w:sectPr w:rsidR="009271BE" w:rsidRPr="009E1955" w:rsidSect="009E1955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9271BE" w:rsidRPr="009E1955" w:rsidRDefault="009271BE" w:rsidP="008143A8">
      <w:pPr>
        <w:pStyle w:val="ATHeading3"/>
      </w:pPr>
      <w:bookmarkStart w:id="9" w:name="_Toc161904614"/>
      <w:r w:rsidRPr="009E1955">
        <w:lastRenderedPageBreak/>
        <w:t xml:space="preserve">3. </w:t>
      </w:r>
      <w:r w:rsidR="008143A8" w:rsidRPr="009E1955">
        <w:t>Rezolucj</w:t>
      </w:r>
      <w:r w:rsidR="008143A8">
        <w:t>a</w:t>
      </w:r>
      <w:r w:rsidR="008143A8" w:rsidRPr="009E1955">
        <w:t xml:space="preserve"> Parlamentu Europejskiego</w:t>
      </w:r>
      <w:bookmarkEnd w:id="9"/>
      <w:r w:rsidR="008143A8">
        <w:t xml:space="preserve"> </w:t>
      </w:r>
      <w:r w:rsidR="008143A8" w:rsidRPr="009E1955">
        <w:t xml:space="preserve">z dnia </w:t>
      </w:r>
      <w:r w:rsidR="008143A8">
        <w:t>11 kwietnia</w:t>
      </w:r>
      <w:r w:rsidR="008143A8" w:rsidRPr="009E1955">
        <w:t xml:space="preserve"> 2024 r. </w:t>
      </w:r>
      <w:r w:rsidR="008143A8">
        <w:t>zawierająca</w:t>
      </w:r>
      <w:r w:rsidRPr="009E1955">
        <w:t xml:space="preserve"> uwagi stanowiące integralną część decyzji w sprawie absolutorium z wykonania budżetu ENISA (Agencji Unii Europejskiej ds. </w:t>
      </w:r>
      <w:proofErr w:type="spellStart"/>
      <w:r w:rsidRPr="009E1955">
        <w:t>Cyberbezpieczeństwa</w:t>
      </w:r>
      <w:proofErr w:type="spellEnd"/>
      <w:r w:rsidRPr="009E1955">
        <w:t>) za rok budżetowy 2022</w:t>
      </w:r>
      <w:r w:rsidR="008143A8">
        <w:t xml:space="preserve"> </w:t>
      </w:r>
      <w:r w:rsidRPr="009E1955">
        <w:t>(2023/2159(DEC))</w:t>
      </w:r>
    </w:p>
    <w:p w:rsidR="009271BE" w:rsidRPr="009E1955" w:rsidRDefault="009271BE" w:rsidP="009271BE">
      <w:pPr>
        <w:pStyle w:val="EPComma"/>
      </w:pPr>
      <w:r w:rsidRPr="009E1955">
        <w:rPr>
          <w:i/>
        </w:rPr>
        <w:t>Parlament Europejski</w:t>
      </w:r>
      <w:r w:rsidRPr="009E1955">
        <w:t>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swoją decyzję w sprawie absolutorium z wykonania budżetu ENISA (Agencji Unii Europejskiej ds. </w:t>
      </w:r>
      <w:proofErr w:type="spellStart"/>
      <w:r w:rsidRPr="009E1955">
        <w:t>Cyberbezpieczeństwa</w:t>
      </w:r>
      <w:proofErr w:type="spellEnd"/>
      <w:r w:rsidRPr="009E1955">
        <w:t>) za rok budżetowy 2022,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art. 100 Regulaminu i załącznik V do Regulaminu,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sprawozdanie specjalne Trybunału Obrachunkowego nr 05/2022,</w:t>
      </w:r>
    </w:p>
    <w:p w:rsidR="009271BE" w:rsidRPr="009E1955" w:rsidRDefault="009271BE" w:rsidP="009271BE">
      <w:pPr>
        <w:pStyle w:val="NormalHanging12a"/>
      </w:pPr>
      <w:r w:rsidRPr="009E1955">
        <w:t>–</w:t>
      </w:r>
      <w:r w:rsidRPr="009E1955">
        <w:tab/>
        <w:t>uwzględniając sprawozdanie Komisji Kontroli Budżetowej (A9-0134/2024),</w:t>
      </w:r>
    </w:p>
    <w:p w:rsidR="009271BE" w:rsidRPr="009E1955" w:rsidRDefault="009271BE" w:rsidP="009271BE">
      <w:pPr>
        <w:autoSpaceDE w:val="0"/>
        <w:autoSpaceDN w:val="0"/>
        <w:adjustRightInd w:val="0"/>
        <w:spacing w:after="240"/>
        <w:ind w:left="567" w:hanging="567"/>
      </w:pPr>
      <w:r w:rsidRPr="009E1955">
        <w:t>A.</w:t>
      </w:r>
      <w:r w:rsidRPr="009E1955">
        <w:tab/>
      </w:r>
      <w:proofErr w:type="gramStart"/>
      <w:r w:rsidRPr="009E1955">
        <w:t>mając</w:t>
      </w:r>
      <w:proofErr w:type="gramEnd"/>
      <w:r w:rsidRPr="009E1955">
        <w:t xml:space="preserve"> na uwadze, że zgodnie z zestawieniem dochodów i wydatków</w:t>
      </w:r>
      <w:r w:rsidRPr="009E1955">
        <w:rPr>
          <w:rStyle w:val="FootnoteReference"/>
          <w:szCs w:val="24"/>
        </w:rPr>
        <w:footnoteReference w:id="11"/>
      </w:r>
      <w:r w:rsidRPr="009E1955">
        <w:t xml:space="preserve"> ostateczny budżet Agencji Unii Europejskiej ds. </w:t>
      </w:r>
      <w:proofErr w:type="spellStart"/>
      <w:r w:rsidRPr="009E1955">
        <w:t>Cyberbezpieczeństwa</w:t>
      </w:r>
      <w:proofErr w:type="spellEnd"/>
      <w:r w:rsidRPr="009E1955">
        <w:t xml:space="preserve"> na rok budżetowy 2022 wyniósł 39 207 625 EUR, co stanowi wzrost o 67,03 % w porównaniu z rokiem 2021; mając na uwadze, że zwiększenie budżetu Agencji wynika głównie z dodatkowych zadań związanych z pilotażowym wdrożeniem programu dotyczącego działań wspierających w obszarze </w:t>
      </w:r>
      <w:proofErr w:type="spellStart"/>
      <w:r w:rsidRPr="009E1955">
        <w:t>cyberbezpieczeństwa</w:t>
      </w:r>
      <w:proofErr w:type="spellEnd"/>
      <w:r w:rsidRPr="009E1955">
        <w:t>; mając na uwadze, że budżet Agencji pochodzi głównie z budżetu Unii;</w:t>
      </w:r>
    </w:p>
    <w:p w:rsidR="009271BE" w:rsidRPr="009E1955" w:rsidRDefault="009271BE" w:rsidP="009271BE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9E1955">
        <w:t>B.</w:t>
      </w:r>
      <w:r w:rsidRPr="009E1955">
        <w:tab/>
        <w:t>mając na uwadze, że Trybunał Obrachunkowy (Trybunał) w sprawozdaniu dotyczącym rocznego sprawozdania finansowego Agencji za rok budżetowy 2022 (sprawozdanie Trybunału) stwierdził, iż uzyskał wystarczającą pewność, że roczne sprawozdanie finansowe Agencji jest wiarygodne oraz że transakcje leżące u jego podstaw są zgodne z prawem i prawidłowe;</w:t>
      </w:r>
    </w:p>
    <w:p w:rsidR="009271BE" w:rsidRPr="009E1955" w:rsidRDefault="009271BE" w:rsidP="009271BE">
      <w:pPr>
        <w:pStyle w:val="Normal12Hanging"/>
        <w:rPr>
          <w:b/>
          <w:i/>
          <w:szCs w:val="24"/>
        </w:rPr>
      </w:pPr>
      <w:r w:rsidRPr="009E1955">
        <w:rPr>
          <w:b/>
          <w:i/>
        </w:rPr>
        <w:t>Zarządzanie budżetem i finansami</w:t>
      </w:r>
    </w:p>
    <w:p w:rsidR="009271BE" w:rsidRPr="009E1955" w:rsidRDefault="009271BE" w:rsidP="009271BE">
      <w:pPr>
        <w:pStyle w:val="Normal12Hanging"/>
        <w:rPr>
          <w:szCs w:val="24"/>
        </w:rPr>
      </w:pPr>
      <w:r w:rsidRPr="009E1955">
        <w:t>1.</w:t>
      </w:r>
      <w:r w:rsidRPr="009E1955">
        <w:tab/>
      </w:r>
      <w:proofErr w:type="gramStart"/>
      <w:r w:rsidRPr="009E1955">
        <w:t>zauważa</w:t>
      </w:r>
      <w:proofErr w:type="gramEnd"/>
      <w:r w:rsidRPr="009E1955">
        <w:t xml:space="preserve"> z uznaniem, że wysiłki związane z monitorowaniem budżetu w roku budżetowym 2022 doprowadziły do osiągnięcia wskaźnika wykonania w odniesieniu do środków na zobowiązania na bieżący rok w wysokości 99,93 %, co oznacza wzrost o 0,42 % w porównaniu z rokiem 2021; zwraca ponadto uwagę, że wskaźnik wykonania środków na płatności wyniósł 52,02 %, czyli o 25,38 % mniej niż w roku 2021;</w:t>
      </w:r>
    </w:p>
    <w:p w:rsidR="009271BE" w:rsidRPr="009E1955" w:rsidRDefault="009271BE" w:rsidP="009271BE">
      <w:pPr>
        <w:pStyle w:val="Normal12Hanging"/>
        <w:rPr>
          <w:b/>
          <w:i/>
          <w:szCs w:val="24"/>
        </w:rPr>
      </w:pPr>
      <w:r w:rsidRPr="009E1955">
        <w:t>2.</w:t>
      </w:r>
      <w:r w:rsidRPr="009E1955">
        <w:tab/>
      </w:r>
      <w:proofErr w:type="gramStart"/>
      <w:r w:rsidRPr="009E1955">
        <w:t>podkreśla</w:t>
      </w:r>
      <w:proofErr w:type="gramEnd"/>
      <w:r w:rsidRPr="009E1955">
        <w:t xml:space="preserve">, że kwota ostatecznego budżetu Agencji wynika ze zmiany w wysokości 15 000 000 EUR przyjętej przez zarząd 5 sierpnia 2022 r. w związku z wdrożeniem działania wspierającego w zakresie </w:t>
      </w:r>
      <w:proofErr w:type="spellStart"/>
      <w:r w:rsidRPr="009E1955">
        <w:t>cyberbezpieczeństwa</w:t>
      </w:r>
      <w:proofErr w:type="spellEnd"/>
      <w:r w:rsidRPr="009E1955">
        <w:t xml:space="preserve"> mającego wzmocnić reakcję Agencji na wspieranie państw członkowskich zgodnie z jej mandatem; zauważa, że większość zobowiązań w ramach działania wspierającego w zakresie </w:t>
      </w:r>
      <w:proofErr w:type="spellStart"/>
      <w:r w:rsidRPr="009E1955">
        <w:t>cyberbezpieczeństwa</w:t>
      </w:r>
      <w:proofErr w:type="spellEnd"/>
      <w:r w:rsidRPr="009E1955">
        <w:t xml:space="preserve"> podpisano pod koniec roku, co tłumaczy stosunkowo niski wskaźnik płatności (i związany z tym duży poziom przeniesienia);</w:t>
      </w:r>
    </w:p>
    <w:p w:rsidR="009271BE" w:rsidRPr="009E1955" w:rsidRDefault="009271BE" w:rsidP="009271BE">
      <w:pPr>
        <w:pStyle w:val="Normal12Hanging"/>
        <w:rPr>
          <w:b/>
          <w:i/>
          <w:szCs w:val="24"/>
        </w:rPr>
      </w:pPr>
      <w:r w:rsidRPr="009E1955">
        <w:rPr>
          <w:b/>
          <w:i/>
        </w:rPr>
        <w:t>Wyniki</w:t>
      </w:r>
    </w:p>
    <w:p w:rsidR="009271BE" w:rsidRPr="009E1955" w:rsidRDefault="009271BE" w:rsidP="009271BE">
      <w:pPr>
        <w:pStyle w:val="Normal12Hanging"/>
        <w:rPr>
          <w:szCs w:val="24"/>
        </w:rPr>
      </w:pPr>
      <w:r w:rsidRPr="009E1955">
        <w:t>3.</w:t>
      </w:r>
      <w:r w:rsidRPr="009E1955">
        <w:tab/>
      </w:r>
      <w:proofErr w:type="gramStart"/>
      <w:r w:rsidRPr="009E1955">
        <w:t>pochwala</w:t>
      </w:r>
      <w:proofErr w:type="gramEnd"/>
      <w:r w:rsidRPr="009E1955">
        <w:t xml:space="preserve"> fakt, że Agencja zrealizowała swój program prac na 2022 r. w 100 %; z </w:t>
      </w:r>
      <w:r w:rsidRPr="009E1955">
        <w:lastRenderedPageBreak/>
        <w:t xml:space="preserve">zadowoleniem odnotowuje, że Agencja stosuje kluczowe wskaźniki skuteczności działania do oceny swoich działań i wyników w osiąganiu celów programu prac; zauważa, że niektórych celów nie udało się w pełni osiągnąć ze względu na zmianę priorytetów w zakresie zasobów, tak by zapewnić działania wspierające w zakresie </w:t>
      </w:r>
      <w:proofErr w:type="spellStart"/>
      <w:r w:rsidRPr="009E1955">
        <w:t>cyberbezpieczeństwa</w:t>
      </w:r>
      <w:proofErr w:type="spellEnd"/>
      <w:r w:rsidRPr="009E1955">
        <w:t xml:space="preserve"> w odpowiedzi na nielegalną i niesprowokowaną napaść Rosji na Ukrainę; zauważa, że niektóre cele bardziej ucierpiały ze względu na zmiany priorytetów, m.in. cel 4.2 „Opracowanie i udoskonalenie standardowych strategii operacyjnych, procedur, metod i narzędzi na wypadek kryzysu cybernetycznego” oraz 5.3 „Zainicjowanie rozwoju zaufanej sieci sprzedawców/dostawców”;</w:t>
      </w:r>
    </w:p>
    <w:p w:rsidR="009271BE" w:rsidRPr="009E1955" w:rsidRDefault="009271BE" w:rsidP="009271BE">
      <w:pPr>
        <w:pStyle w:val="NormalHanging12a"/>
      </w:pPr>
      <w:r w:rsidRPr="009E1955">
        <w:t>4.</w:t>
      </w:r>
      <w:r w:rsidRPr="009E1955">
        <w:tab/>
      </w:r>
      <w:proofErr w:type="gramStart"/>
      <w:r w:rsidRPr="009E1955">
        <w:t>zdaje</w:t>
      </w:r>
      <w:proofErr w:type="gramEnd"/>
      <w:r w:rsidRPr="009E1955">
        <w:t xml:space="preserve"> sobie sprawę, że nielegalna i niesprowokowana rosyjska napaść na Ukrainę zdominowała program bezpieczeństwa Unii w 2022 r.; z zadowoleniem odnotowuje, że Agencja zintensyfikowała koordynację i zwiększyła gotowość oraz wniosła wkład do wspólnej orientacji sytuacyjnej Unii dzięki przedstawianiu regularnych sprawozdań sytuacyjnych dotyczących działalności w cyberprzestrzeni; podkreśla, że zintensyfikowano również koordynację i wymianę informacji z sieciami </w:t>
      </w:r>
      <w:proofErr w:type="spellStart"/>
      <w:r w:rsidRPr="009E1955">
        <w:t>cyberbezpieczeństwa</w:t>
      </w:r>
      <w:proofErr w:type="spellEnd"/>
      <w:r w:rsidRPr="009E1955">
        <w:t xml:space="preserve"> takimi jak europejska sieć organizacji łącznikowych ds. kryzysów </w:t>
      </w:r>
      <w:proofErr w:type="spellStart"/>
      <w:r w:rsidRPr="009E1955">
        <w:t>cyberbezpieczeństwa</w:t>
      </w:r>
      <w:proofErr w:type="spellEnd"/>
      <w:r w:rsidRPr="009E1955">
        <w:t xml:space="preserve"> (EU-</w:t>
      </w:r>
      <w:proofErr w:type="spellStart"/>
      <w:r w:rsidRPr="009E1955">
        <w:t>CyCLONe</w:t>
      </w:r>
      <w:proofErr w:type="spellEnd"/>
      <w:r w:rsidRPr="009E1955">
        <w:t xml:space="preserve">), która składa się z krajowych organów zarządzania kryzysowego w dziedzinie </w:t>
      </w:r>
      <w:proofErr w:type="spellStart"/>
      <w:r w:rsidRPr="009E1955">
        <w:t>cyberbezpieczeństwa</w:t>
      </w:r>
      <w:proofErr w:type="spellEnd"/>
      <w:r w:rsidRPr="009E1955">
        <w:t xml:space="preserve">, oraz liczne społeczności sektorowe wspierane przez Agencję; z zadowoleniem przyjmuje wysiłki Agencji, by zapewnić kanały komunikacji między szczeblem politycznym, operacyjnym i technicznym, a także </w:t>
      </w:r>
      <w:proofErr w:type="gramStart"/>
      <w:r w:rsidRPr="009E1955">
        <w:t>wzmocnioną</w:t>
      </w:r>
      <w:proofErr w:type="gramEnd"/>
      <w:r w:rsidRPr="009E1955">
        <w:t xml:space="preserve"> współpracę z siecią zespołów reagowania na incydenty bezpieczeństwa komputerowego;</w:t>
      </w:r>
    </w:p>
    <w:p w:rsidR="009271BE" w:rsidRPr="009E1955" w:rsidRDefault="009271BE" w:rsidP="009271BE">
      <w:pPr>
        <w:pStyle w:val="Normal12Hanging"/>
        <w:rPr>
          <w:szCs w:val="24"/>
        </w:rPr>
      </w:pPr>
      <w:r w:rsidRPr="009E1955">
        <w:t>5.</w:t>
      </w:r>
      <w:r w:rsidRPr="009E1955">
        <w:tab/>
      </w:r>
      <w:proofErr w:type="gramStart"/>
      <w:r w:rsidRPr="009E1955">
        <w:t>z</w:t>
      </w:r>
      <w:proofErr w:type="gramEnd"/>
      <w:r w:rsidRPr="009E1955">
        <w:t xml:space="preserve"> zadowoleniem odnotowuje, że w 2022 r. Agencja pilotowała unijną mapę cieplną, by zapewnić szybki przegląd </w:t>
      </w:r>
      <w:proofErr w:type="spellStart"/>
      <w:r w:rsidRPr="009E1955">
        <w:t>cyberincydentów</w:t>
      </w:r>
      <w:proofErr w:type="spellEnd"/>
      <w:r w:rsidRPr="009E1955">
        <w:t xml:space="preserve"> i zdarzeń cybernetycznych mających wpływ na sektory krytyczne Unii w wyniku </w:t>
      </w:r>
      <w:proofErr w:type="spellStart"/>
      <w:r w:rsidRPr="009E1955">
        <w:t>cyberaktywności</w:t>
      </w:r>
      <w:proofErr w:type="spellEnd"/>
      <w:r w:rsidRPr="009E1955">
        <w:t xml:space="preserve"> związanej z rosyjską wojną napastniczą przeciwko Ukrainie; zauważa, że sektory te przyczyniły się do opracowania sprawozdania ze zintegrowanej orientacji i analizy sytuacyjnej Komisji, zawierającego 52 aktualne informacje na temat obecnej sytuacji i incydentów związanych z rosyjską wojną napastniczą przeciwko Ukrainie, a to przyczyniło się do utworzenia unijnego mechanizmu zarządzania kryzysowego;</w:t>
      </w:r>
    </w:p>
    <w:p w:rsidR="009271BE" w:rsidRPr="009E1955" w:rsidRDefault="009271BE" w:rsidP="009271BE">
      <w:pPr>
        <w:pStyle w:val="Normal12Hanging"/>
        <w:rPr>
          <w:szCs w:val="24"/>
        </w:rPr>
      </w:pPr>
      <w:r w:rsidRPr="009E1955">
        <w:t>6.</w:t>
      </w:r>
      <w:r w:rsidRPr="009E1955">
        <w:tab/>
      </w:r>
      <w:proofErr w:type="gramStart"/>
      <w:r w:rsidRPr="009E1955">
        <w:t>odnotowuje</w:t>
      </w:r>
      <w:proofErr w:type="gramEnd"/>
      <w:r w:rsidRPr="009E1955">
        <w:t>, że zgodnie ze sprawozdaniem specjalnym Trybunału nr 05/2022 „</w:t>
      </w:r>
      <w:proofErr w:type="spellStart"/>
      <w:r w:rsidRPr="009E1955">
        <w:t>Cybersecurity</w:t>
      </w:r>
      <w:proofErr w:type="spellEnd"/>
      <w:r w:rsidRPr="009E1955">
        <w:t xml:space="preserve"> of EU </w:t>
      </w:r>
      <w:proofErr w:type="spellStart"/>
      <w:r w:rsidRPr="009E1955">
        <w:t>institutions</w:t>
      </w:r>
      <w:proofErr w:type="spellEnd"/>
      <w:r w:rsidRPr="009E1955">
        <w:t xml:space="preserve">, </w:t>
      </w:r>
      <w:proofErr w:type="spellStart"/>
      <w:r w:rsidRPr="009E1955">
        <w:t>bodies</w:t>
      </w:r>
      <w:proofErr w:type="spellEnd"/>
      <w:r w:rsidRPr="009E1955">
        <w:t xml:space="preserve"> and </w:t>
      </w:r>
      <w:proofErr w:type="spellStart"/>
      <w:r w:rsidRPr="009E1955">
        <w:t>agencies</w:t>
      </w:r>
      <w:proofErr w:type="spellEnd"/>
      <w:r w:rsidRPr="009E1955">
        <w:t>” [</w:t>
      </w:r>
      <w:proofErr w:type="spellStart"/>
      <w:r w:rsidRPr="009E1955">
        <w:t>Cyberbezpieczeństwo</w:t>
      </w:r>
      <w:proofErr w:type="spellEnd"/>
      <w:r w:rsidRPr="009E1955">
        <w:t xml:space="preserve"> instytucji, organów i agencji UE] liczba cyberataków na organy Unii gwałtownie rośnie, a poziom ich gotowości do reagowania w obszarze bezpieczeństwa cybernetycznego jest zróżnicowany i ogólnie niewspółmierny do rosnących zagrożeń; zauważa, że ze względu na ścisłe powiązania między organami Unii luki w zabezpieczeniach w jednym z nich mogą zagrażać bezpieczeństwu pozostałych; podkreśla, że Trybunał zaleca, aby Agencja wraz z zespołem reagowania na incydenty komputerowe w Unii w większym stopniu koncentrowała się na tych organach Unii, które mają mniejsze doświadczenie w zarządzaniu </w:t>
      </w:r>
      <w:proofErr w:type="spellStart"/>
      <w:r w:rsidRPr="009E1955">
        <w:t>cyberbezpieczeństwem</w:t>
      </w:r>
      <w:proofErr w:type="spellEnd"/>
      <w:r w:rsidRPr="009E1955">
        <w:t xml:space="preserve">, a to </w:t>
      </w:r>
      <w:proofErr w:type="gramStart"/>
      <w:r w:rsidRPr="009E1955">
        <w:t>poprzez</w:t>
      </w:r>
      <w:proofErr w:type="gramEnd"/>
      <w:r w:rsidRPr="009E1955">
        <w:t xml:space="preserve"> (a) określenie obszarów priorytetowych, w których instytucje, organy i agencje Unii potrzebują największego wsparcia, np. przez oceny dojrzałości w zakresie </w:t>
      </w:r>
      <w:proofErr w:type="spellStart"/>
      <w:r w:rsidRPr="009E1955">
        <w:t>cyberbezpieczeństwa</w:t>
      </w:r>
      <w:proofErr w:type="spellEnd"/>
      <w:r w:rsidRPr="009E1955">
        <w:t>, oraz b) wdrażanie działań w zakresie budowania zdolności zgodnie z ich protokołem ustaleń; wzywa Agencję, by zajęła się kwestiami poruszonymi przez Trybunał i poinformowała organ udzielający absolutorium o działaniach podjętych w tej sprawie;</w:t>
      </w:r>
    </w:p>
    <w:p w:rsidR="009271BE" w:rsidRPr="009E1955" w:rsidRDefault="009271BE" w:rsidP="009271BE">
      <w:pPr>
        <w:pStyle w:val="Normal12Hanging"/>
        <w:rPr>
          <w:szCs w:val="24"/>
        </w:rPr>
      </w:pPr>
      <w:r w:rsidRPr="009E1955">
        <w:t>7.</w:t>
      </w:r>
      <w:r w:rsidRPr="009E1955">
        <w:tab/>
      </w:r>
      <w:proofErr w:type="gramStart"/>
      <w:r w:rsidRPr="009E1955">
        <w:t>odnotowuje</w:t>
      </w:r>
      <w:proofErr w:type="gramEnd"/>
      <w:r w:rsidRPr="009E1955">
        <w:t xml:space="preserve">, że w 2022 r. Agencja prowadziła różne działania, aby wypełnić swoją rolę we wspieraniu Unii; zauważa, że chociaż Agencja była w stanie zaoferować wsparcie w </w:t>
      </w:r>
      <w:r w:rsidRPr="009E1955">
        <w:lastRenderedPageBreak/>
        <w:t xml:space="preserve">kilku procedurach politycznych dotyczących m.in. bezpieczeństwa sieci i informacji, </w:t>
      </w:r>
      <w:proofErr w:type="spellStart"/>
      <w:r w:rsidRPr="009E1955">
        <w:t>cyberodporności</w:t>
      </w:r>
      <w:proofErr w:type="spellEnd"/>
      <w:r w:rsidRPr="009E1955">
        <w:t xml:space="preserve"> i operacyjnej odporności cyfrowej ograniczone zasoby uniemożliwiły jej aktywne udzielanie wsparcia w procedurach politycznych obejmujących przepisy dotyczące </w:t>
      </w:r>
      <w:proofErr w:type="spellStart"/>
      <w:r w:rsidRPr="009E1955">
        <w:t>cyberbezpieczeństwa</w:t>
      </w:r>
      <w:proofErr w:type="spellEnd"/>
      <w:r w:rsidRPr="009E1955">
        <w:t xml:space="preserve">, takich jak procedura dotycząca europejskiej przestrzeni danych na temat zdrowia, oraz innych kluczowych procedurach, takich jak procedura dotycząca rynków cyfrowych i usług cyfrowych; zauważa, że inne działania polegały na informowaniu decydentów politycznych o skuteczności istniejących ram </w:t>
      </w:r>
      <w:proofErr w:type="spellStart"/>
      <w:r w:rsidRPr="009E1955">
        <w:t>cyberbezpieczeństwa</w:t>
      </w:r>
      <w:proofErr w:type="spellEnd"/>
      <w:r w:rsidRPr="009E1955">
        <w:t xml:space="preserve"> oraz udzielaniu wsparcia sektorom krytycznym; zauważa ponadto, że przyjęcie </w:t>
      </w:r>
      <w:proofErr w:type="gramStart"/>
      <w:r w:rsidRPr="009E1955">
        <w:t>dyrektywy</w:t>
      </w:r>
      <w:proofErr w:type="gramEnd"/>
      <w:r w:rsidRPr="009E1955">
        <w:t xml:space="preserve"> Parlamentu Europejskiego i Rady (UE) 2022/2555</w:t>
      </w:r>
      <w:r w:rsidRPr="009E1955">
        <w:rPr>
          <w:rStyle w:val="FootnoteReference"/>
          <w:szCs w:val="24"/>
        </w:rPr>
        <w:footnoteReference w:id="12"/>
      </w:r>
      <w:r w:rsidRPr="009E1955">
        <w:t xml:space="preserve"> (dyrektywa NIS 2) służy sprostaniu wyzwaniom i harmonizacji polityki w całej Unii; rozumie, że brak harmonizacji we wdrażaniu dyrektywy NIS 1 doprowadził do fragmentarycznego krajobrazu politycznego, do którego odnosi się dyrektywa NIS 2; zdaje sobie sprawę, że zakres dyrektywy NIS 2 jest szerszy i wprowadza ona nowe zadania horyzontalne dla Agencji, np. unijny rejestr podmiotów cyfrowych; podkreśla, że Agencja dostosowała swoje usługi i zasoby do nowej strategii, by zaspokoić zmieniające się potrzeby w zakresie </w:t>
      </w:r>
      <w:proofErr w:type="spellStart"/>
      <w:r w:rsidRPr="009E1955">
        <w:t>cyberbezpieczeństwa</w:t>
      </w:r>
      <w:proofErr w:type="spellEnd"/>
      <w:r w:rsidRPr="009E1955">
        <w:t>;</w:t>
      </w:r>
    </w:p>
    <w:p w:rsidR="009271BE" w:rsidRPr="009E1955" w:rsidRDefault="009271BE" w:rsidP="009271BE">
      <w:pPr>
        <w:pStyle w:val="Normal12Hanging"/>
        <w:rPr>
          <w:b/>
          <w:i/>
        </w:rPr>
      </w:pPr>
      <w:r w:rsidRPr="009E1955">
        <w:rPr>
          <w:b/>
          <w:i/>
        </w:rPr>
        <w:t>Wydajność i zyski</w:t>
      </w:r>
    </w:p>
    <w:p w:rsidR="009271BE" w:rsidRPr="009E1955" w:rsidRDefault="009271BE" w:rsidP="009271BE">
      <w:pPr>
        <w:pStyle w:val="Normal12Hanging"/>
        <w:rPr>
          <w:szCs w:val="24"/>
        </w:rPr>
      </w:pPr>
      <w:r w:rsidRPr="009E1955">
        <w:t>8.</w:t>
      </w:r>
      <w:r w:rsidRPr="009E1955">
        <w:tab/>
      </w:r>
      <w:proofErr w:type="gramStart"/>
      <w:r w:rsidRPr="009E1955">
        <w:t>zauważa</w:t>
      </w:r>
      <w:proofErr w:type="gramEnd"/>
      <w:r w:rsidRPr="009E1955">
        <w:t xml:space="preserve">, że Agencja starała się zwiększyć wykorzystanie usług wspólnych z innymi agencjami lub Komisją, np. przez </w:t>
      </w:r>
      <w:proofErr w:type="spellStart"/>
      <w:r w:rsidRPr="009E1955">
        <w:t>międzyagencyjne</w:t>
      </w:r>
      <w:proofErr w:type="spellEnd"/>
      <w:r w:rsidRPr="009E1955">
        <w:t xml:space="preserve"> i międzyinstytucjonalne procedury udzielania zamówień oraz dzielenie się usługami z Europejskim Centrum Rozwoju Kształcenia Zawodowego (</w:t>
      </w:r>
      <w:proofErr w:type="spellStart"/>
      <w:r w:rsidRPr="009E1955">
        <w:t>Cedefop</w:t>
      </w:r>
      <w:proofErr w:type="spellEnd"/>
      <w:r w:rsidRPr="009E1955">
        <w:t xml:space="preserve">) i Europejskim Centrum Kompetencji w dziedzinie </w:t>
      </w:r>
      <w:proofErr w:type="spellStart"/>
      <w:r w:rsidRPr="009E1955">
        <w:t>Cyberbezpieczeństwa</w:t>
      </w:r>
      <w:proofErr w:type="spellEnd"/>
      <w:r w:rsidRPr="009E1955">
        <w:t xml:space="preserve"> (ECCC); zauważa ponadto, że w 2022 r. Agencja podpisała umowę o gwarantowanym poziomie usług z nowo utworzonym Europejskim Centrum Kompetencji Przemysłowych, Technologicznych i Badawczych w dziedzinie </w:t>
      </w:r>
      <w:proofErr w:type="spellStart"/>
      <w:r w:rsidRPr="009E1955">
        <w:t>Cyberbezpieczeństwa</w:t>
      </w:r>
      <w:proofErr w:type="spellEnd"/>
      <w:r w:rsidRPr="009E1955">
        <w:t xml:space="preserve"> dotyczącą świadczenia na rzecz centrum usług inspektora ochrony danych i usług księgowych, która miała zostać wdrożona w 2023 r.;</w:t>
      </w:r>
    </w:p>
    <w:p w:rsidR="009271BE" w:rsidRPr="009E1955" w:rsidRDefault="009271BE" w:rsidP="009271BE">
      <w:pPr>
        <w:pStyle w:val="Normal12Hanging"/>
        <w:rPr>
          <w:szCs w:val="24"/>
        </w:rPr>
      </w:pPr>
      <w:r w:rsidRPr="009E1955">
        <w:t>9.</w:t>
      </w:r>
      <w:r w:rsidRPr="009E1955">
        <w:tab/>
      </w:r>
      <w:proofErr w:type="gramStart"/>
      <w:r w:rsidRPr="009E1955">
        <w:t>odnotowuje</w:t>
      </w:r>
      <w:proofErr w:type="gramEnd"/>
      <w:r w:rsidRPr="009E1955">
        <w:t xml:space="preserve"> kroki podjęte przez Agencję, by odejść od tradycyjnej metody obliczania liczby pracowników do strategicznego planowania siły roboczej w celu przewidywania i eliminowania luk kadrowych, co pozwoli zbudować elastyczną siłę roboczą i przeznaczyć zasoby na dziedziny priorytetowe;</w:t>
      </w:r>
    </w:p>
    <w:p w:rsidR="009271BE" w:rsidRPr="009E1955" w:rsidRDefault="009271BE" w:rsidP="009271BE">
      <w:pPr>
        <w:pStyle w:val="Normal12Hanging"/>
        <w:rPr>
          <w:szCs w:val="24"/>
        </w:rPr>
      </w:pPr>
      <w:r w:rsidRPr="009E1955">
        <w:t>10.</w:t>
      </w:r>
      <w:r w:rsidRPr="009E1955">
        <w:tab/>
      </w:r>
      <w:proofErr w:type="gramStart"/>
      <w:r w:rsidRPr="009E1955">
        <w:t>z</w:t>
      </w:r>
      <w:proofErr w:type="gramEnd"/>
      <w:r w:rsidRPr="009E1955">
        <w:t xml:space="preserve"> zadowoleniem przyjmuje wkład Agencji w promowanie wspólnych usług między agencjami za pośrednictwem kilku sieci w obszarach zamówień publicznych, zasobów ludzkich, technologii informacyjno-komunikacyjnych, zarządzania ryzykiem, zarządzania realizacją celów, ochrony danych, bezpieczeństwa informacji i rachunkowości; zwraca uwagę na korzyści horyzontalne płynące ze współpracy i dostosowania najlepszych praktyk oraz na to, że wspólne inicjatywy łączą różne perspektywy, ograniczają powielanie wysiłków, usprawniają proces nauki i wzmacniają relacje między uczestnikami; zachęca Agencję, aby wskazała procedury wewnętrzne, które można by usprawnić za pomocą nowych narzędzi informatycznych;</w:t>
      </w:r>
    </w:p>
    <w:p w:rsidR="009271BE" w:rsidRPr="009E1955" w:rsidRDefault="009271BE" w:rsidP="009271BE">
      <w:pPr>
        <w:pStyle w:val="Normal12Hanging"/>
        <w:rPr>
          <w:szCs w:val="24"/>
        </w:rPr>
      </w:pPr>
      <w:r w:rsidRPr="009E1955">
        <w:t>11.</w:t>
      </w:r>
      <w:r w:rsidRPr="009E1955">
        <w:tab/>
      </w:r>
      <w:proofErr w:type="gramStart"/>
      <w:r w:rsidRPr="009E1955">
        <w:t>z</w:t>
      </w:r>
      <w:proofErr w:type="gramEnd"/>
      <w:r w:rsidRPr="009E1955">
        <w:t xml:space="preserve"> zadowoleniem odnotowuje zaangażowanie Agencji w operację pilotażową sieci </w:t>
      </w:r>
      <w:r w:rsidRPr="009E1955">
        <w:lastRenderedPageBreak/>
        <w:t xml:space="preserve">agencji Unii, której celem jest wspieranie agencji UE w zwiększaniu ich gotowości do przyszłego nowego rozporządzenia w sprawie </w:t>
      </w:r>
      <w:proofErr w:type="spellStart"/>
      <w:r w:rsidRPr="009E1955">
        <w:t>cyberbezpieczeństwa</w:t>
      </w:r>
      <w:proofErr w:type="spellEnd"/>
      <w:r w:rsidRPr="009E1955">
        <w:t>;</w:t>
      </w:r>
    </w:p>
    <w:p w:rsidR="009271BE" w:rsidRPr="009E1955" w:rsidRDefault="009271BE" w:rsidP="009271BE">
      <w:pPr>
        <w:pStyle w:val="NormalHanging12a"/>
      </w:pPr>
      <w:r w:rsidRPr="009E1955">
        <w:t>12.</w:t>
      </w:r>
      <w:r w:rsidRPr="009E1955">
        <w:tab/>
      </w:r>
      <w:proofErr w:type="gramStart"/>
      <w:r w:rsidRPr="009E1955">
        <w:t>przypomina</w:t>
      </w:r>
      <w:proofErr w:type="gramEnd"/>
      <w:r w:rsidRPr="009E1955">
        <w:t>, jak ważna jest poprawa cyfryzacji Agencji pod względem wewnętrznego funkcjonowania i zarządzania, lecz także w celu przyspieszenia cyfryzacji procedur; podkreśla, że Agencja musi nadal aktywnie działać w tym zakresie, aby uniknąć przepaści cyfrowej między agencjami;</w:t>
      </w:r>
    </w:p>
    <w:p w:rsidR="009271BE" w:rsidRPr="009E1955" w:rsidRDefault="009271BE" w:rsidP="009271BE">
      <w:pPr>
        <w:pStyle w:val="Normal12Hanging"/>
        <w:rPr>
          <w:b/>
          <w:i/>
          <w:szCs w:val="24"/>
        </w:rPr>
      </w:pPr>
      <w:r w:rsidRPr="009E1955">
        <w:rPr>
          <w:b/>
          <w:i/>
        </w:rPr>
        <w:t>Polityka kadrowa</w:t>
      </w:r>
    </w:p>
    <w:p w:rsidR="009271BE" w:rsidRPr="009E1955" w:rsidRDefault="009271BE" w:rsidP="009271BE">
      <w:pPr>
        <w:pStyle w:val="Normal12Hanging"/>
        <w:rPr>
          <w:szCs w:val="24"/>
        </w:rPr>
      </w:pPr>
      <w:r w:rsidRPr="009E1955">
        <w:t>13.</w:t>
      </w:r>
      <w:r w:rsidRPr="009E1955">
        <w:tab/>
      </w:r>
      <w:proofErr w:type="gramStart"/>
      <w:r w:rsidRPr="009E1955">
        <w:t>zauważa</w:t>
      </w:r>
      <w:proofErr w:type="gramEnd"/>
      <w:r w:rsidRPr="009E1955">
        <w:t>, że na 31 grudnia 2022 r. plan zatrudnienia wdrożono w 89,02 % – na czas określony zatrudniono 73 z 82 pracowników, na których pozwalały środki z budżetu Unii (w porównaniu z 76 stanowiskami zatwierdzonymi w 2021 r.); zauważa ponadto, że w 2022 r. dla Agencji pracowało 27 pracowników kontraktowych, 10 oddelegowanych ekspertów krajowych, 10 pracowników tymczasowych i 16 wykonawców;</w:t>
      </w:r>
    </w:p>
    <w:p w:rsidR="009271BE" w:rsidRPr="009E1955" w:rsidRDefault="009271BE" w:rsidP="009271BE">
      <w:pPr>
        <w:spacing w:after="240"/>
        <w:ind w:left="567" w:hanging="567"/>
        <w:rPr>
          <w:szCs w:val="24"/>
        </w:rPr>
      </w:pPr>
      <w:r w:rsidRPr="009E1955">
        <w:t>14.</w:t>
      </w:r>
      <w:r w:rsidRPr="009E1955">
        <w:tab/>
      </w:r>
      <w:proofErr w:type="gramStart"/>
      <w:r w:rsidRPr="009E1955">
        <w:t>z</w:t>
      </w:r>
      <w:proofErr w:type="gramEnd"/>
      <w:r w:rsidRPr="009E1955">
        <w:t xml:space="preserve"> zaniepokojeniem odnotowuje brak równowagi płci wśród kadry kierowniczej wyższego i średniego szczebla Agencji, gdzie 12 z 17 osób to mężczyźni (71 %); uważa, że należy poprawić równowagę płci wśród kadry kierowniczej wyższego i średniego szczebla Agencji; przypomina, jak ważne jest zapewnienie równowagi płci, i wzywa Agencję do uwzględnienia tego aspektu podczas przyszłych nominacji na stanowiska kadry kierowniczej wyższego i średniego szczebla; odnotowuje rozkład płci wśród członków zarządu Agencji i zwraca uwagę, że 41 z 55 osób (75 %) to mężczyźni; przyznaje, że skład zarządu zależy w dużej mierze od nominacji państw członkowskich; domaga się od Komisji i państw członkowskich, aby podczas mianowania kandydatów na członków zarządu Agencji </w:t>
      </w:r>
      <w:proofErr w:type="gramStart"/>
      <w:r w:rsidRPr="009E1955">
        <w:t>uwzględniały</w:t>
      </w:r>
      <w:proofErr w:type="gramEnd"/>
      <w:r w:rsidRPr="009E1955">
        <w:t xml:space="preserve"> znaczenie, jakie ma zapewnienie równowagi płci; odnotowuje zrównoważony podział stanowisk według płci wśród ogółu pracowników Agencji: 57 mężczyzn (52 %) i 53 kobiety (48 %); odnotowuje kroki podjęte przez Agencję, by rozwiązać problemy związane z równowagą płci, które to kroki obejmują przegląd jej polityki rekrutacyjnej w taki sposób, aby zachęcić do kandydowania kobiety; zauważa ponadto, że w swojej strategii korporacyjnej Agencja przewiduje, że do końca 2025 r. uzyska certyfikat doskonałości sieci agencji UE w zakresie różnorodności i </w:t>
      </w:r>
      <w:proofErr w:type="spellStart"/>
      <w:r w:rsidRPr="009E1955">
        <w:t>inkluzywności</w:t>
      </w:r>
      <w:proofErr w:type="spellEnd"/>
      <w:r w:rsidRPr="009E1955">
        <w:t>;</w:t>
      </w:r>
    </w:p>
    <w:p w:rsidR="009271BE" w:rsidRPr="009E1955" w:rsidRDefault="009271BE" w:rsidP="009271BE">
      <w:pPr>
        <w:pStyle w:val="NormalHanging12a"/>
      </w:pPr>
      <w:r w:rsidRPr="009E1955">
        <w:t>15.</w:t>
      </w:r>
      <w:r w:rsidRPr="009E1955">
        <w:tab/>
      </w:r>
      <w:proofErr w:type="gramStart"/>
      <w:r w:rsidRPr="009E1955">
        <w:t>zauważa</w:t>
      </w:r>
      <w:proofErr w:type="gramEnd"/>
      <w:r w:rsidRPr="009E1955">
        <w:t>, że Agencja prowadzi politykę ochrony godności osoby i zapobiegania nękaniu psychicznemu i molestowaniu seksualnemu, a wraz z innymi agencjami tworzy zespół zadaniowy złożony z zaufanych doradców; oczekuje na ich sprawozdanie i zalecenia; zauważa, że w 2022 r. nie zgłoszono żadnych przypadków molestowania ani nękania, i zachęca Agencję do kontynuowania i rozwijania prac mających na celu zapobieganie tym zjawiskom również w przyszłości;</w:t>
      </w:r>
    </w:p>
    <w:p w:rsidR="009271BE" w:rsidRPr="009E1955" w:rsidRDefault="009271BE" w:rsidP="009271BE">
      <w:pPr>
        <w:pStyle w:val="NormalHanging12a"/>
      </w:pPr>
      <w:r w:rsidRPr="009E1955">
        <w:t>16.</w:t>
      </w:r>
      <w:r w:rsidRPr="009E1955">
        <w:tab/>
      </w:r>
      <w:proofErr w:type="gramStart"/>
      <w:r w:rsidRPr="009E1955">
        <w:t>wyraża</w:t>
      </w:r>
      <w:proofErr w:type="gramEnd"/>
      <w:r w:rsidRPr="009E1955">
        <w:t xml:space="preserve"> zaniepokojenie brakiem równowagi geograficznej wśród kadry kierowniczej wyższego i średniego szczebla oraz wśród innych pracowników Agencji, w której 40,9 % zatrudnionych stanowią obywatele Grecji; nalega na wprowadzenie usprawnień; zwraca się do Agencji o przedstawienie organowi udzielającemu absolutorium sprawozdania na ten temat;</w:t>
      </w:r>
    </w:p>
    <w:p w:rsidR="009271BE" w:rsidRPr="009E1955" w:rsidRDefault="009271BE" w:rsidP="009271BE">
      <w:pPr>
        <w:spacing w:after="240"/>
        <w:ind w:left="567" w:hanging="567"/>
        <w:rPr>
          <w:szCs w:val="24"/>
        </w:rPr>
      </w:pPr>
      <w:r w:rsidRPr="009E1955">
        <w:t>17.</w:t>
      </w:r>
      <w:r w:rsidRPr="009E1955">
        <w:tab/>
      </w:r>
      <w:proofErr w:type="gramStart"/>
      <w:r w:rsidRPr="009E1955">
        <w:t>zauważa</w:t>
      </w:r>
      <w:proofErr w:type="gramEnd"/>
      <w:r w:rsidRPr="009E1955">
        <w:t xml:space="preserve"> z zaniepokojeniem, że podczas opracowywania programu prac na 2023 r. Agencja zidentyfikowała niedobór zasobów w wysokości 734 000 EUR i dwa EPC w operacjach oraz 2,5 mln EUR w obsłudze administracyjnej; zauważa ponadto, że </w:t>
      </w:r>
      <w:r w:rsidRPr="009E1955">
        <w:lastRenderedPageBreak/>
        <w:t>szczegółowa ocena potrzeb w zakresie zasobów ludzkich na lata 2023–2025 ujawniła znaczną lukę; zwłaszcza w zakresie krytycznych obszarów działań i bez dodatkowych stanowisk Agencja może być zmuszona do priorytetowego traktowania i dostosowania przyszłych programów prac, aby zrekompensować niedobór zasobów; zauważa, że zarząd Agencji wyraził również potrzebę, by zwiększyć liczbę stanowisk kadrowych, aby Agencja mogła w pełni wykonywać swój mandat w zrównoważony sposób;</w:t>
      </w:r>
    </w:p>
    <w:p w:rsidR="009271BE" w:rsidRPr="009E1955" w:rsidRDefault="009271BE" w:rsidP="009271BE">
      <w:pPr>
        <w:pStyle w:val="Normal12Hanging"/>
        <w:rPr>
          <w:szCs w:val="24"/>
        </w:rPr>
      </w:pPr>
      <w:r w:rsidRPr="009E1955">
        <w:t>18.</w:t>
      </w:r>
      <w:r w:rsidRPr="009E1955">
        <w:tab/>
      </w:r>
      <w:proofErr w:type="gramStart"/>
      <w:r w:rsidRPr="009E1955">
        <w:t>z</w:t>
      </w:r>
      <w:proofErr w:type="gramEnd"/>
      <w:r w:rsidRPr="009E1955">
        <w:t xml:space="preserve"> zadowoleniem przyjmuje wysiłki Agencji na rzecz integracji osób z niepełnosprawnościami przez zapewnienie dostępnej infrastruktury i usług wsparcia;</w:t>
      </w:r>
    </w:p>
    <w:p w:rsidR="009271BE" w:rsidRPr="009E1955" w:rsidRDefault="009271BE" w:rsidP="009271BE">
      <w:pPr>
        <w:pStyle w:val="Normal12Hanging"/>
        <w:rPr>
          <w:szCs w:val="24"/>
        </w:rPr>
      </w:pPr>
      <w:r w:rsidRPr="009E1955">
        <w:t>19.</w:t>
      </w:r>
      <w:r w:rsidRPr="009E1955">
        <w:tab/>
      </w:r>
      <w:proofErr w:type="gramStart"/>
      <w:r w:rsidRPr="009E1955">
        <w:t>zauważa</w:t>
      </w:r>
      <w:proofErr w:type="gramEnd"/>
      <w:r w:rsidRPr="009E1955">
        <w:t xml:space="preserve">, że w 2022 r. Agencja kontynuowała wsparcie uzupełniające dla pracowników w postaci bonów, zwrotu kosztów </w:t>
      </w:r>
      <w:proofErr w:type="spellStart"/>
      <w:r w:rsidRPr="009E1955">
        <w:t>internetu</w:t>
      </w:r>
      <w:proofErr w:type="spellEnd"/>
      <w:r w:rsidRPr="009E1955">
        <w:t xml:space="preserve"> i programu </w:t>
      </w:r>
      <w:proofErr w:type="spellStart"/>
      <w:r w:rsidRPr="009E1955">
        <w:t>fit@work</w:t>
      </w:r>
      <w:proofErr w:type="spellEnd"/>
      <w:r w:rsidRPr="009E1955">
        <w:t xml:space="preserve"> oraz opracowała kodeks postępowania, w którym przedstawiła oczekiwania Agencji dotyczące zachowania i postępowania pracowników;</w:t>
      </w:r>
    </w:p>
    <w:p w:rsidR="009271BE" w:rsidRPr="009E1955" w:rsidRDefault="009271BE" w:rsidP="009271BE">
      <w:pPr>
        <w:pStyle w:val="NormalHanging12a"/>
        <w:rPr>
          <w:b/>
          <w:i/>
          <w:szCs w:val="24"/>
        </w:rPr>
      </w:pPr>
      <w:r w:rsidRPr="009E1955">
        <w:rPr>
          <w:b/>
          <w:i/>
        </w:rPr>
        <w:t>Zamówienia publiczne</w:t>
      </w:r>
    </w:p>
    <w:p w:rsidR="009271BE" w:rsidRPr="009E1955" w:rsidRDefault="009271BE" w:rsidP="009271BE">
      <w:pPr>
        <w:pStyle w:val="NormalHanging12a"/>
        <w:rPr>
          <w:szCs w:val="24"/>
        </w:rPr>
      </w:pPr>
      <w:r w:rsidRPr="009E1955">
        <w:t>20.</w:t>
      </w:r>
      <w:r w:rsidRPr="009E1955">
        <w:tab/>
      </w:r>
      <w:proofErr w:type="gramStart"/>
      <w:r w:rsidRPr="009E1955">
        <w:t>zauważa</w:t>
      </w:r>
      <w:proofErr w:type="gramEnd"/>
      <w:r w:rsidRPr="009E1955">
        <w:t xml:space="preserve"> z zaniepokojeniem, że Trybunał wykrył dwa przypadki, w których Agencja udzieliła zamówień o niskiej wartości (poniżej 15 000 EUR) i nie wydała sprawozdania z oceny ani decyzji o udzieleniu zamówienia należycie zatwierdzonej i podpisanej przez urzędnika zatwierdzającego, co narusza pkt 30.3 i 30.4 </w:t>
      </w:r>
      <w:proofErr w:type="gramStart"/>
      <w:r w:rsidRPr="009E1955">
        <w:t>załącznika</w:t>
      </w:r>
      <w:proofErr w:type="gramEnd"/>
      <w:r w:rsidRPr="009E1955">
        <w:t xml:space="preserve"> I do rozporządzenia finansowego; przypomina w związku z tym, że Trybunał przedstawił podobną uwagę w swoim sprawozdaniu za 2021 r., a w odpowiedzi Agencja stwierdziła, że podjęła już niezbędne kroki, by rozwiązać ten problem; podkreśla, jak ważne są procedury wykonawcze, by zapewnić pełną zgodność z rozporządzeniem finansowym; wzywa Agencję, by zajęła się kwestiami poruszonymi przez Trybunał i poinformowała organ udzielający absolutorium o rozwoju sytuacji w tym względzie;</w:t>
      </w:r>
    </w:p>
    <w:p w:rsidR="009271BE" w:rsidRPr="009E1955" w:rsidRDefault="009271BE" w:rsidP="009271BE">
      <w:pPr>
        <w:pStyle w:val="NormalHanging12a"/>
        <w:rPr>
          <w:szCs w:val="24"/>
        </w:rPr>
      </w:pPr>
      <w:r w:rsidRPr="009E1955">
        <w:t>21.</w:t>
      </w:r>
      <w:r w:rsidRPr="009E1955">
        <w:tab/>
      </w:r>
      <w:proofErr w:type="gramStart"/>
      <w:r w:rsidRPr="009E1955">
        <w:t>zauważa</w:t>
      </w:r>
      <w:proofErr w:type="gramEnd"/>
      <w:r w:rsidRPr="009E1955">
        <w:t>, że według Trybunału w 2022 r. Agencja zaoferowała swoim kierownikom profesjonalną ocenę przeprowadzoną przez zewnętrznego dostawcę wyznaczonego przez Agencję; zauważa, że w trzech przypadkach Agencja zapłaciła dostawcy usług bezpośrednio za te usługi, natomiast w pozostałych 23 zwróciła koszty kierownikom, którzy sami opłacili usługę; zauważa, że łącznie za 26 przeprowadzonych ocen Agencja zapłaciła 120 276 EUR; ubolewa, że Agencja wybrała tego wykonawcę bez otwartej procedury przetargowej, w związku z czym Trybunał stwierdził, że płatności te były nieprawidłowe; wzywa Agencję, by zajęła się kwestiami poruszonymi przez Trybunał i poinformowała organ udzielający absolutorium o działaniach podjętych w tej sprawie;</w:t>
      </w:r>
    </w:p>
    <w:p w:rsidR="009271BE" w:rsidRPr="009E1955" w:rsidRDefault="009271BE" w:rsidP="009271BE">
      <w:pPr>
        <w:pStyle w:val="NormalHanging12a"/>
        <w:rPr>
          <w:szCs w:val="24"/>
        </w:rPr>
      </w:pPr>
      <w:r w:rsidRPr="009E1955">
        <w:t>22.</w:t>
      </w:r>
      <w:r w:rsidRPr="009E1955">
        <w:tab/>
      </w:r>
      <w:proofErr w:type="gramStart"/>
      <w:r w:rsidRPr="009E1955">
        <w:t>nalega</w:t>
      </w:r>
      <w:proofErr w:type="gramEnd"/>
      <w:r w:rsidRPr="009E1955">
        <w:t>, by przepisy dotyczące zamówień publicznych umożliwiały instytucjom zamawiającym zakup koniecznych towarów i usług po najlepszej cenie, a jednocześnie zapewniały uczciwą konkurencję między oferentami i poszanowanie zasad przejrzystości, proporcjonalności, równego traktowania i niedyskryminacji; wzywa Agencję do dalszej poprawy procedur udzielania zamówień, tak aby zapewnić pełną zgodność z obowiązującymi przepisami i zagwarantować, że będą wybierane oferty o najlepszym stosunku wartości do ceny;</w:t>
      </w:r>
    </w:p>
    <w:p w:rsidR="009271BE" w:rsidRPr="009E1955" w:rsidRDefault="009271BE" w:rsidP="009271BE">
      <w:pPr>
        <w:pStyle w:val="NormalHanging12a"/>
        <w:rPr>
          <w:szCs w:val="24"/>
        </w:rPr>
      </w:pPr>
      <w:r w:rsidRPr="009E1955">
        <w:rPr>
          <w:b/>
          <w:i/>
        </w:rPr>
        <w:t>Zapobieganie konfliktom interesów i zarządzanie nimi oraz przejrzystość</w:t>
      </w:r>
    </w:p>
    <w:p w:rsidR="009271BE" w:rsidRPr="009E1955" w:rsidRDefault="009271BE" w:rsidP="009271BE">
      <w:pPr>
        <w:pStyle w:val="NormalHanging12a"/>
        <w:rPr>
          <w:szCs w:val="24"/>
        </w:rPr>
      </w:pPr>
      <w:r w:rsidRPr="009E1955">
        <w:t>23.</w:t>
      </w:r>
      <w:r w:rsidRPr="009E1955">
        <w:tab/>
      </w:r>
      <w:proofErr w:type="gramStart"/>
      <w:r w:rsidRPr="009E1955">
        <w:t>odnotowuje</w:t>
      </w:r>
      <w:proofErr w:type="gramEnd"/>
      <w:r w:rsidRPr="009E1955">
        <w:t xml:space="preserve"> istniejące środki i obecne starania Agencji, by zapewnić przejrzystość, zapobiegać konfliktom interesów i zarządzać nimi, oraz zwraca uwagę, że życiorysy członków zarządu, ich deklaracje finansowe i deklaracje o braku konfliktu interesów </w:t>
      </w:r>
      <w:r w:rsidRPr="009E1955">
        <w:lastRenderedPageBreak/>
        <w:t>publikuje się na stronie internetowej Agencji, choć brakuje niektórych z nich;</w:t>
      </w:r>
    </w:p>
    <w:p w:rsidR="009271BE" w:rsidRPr="009E1955" w:rsidRDefault="009271BE" w:rsidP="009271BE">
      <w:pPr>
        <w:pStyle w:val="NormalHanging12a"/>
        <w:rPr>
          <w:szCs w:val="24"/>
        </w:rPr>
      </w:pPr>
      <w:r w:rsidRPr="009E1955">
        <w:t>24.</w:t>
      </w:r>
      <w:r w:rsidRPr="009E1955">
        <w:tab/>
      </w:r>
      <w:proofErr w:type="gramStart"/>
      <w:r w:rsidRPr="009E1955">
        <w:t>zauważa</w:t>
      </w:r>
      <w:proofErr w:type="gramEnd"/>
      <w:r w:rsidRPr="009E1955">
        <w:t>, że w 2022 r. Agencja nie zgłosiła żadnych przypadków konfliktu interesów; odnotowuje ponadto, że Agencja przyjęła decyzję zarządu nr 15/2021 w sprawie zapobiegania konfliktom interesów oraz aktualizację wzorów oświadczeń; podkreśla, że należy wprowadzić procedury monitorowania zgodności z przepisami dotyczącymi efektu drzwi obrotowych oraz aktywnego monitorowania działalności zawodowej pracowników wyższego szczebla (m.in. tych, którzy opuścili agencję w ciągu ostatnich dwóch lat), aby móc wykrywać niezgłoszone przypadki efektu drzwi obrotowych;</w:t>
      </w:r>
    </w:p>
    <w:p w:rsidR="009271BE" w:rsidRPr="009E1955" w:rsidRDefault="009271BE" w:rsidP="009271BE">
      <w:pPr>
        <w:pStyle w:val="NormalHanging12a"/>
        <w:rPr>
          <w:szCs w:val="24"/>
        </w:rPr>
      </w:pPr>
      <w:r w:rsidRPr="009E1955">
        <w:t>25.</w:t>
      </w:r>
      <w:r w:rsidRPr="009E1955">
        <w:tab/>
      </w:r>
      <w:proofErr w:type="gramStart"/>
      <w:r w:rsidRPr="009E1955">
        <w:t>odnotowuje</w:t>
      </w:r>
      <w:proofErr w:type="gramEnd"/>
      <w:r w:rsidRPr="009E1955">
        <w:t>, że kalendarz spotkań zarządu Agencji z zewnętrznymi zainteresowanymi stronami jest publicznie dostępny na jej stronie internetowej;</w:t>
      </w:r>
    </w:p>
    <w:p w:rsidR="009271BE" w:rsidRPr="009E1955" w:rsidRDefault="009271BE" w:rsidP="009271BE">
      <w:pPr>
        <w:pStyle w:val="NormalHanging12a"/>
      </w:pPr>
      <w:r w:rsidRPr="009E1955">
        <w:t>26.</w:t>
      </w:r>
      <w:r w:rsidRPr="009E1955">
        <w:tab/>
      </w:r>
      <w:proofErr w:type="gramStart"/>
      <w:r w:rsidRPr="009E1955">
        <w:t>przypomina</w:t>
      </w:r>
      <w:proofErr w:type="gramEnd"/>
      <w:r w:rsidRPr="009E1955">
        <w:t xml:space="preserve"> o znaczeniu, jakie dla poznania prac Agencji przez obywateli ma zwiększenie widoczności jej działań w mediach, </w:t>
      </w:r>
      <w:proofErr w:type="spellStart"/>
      <w:r w:rsidRPr="009E1955">
        <w:t>internecie</w:t>
      </w:r>
      <w:proofErr w:type="spellEnd"/>
      <w:r w:rsidRPr="009E1955">
        <w:t xml:space="preserve"> i mediach społecznościowych;</w:t>
      </w:r>
    </w:p>
    <w:p w:rsidR="009271BE" w:rsidRPr="009E1955" w:rsidRDefault="009271BE" w:rsidP="009271BE">
      <w:pPr>
        <w:pStyle w:val="Normal12Hanging"/>
        <w:rPr>
          <w:b/>
          <w:i/>
          <w:szCs w:val="24"/>
        </w:rPr>
      </w:pPr>
      <w:r w:rsidRPr="009E1955">
        <w:rPr>
          <w:b/>
          <w:i/>
        </w:rPr>
        <w:t>Kontrola wewnętrzna</w:t>
      </w:r>
    </w:p>
    <w:p w:rsidR="009271BE" w:rsidRPr="009E1955" w:rsidRDefault="009271BE" w:rsidP="009271BE">
      <w:pPr>
        <w:pStyle w:val="Normal12Hanging"/>
      </w:pPr>
      <w:r w:rsidRPr="009E1955">
        <w:t>27.</w:t>
      </w:r>
      <w:r w:rsidRPr="009E1955">
        <w:tab/>
      </w:r>
      <w:proofErr w:type="gramStart"/>
      <w:r w:rsidRPr="009E1955">
        <w:t>zauważa</w:t>
      </w:r>
      <w:proofErr w:type="gramEnd"/>
      <w:r w:rsidRPr="009E1955">
        <w:t>, że w 2021 r. Służba Audytu Wewnętrznego przeprowadziła audyt programowania planowania strategicznego i zarządzania wynikami, a w kwietniu 2022 r. wydała końcowe sprawozdanie z audytu wraz z trzema ważnymi zaleceniami; odnotowuje ponadto, że Agencja zgodziła się z uwagami z audytu i podjęła niezbędne kroki, by rozwiązać te problemy;</w:t>
      </w:r>
    </w:p>
    <w:p w:rsidR="009271BE" w:rsidRPr="009E1955" w:rsidRDefault="009271BE" w:rsidP="009271BE">
      <w:pPr>
        <w:pStyle w:val="Normal12Hanging"/>
      </w:pPr>
      <w:r w:rsidRPr="009E1955">
        <w:t>28.</w:t>
      </w:r>
      <w:r w:rsidRPr="009E1955">
        <w:tab/>
      </w:r>
      <w:proofErr w:type="gramStart"/>
      <w:r w:rsidRPr="009E1955">
        <w:t>zauważa</w:t>
      </w:r>
      <w:proofErr w:type="gramEnd"/>
      <w:r w:rsidRPr="009E1955">
        <w:t>, że zdaniem Trybunału Agencja nie stworzyła żadnej modelowej oceny (tj. wytycznych), która ułatwiłaby komisji oceniającej ocenę otrzymanych ofert; zwraca uwagę, że wiąże się to z ryzykiem, że oferty nie będą oceniane w sposób spójny przez poszczególnych członków komisji oceniającej; wzywa Agencję, by zajęła się tą kwestią poruszoną przez Trybunał i poinformowała o tym organ udzielający absolutorium;</w:t>
      </w:r>
    </w:p>
    <w:p w:rsidR="009271BE" w:rsidRPr="009E1955" w:rsidRDefault="009271BE" w:rsidP="009271BE">
      <w:pPr>
        <w:pStyle w:val="Normal12Hanging"/>
      </w:pPr>
      <w:r w:rsidRPr="009E1955">
        <w:t>29.</w:t>
      </w:r>
      <w:r w:rsidRPr="009E1955">
        <w:tab/>
      </w:r>
      <w:proofErr w:type="gramStart"/>
      <w:r w:rsidRPr="009E1955">
        <w:t>zauważa</w:t>
      </w:r>
      <w:proofErr w:type="gramEnd"/>
      <w:r w:rsidRPr="009E1955">
        <w:t>, że w 2022 r. Agencja przeprowadziła kontrole ex post dotyczące transakcji finansowych przeprowadzonych w roku budżetowym 2021 zgodnie z art. 45 ust. 8 i 9 rozporządzenia delegowanego Komisji (UE) 2019/715</w:t>
      </w:r>
      <w:r w:rsidRPr="009E1955">
        <w:rPr>
          <w:rStyle w:val="FootnoteReference"/>
        </w:rPr>
        <w:footnoteReference w:id="13"/>
      </w:r>
      <w:r w:rsidRPr="009E1955">
        <w:t>; zwraca uwagę na fakt, że zidentyfikowano trzy niedociągnięcia, co doprowadziło do wydania trzech zaleceń dotyczących transakcji finansowych, z których żadnego nie uznano za krytyczne; zauważa, że aby zaradzić głównym niedociągnięciom, w 2022 r. wprowadzono cotygodniowe monitorowanie czasu oczekiwania na płatności, aby ostrzegać odpowiedni personel finansowy przed pilnymi transakcjami oczekującymi na przetworzenie i zapewnić zgodność z ramami prawnymi dotyczącymi terminów płatności;</w:t>
      </w:r>
    </w:p>
    <w:p w:rsidR="009271BE" w:rsidRPr="009E1955" w:rsidRDefault="009271BE" w:rsidP="009271BE">
      <w:pPr>
        <w:pStyle w:val="Normal12Hanging"/>
      </w:pPr>
      <w:r w:rsidRPr="009E1955">
        <w:t>30.</w:t>
      </w:r>
      <w:r w:rsidRPr="009E1955">
        <w:tab/>
      </w:r>
      <w:proofErr w:type="gramStart"/>
      <w:r w:rsidRPr="009E1955">
        <w:t>zauważa</w:t>
      </w:r>
      <w:proofErr w:type="gramEnd"/>
      <w:r w:rsidRPr="009E1955">
        <w:t xml:space="preserve">, że w 2022 r. ocena skuteczności systemów kontroli wewnętrznej Agencji opierała się na wskaźnikach ram, a także na dodatkowych informacjach z konkretnych sprawozdań z oceny (ryzyka), ustaleń z audytu i innych istotnych źródeł; zauważa, że ocena kontroli wewnętrznych Agencji wskazuje na wystarczającą pewność co do </w:t>
      </w:r>
      <w:r w:rsidRPr="009E1955">
        <w:lastRenderedPageBreak/>
        <w:t>ułatwienia skutecznych i wydajnych działań, zapewnienia wysokiej jakości sprawozdawczości i zgodności z przepisami, ale konieczne są pewne usprawnienia niektórych zasad, co zwiększy skuteczność i zapewni prawidłowe kontrole wewnętrzne; wzywa Agencję, by poinformowała organ udzielający absolutorium o działaniach następczych w związku z oceną tych usprawnień;</w:t>
      </w:r>
    </w:p>
    <w:p w:rsidR="009271BE" w:rsidRPr="009E1955" w:rsidRDefault="009271BE" w:rsidP="009271BE">
      <w:pPr>
        <w:pStyle w:val="Normal12Hanging"/>
        <w:rPr>
          <w:b/>
          <w:i/>
          <w:color w:val="000000"/>
        </w:rPr>
      </w:pPr>
      <w:r w:rsidRPr="009E1955">
        <w:rPr>
          <w:b/>
          <w:i/>
          <w:color w:val="000000"/>
        </w:rPr>
        <w:t>Inne uwagi</w:t>
      </w:r>
    </w:p>
    <w:p w:rsidR="009271BE" w:rsidRPr="009E1955" w:rsidRDefault="009271BE" w:rsidP="009271BE">
      <w:pPr>
        <w:pStyle w:val="NormalHanging12a"/>
        <w:rPr>
          <w:szCs w:val="24"/>
        </w:rPr>
      </w:pPr>
      <w:r w:rsidRPr="009E1955">
        <w:t>31.</w:t>
      </w:r>
      <w:r w:rsidRPr="009E1955">
        <w:tab/>
      </w:r>
      <w:proofErr w:type="gramStart"/>
      <w:r w:rsidRPr="009E1955">
        <w:t>zauważa</w:t>
      </w:r>
      <w:proofErr w:type="gramEnd"/>
      <w:r w:rsidRPr="009E1955">
        <w:t xml:space="preserve">, że Agencja wdrożyła istotne środki mające zwiększyć ochronę </w:t>
      </w:r>
      <w:proofErr w:type="spellStart"/>
      <w:r w:rsidRPr="009E1955">
        <w:t>cyberbezpieczeństwa</w:t>
      </w:r>
      <w:proofErr w:type="spellEnd"/>
      <w:r w:rsidRPr="009E1955">
        <w:t xml:space="preserve"> takie jak bezpieczne rozwiązanie dotyczące poczty elektronicznej (SECEM2), ćwiczenia „red team” oraz dalsze usprawnienia, wzmacnianie i likwidacja dotychczasowych systemów, aktualizacja ram wewnętrznej polityki </w:t>
      </w:r>
      <w:proofErr w:type="spellStart"/>
      <w:r w:rsidRPr="009E1955">
        <w:t>cyberbezpieczeństwa</w:t>
      </w:r>
      <w:proofErr w:type="spellEnd"/>
      <w:r w:rsidRPr="009E1955">
        <w:t>;</w:t>
      </w:r>
    </w:p>
    <w:p w:rsidR="009271BE" w:rsidRPr="009E1955" w:rsidRDefault="009271BE" w:rsidP="009271BE">
      <w:pPr>
        <w:pStyle w:val="NormalHanging12a"/>
      </w:pPr>
      <w:r w:rsidRPr="009E1955">
        <w:t>32.</w:t>
      </w:r>
      <w:r w:rsidRPr="009E1955">
        <w:tab/>
      </w:r>
      <w:proofErr w:type="gramStart"/>
      <w:r w:rsidRPr="009E1955">
        <w:t>z</w:t>
      </w:r>
      <w:proofErr w:type="gramEnd"/>
      <w:r w:rsidRPr="009E1955">
        <w:t xml:space="preserve"> zadowoleniem przyjmuje fakt, że zarząd Agencji dodał do jej jednolitego dokumentu programowego na lata 2022–2024 cel osiągnięcia przez Agencję neutralności klimatycznej we wszystkich jej działaniach do 2030 r.; zauważa, że wraz z przyjęciem strategii korporacyjnej Agencji certyfikacja EMAS i zielone zamówienia publiczne są kluczowymi celami Agencji; zauważa, że proces certyfikacji ma zakończyć się w 2024 r.;</w:t>
      </w:r>
    </w:p>
    <w:p w:rsidR="009271BE" w:rsidRPr="009E1955" w:rsidRDefault="009271BE" w:rsidP="009271BE">
      <w:pPr>
        <w:pStyle w:val="NormalCenter12a"/>
      </w:pPr>
      <w:r w:rsidRPr="009E1955">
        <w:t>°</w:t>
      </w:r>
    </w:p>
    <w:p w:rsidR="009271BE" w:rsidRPr="009E1955" w:rsidRDefault="009271BE" w:rsidP="009271BE">
      <w:pPr>
        <w:pStyle w:val="NormalCenter12a"/>
      </w:pPr>
      <w:r w:rsidRPr="009E1955">
        <w:t>°</w:t>
      </w:r>
      <w:r w:rsidRPr="009E1955">
        <w:tab/>
        <w:t>°</w:t>
      </w:r>
    </w:p>
    <w:p w:rsidR="009271BE" w:rsidRPr="009E1955" w:rsidRDefault="009271BE" w:rsidP="009271BE">
      <w:pPr>
        <w:pStyle w:val="NormalHanging12a"/>
      </w:pPr>
      <w:r w:rsidRPr="009E1955">
        <w:t>33.</w:t>
      </w:r>
      <w:r w:rsidRPr="009E1955">
        <w:tab/>
      </w:r>
      <w:proofErr w:type="gramStart"/>
      <w:r w:rsidRPr="009E1955">
        <w:t>w</w:t>
      </w:r>
      <w:proofErr w:type="gramEnd"/>
      <w:r w:rsidRPr="009E1955">
        <w:t xml:space="preserve"> odniesieniu do innych uwag towarzyszących decyzji w sprawie absolutorium, które mają charakter przekrojowy, odsy</w:t>
      </w:r>
      <w:r w:rsidR="005B37DE">
        <w:t>ła do swojej rezolucji z dnia 11 kwietnia 2024 r.</w:t>
      </w:r>
      <w:r w:rsidRPr="009E1955">
        <w:rPr>
          <w:vertAlign w:val="superscript"/>
        </w:rPr>
        <w:footnoteReference w:id="14"/>
      </w:r>
      <w:r w:rsidRPr="009E1955">
        <w:t xml:space="preserve"> w sprawie wyników, zarządzania finansami i kontroli agencji.</w:t>
      </w:r>
    </w:p>
    <w:p w:rsidR="00E365E1" w:rsidRPr="009E1955" w:rsidRDefault="00E365E1" w:rsidP="00A1628E">
      <w:bookmarkStart w:id="10" w:name="TextBodyEnd"/>
      <w:bookmarkEnd w:id="10"/>
    </w:p>
    <w:sectPr w:rsidR="00E365E1" w:rsidRPr="009E1955" w:rsidSect="009E195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28E" w:rsidRPr="009E1955" w:rsidRDefault="00A1628E">
      <w:r w:rsidRPr="009E1955">
        <w:separator/>
      </w:r>
    </w:p>
  </w:endnote>
  <w:endnote w:type="continuationSeparator" w:id="0">
    <w:p w:rsidR="00A1628E" w:rsidRPr="009E1955" w:rsidRDefault="00A1628E">
      <w:r w:rsidRPr="009E19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1BE" w:rsidRPr="009E1955" w:rsidRDefault="009271BE" w:rsidP="0037429E">
    <w:pPr>
      <w:pStyle w:val="EPFooter"/>
    </w:pPr>
    <w:r w:rsidRPr="009E1955">
      <w:t>PE</w:t>
    </w:r>
    <w:r w:rsidRPr="009E1955">
      <w:rPr>
        <w:rStyle w:val="HideTWBExt"/>
      </w:rPr>
      <w:t>&lt;</w:t>
    </w:r>
    <w:proofErr w:type="spellStart"/>
    <w:r w:rsidRPr="009E1955">
      <w:rPr>
        <w:rStyle w:val="HideTWBExt"/>
      </w:rPr>
      <w:t>NoPE</w:t>
    </w:r>
    <w:proofErr w:type="spellEnd"/>
    <w:r w:rsidRPr="009E1955">
      <w:rPr>
        <w:rStyle w:val="HideTWBExt"/>
      </w:rPr>
      <w:t>&gt;</w:t>
    </w:r>
    <w:r w:rsidRPr="009E1955">
      <w:t>753.527</w:t>
    </w:r>
    <w:r w:rsidRPr="009E1955">
      <w:rPr>
        <w:rStyle w:val="HideTWBExt"/>
      </w:rPr>
      <w:t>&lt;/</w:t>
    </w:r>
    <w:proofErr w:type="spellStart"/>
    <w:r w:rsidRPr="009E1955">
      <w:rPr>
        <w:rStyle w:val="HideTWBExt"/>
      </w:rPr>
      <w:t>NoPE</w:t>
    </w:r>
    <w:proofErr w:type="spellEnd"/>
    <w:r w:rsidRPr="009E1955">
      <w:rPr>
        <w:rStyle w:val="HideTWBExt"/>
      </w:rPr>
      <w:t>&gt;&lt;Version&gt;</w:t>
    </w:r>
    <w:r w:rsidRPr="009E1955">
      <w:t>v02-00</w:t>
    </w:r>
    <w:r w:rsidRPr="009E1955">
      <w:rPr>
        <w:rStyle w:val="HideTWBExt"/>
      </w:rPr>
      <w:t>&lt;/Version&gt;</w:t>
    </w:r>
    <w:r w:rsidRPr="009E1955">
      <w:tab/>
    </w:r>
    <w:r w:rsidRPr="009E1955">
      <w:fldChar w:fldCharType="begin"/>
    </w:r>
    <w:r w:rsidRPr="009E1955">
      <w:instrText xml:space="preserve"> PAGE  \* MERGEFORMAT </w:instrText>
    </w:r>
    <w:r w:rsidRPr="009E1955">
      <w:fldChar w:fldCharType="separate"/>
    </w:r>
    <w:r w:rsidR="009E1955" w:rsidRPr="009E1955">
      <w:rPr>
        <w:noProof/>
      </w:rPr>
      <w:t>2</w:t>
    </w:r>
    <w:r w:rsidRPr="009E1955">
      <w:fldChar w:fldCharType="end"/>
    </w:r>
    <w:r w:rsidRPr="009E1955">
      <w:t>/</w:t>
    </w:r>
    <w:fldSimple w:instr=" NUMPAGES  \* MERGEFORMAT ">
      <w:r w:rsidR="009E1955" w:rsidRPr="009E1955">
        <w:rPr>
          <w:noProof/>
        </w:rPr>
        <w:t>3</w:t>
      </w:r>
    </w:fldSimple>
    <w:r w:rsidRPr="009E1955">
      <w:tab/>
    </w:r>
    <w:r w:rsidRPr="009E1955">
      <w:rPr>
        <w:rStyle w:val="HideTWBExt"/>
      </w:rPr>
      <w:t>&lt;PathFdR&gt;</w:t>
    </w:r>
    <w:r w:rsidRPr="009E1955">
      <w:t>RR\1299245PL.docx</w:t>
    </w:r>
    <w:r w:rsidRPr="009E1955">
      <w:rPr>
        <w:rStyle w:val="HideTWBExt"/>
      </w:rPr>
      <w:t>&lt;/</w:t>
    </w:r>
    <w:proofErr w:type="spellStart"/>
    <w:r w:rsidRPr="009E1955">
      <w:rPr>
        <w:rStyle w:val="HideTWBExt"/>
      </w:rPr>
      <w:t>PathFdR</w:t>
    </w:r>
    <w:proofErr w:type="spellEnd"/>
    <w:r w:rsidRPr="009E1955">
      <w:rPr>
        <w:rStyle w:val="HideTWBExt"/>
      </w:rPr>
      <w:t>&gt;</w:t>
    </w:r>
  </w:p>
  <w:p w:rsidR="009271BE" w:rsidRPr="009E1955" w:rsidRDefault="009271BE" w:rsidP="0037429E">
    <w:pPr>
      <w:pStyle w:val="EPFooter2"/>
    </w:pPr>
    <w:r w:rsidRPr="009E1955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1BE" w:rsidRPr="009E1955" w:rsidRDefault="009271BE" w:rsidP="0037429E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1BE" w:rsidRPr="009E1955" w:rsidRDefault="009271BE" w:rsidP="0037429E">
    <w:pPr>
      <w:pStyle w:val="EPFooter"/>
    </w:pPr>
    <w:r w:rsidRPr="009E1955">
      <w:rPr>
        <w:rStyle w:val="HideTWBExt"/>
      </w:rPr>
      <w:t>&lt;PathFdR&gt;</w:t>
    </w:r>
    <w:r w:rsidRPr="009E1955">
      <w:t>RR\1299245PL.docx</w:t>
    </w:r>
    <w:r w:rsidRPr="009E1955">
      <w:rPr>
        <w:rStyle w:val="HideTWBExt"/>
      </w:rPr>
      <w:t>&lt;/</w:t>
    </w:r>
    <w:proofErr w:type="spellStart"/>
    <w:r w:rsidRPr="009E1955">
      <w:rPr>
        <w:rStyle w:val="HideTWBExt"/>
      </w:rPr>
      <w:t>PathFdR</w:t>
    </w:r>
    <w:proofErr w:type="spellEnd"/>
    <w:r w:rsidRPr="009E1955">
      <w:rPr>
        <w:rStyle w:val="HideTWBExt"/>
      </w:rPr>
      <w:t>&gt;</w:t>
    </w:r>
    <w:r w:rsidRPr="009E1955">
      <w:tab/>
    </w:r>
    <w:r w:rsidRPr="009E1955">
      <w:tab/>
      <w:t>PE</w:t>
    </w:r>
    <w:r w:rsidRPr="009E1955">
      <w:rPr>
        <w:rStyle w:val="HideTWBExt"/>
      </w:rPr>
      <w:t>&lt;</w:t>
    </w:r>
    <w:proofErr w:type="spellStart"/>
    <w:r w:rsidRPr="009E1955">
      <w:rPr>
        <w:rStyle w:val="HideTWBExt"/>
      </w:rPr>
      <w:t>NoPE</w:t>
    </w:r>
    <w:proofErr w:type="spellEnd"/>
    <w:r w:rsidRPr="009E1955">
      <w:rPr>
        <w:rStyle w:val="HideTWBExt"/>
      </w:rPr>
      <w:t>&gt;</w:t>
    </w:r>
    <w:r w:rsidRPr="009E1955">
      <w:t>753.527</w:t>
    </w:r>
    <w:r w:rsidRPr="009E1955">
      <w:rPr>
        <w:rStyle w:val="HideTWBExt"/>
      </w:rPr>
      <w:t>&lt;/</w:t>
    </w:r>
    <w:proofErr w:type="spellStart"/>
    <w:r w:rsidRPr="009E1955">
      <w:rPr>
        <w:rStyle w:val="HideTWBExt"/>
      </w:rPr>
      <w:t>NoPE</w:t>
    </w:r>
    <w:proofErr w:type="spellEnd"/>
    <w:r w:rsidRPr="009E1955">
      <w:rPr>
        <w:rStyle w:val="HideTWBExt"/>
      </w:rPr>
      <w:t>&gt;&lt;Version&gt;</w:t>
    </w:r>
    <w:r w:rsidRPr="009E1955">
      <w:t>v02-00</w:t>
    </w:r>
    <w:r w:rsidRPr="009E1955">
      <w:rPr>
        <w:rStyle w:val="HideTWBExt"/>
      </w:rPr>
      <w:t>&lt;/Version&gt;</w:t>
    </w:r>
  </w:p>
  <w:p w:rsidR="009271BE" w:rsidRPr="009E1955" w:rsidRDefault="009271BE" w:rsidP="0037429E">
    <w:pPr>
      <w:pStyle w:val="EPFooter2"/>
    </w:pPr>
    <w:r w:rsidRPr="009E1955">
      <w:t>PL</w:t>
    </w:r>
    <w:r w:rsidRPr="009E1955">
      <w:tab/>
    </w:r>
    <w:r w:rsidRPr="009E1955">
      <w:rPr>
        <w:b w:val="0"/>
        <w:i/>
        <w:color w:val="C0C0C0"/>
        <w:sz w:val="22"/>
      </w:rPr>
      <w:t>Zjednoczona w różnorodności</w:t>
    </w:r>
    <w:r w:rsidRPr="009E1955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E195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E1955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E19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28E" w:rsidRPr="009E1955" w:rsidRDefault="00A1628E">
      <w:r w:rsidRPr="009E1955">
        <w:separator/>
      </w:r>
    </w:p>
  </w:footnote>
  <w:footnote w:type="continuationSeparator" w:id="0">
    <w:p w:rsidR="00A1628E" w:rsidRPr="009E1955" w:rsidRDefault="00A1628E">
      <w:r w:rsidRPr="009E1955">
        <w:continuationSeparator/>
      </w:r>
    </w:p>
  </w:footnote>
  <w:footnote w:id="1">
    <w:p w:rsidR="009271BE" w:rsidRPr="009E1955" w:rsidRDefault="009271BE" w:rsidP="009E1955">
      <w:pPr>
        <w:pStyle w:val="FootnoteText"/>
        <w:ind w:left="567" w:hanging="567"/>
        <w:rPr>
          <w:sz w:val="24"/>
          <w:lang w:val="pl-PL"/>
        </w:rPr>
      </w:pPr>
      <w:r w:rsidRPr="009E1955">
        <w:rPr>
          <w:rStyle w:val="FootnoteReference"/>
          <w:sz w:val="24"/>
          <w:lang w:val="pl-PL"/>
        </w:rPr>
        <w:footnoteRef/>
      </w:r>
      <w:r w:rsidR="009E1955" w:rsidRPr="009E1955">
        <w:rPr>
          <w:sz w:val="24"/>
          <w:lang w:val="pl-PL"/>
        </w:rPr>
        <w:t xml:space="preserve"> </w:t>
      </w:r>
      <w:r w:rsidR="009E1955" w:rsidRPr="009E1955">
        <w:rPr>
          <w:sz w:val="24"/>
          <w:lang w:val="pl-PL"/>
        </w:rPr>
        <w:tab/>
      </w:r>
      <w:r w:rsidRPr="009E1955">
        <w:rPr>
          <w:sz w:val="24"/>
          <w:lang w:val="pl-PL"/>
        </w:rPr>
        <w:t>Dz.U. C, C/2023/594 z 27.10.2023.</w:t>
      </w:r>
    </w:p>
  </w:footnote>
  <w:footnote w:id="2">
    <w:p w:rsidR="009271BE" w:rsidRPr="009E1955" w:rsidRDefault="009271BE" w:rsidP="009E1955">
      <w:pPr>
        <w:pStyle w:val="FootnoteText"/>
        <w:ind w:left="567" w:hanging="567"/>
        <w:rPr>
          <w:sz w:val="24"/>
          <w:lang w:val="pl-PL"/>
        </w:rPr>
      </w:pPr>
      <w:r w:rsidRPr="009E1955">
        <w:rPr>
          <w:rStyle w:val="FootnoteReference"/>
          <w:sz w:val="24"/>
          <w:lang w:val="pl-PL"/>
        </w:rPr>
        <w:footnoteRef/>
      </w:r>
      <w:r w:rsidR="009E1955" w:rsidRPr="009E1955">
        <w:rPr>
          <w:sz w:val="24"/>
          <w:lang w:val="pl-PL"/>
        </w:rPr>
        <w:t xml:space="preserve"> </w:t>
      </w:r>
      <w:r w:rsidR="009E1955" w:rsidRPr="009E1955">
        <w:rPr>
          <w:sz w:val="24"/>
          <w:lang w:val="pl-PL"/>
        </w:rPr>
        <w:tab/>
      </w:r>
      <w:r w:rsidRPr="009E1955">
        <w:rPr>
          <w:sz w:val="24"/>
          <w:lang w:val="pl-PL"/>
        </w:rPr>
        <w:t>Dz.U. C, C/2023/112 z 12.10.2023.</w:t>
      </w:r>
    </w:p>
  </w:footnote>
  <w:footnote w:id="3">
    <w:p w:rsidR="009271BE" w:rsidRPr="009E1955" w:rsidRDefault="009271BE" w:rsidP="009E1955">
      <w:pPr>
        <w:pStyle w:val="FootnoteText"/>
        <w:ind w:left="567" w:hanging="567"/>
        <w:rPr>
          <w:sz w:val="24"/>
          <w:lang w:val="pl-PL"/>
        </w:rPr>
      </w:pPr>
      <w:r w:rsidRPr="009E1955">
        <w:rPr>
          <w:rStyle w:val="FootnoteReference"/>
          <w:sz w:val="24"/>
          <w:lang w:val="pl-PL"/>
        </w:rPr>
        <w:footnoteRef/>
      </w:r>
      <w:r w:rsidR="009E1955" w:rsidRPr="009E1955">
        <w:rPr>
          <w:sz w:val="24"/>
          <w:lang w:val="pl-PL"/>
        </w:rPr>
        <w:t xml:space="preserve"> </w:t>
      </w:r>
      <w:r w:rsidR="009E1955" w:rsidRPr="009E1955">
        <w:rPr>
          <w:sz w:val="24"/>
          <w:lang w:val="pl-PL"/>
        </w:rPr>
        <w:tab/>
      </w:r>
      <w:r w:rsidRPr="009E1955">
        <w:rPr>
          <w:sz w:val="24"/>
          <w:lang w:val="pl-PL"/>
        </w:rPr>
        <w:t xml:space="preserve">Dz.U. L 193 z 30.7.2018, </w:t>
      </w:r>
      <w:proofErr w:type="gramStart"/>
      <w:r w:rsidRPr="009E1955">
        <w:rPr>
          <w:sz w:val="24"/>
          <w:lang w:val="pl-PL"/>
        </w:rPr>
        <w:t>s</w:t>
      </w:r>
      <w:proofErr w:type="gramEnd"/>
      <w:r w:rsidRPr="009E1955">
        <w:rPr>
          <w:sz w:val="24"/>
          <w:lang w:val="pl-PL"/>
        </w:rPr>
        <w:t>. 1.</w:t>
      </w:r>
    </w:p>
  </w:footnote>
  <w:footnote w:id="4">
    <w:p w:rsidR="009271BE" w:rsidRPr="009E1955" w:rsidRDefault="009271BE" w:rsidP="009E1955">
      <w:pPr>
        <w:pStyle w:val="FootnoteText"/>
        <w:ind w:left="567" w:hanging="567"/>
        <w:rPr>
          <w:sz w:val="24"/>
          <w:lang w:val="pl-PL"/>
        </w:rPr>
      </w:pPr>
      <w:r w:rsidRPr="009E1955">
        <w:rPr>
          <w:rStyle w:val="FootnoteReference"/>
          <w:sz w:val="24"/>
          <w:lang w:val="pl-PL"/>
        </w:rPr>
        <w:footnoteRef/>
      </w:r>
      <w:r w:rsidR="009E1955" w:rsidRPr="009E1955">
        <w:rPr>
          <w:sz w:val="24"/>
          <w:lang w:val="pl-PL"/>
        </w:rPr>
        <w:t xml:space="preserve"> </w:t>
      </w:r>
      <w:r w:rsidR="009E1955" w:rsidRPr="009E1955">
        <w:rPr>
          <w:sz w:val="24"/>
          <w:lang w:val="pl-PL"/>
        </w:rPr>
        <w:tab/>
      </w:r>
      <w:r w:rsidRPr="009E1955">
        <w:rPr>
          <w:sz w:val="24"/>
          <w:lang w:val="pl-PL"/>
        </w:rPr>
        <w:t xml:space="preserve">Dz.U. L 151 z 7.6.2019, </w:t>
      </w:r>
      <w:proofErr w:type="gramStart"/>
      <w:r w:rsidRPr="009E1955">
        <w:rPr>
          <w:sz w:val="24"/>
          <w:lang w:val="pl-PL"/>
        </w:rPr>
        <w:t>s</w:t>
      </w:r>
      <w:proofErr w:type="gramEnd"/>
      <w:r w:rsidRPr="009E1955">
        <w:rPr>
          <w:sz w:val="24"/>
          <w:lang w:val="pl-PL"/>
        </w:rPr>
        <w:t>. 15.</w:t>
      </w:r>
    </w:p>
  </w:footnote>
  <w:footnote w:id="5">
    <w:p w:rsidR="009271BE" w:rsidRPr="009E1955" w:rsidRDefault="009271BE" w:rsidP="009E1955">
      <w:pPr>
        <w:pStyle w:val="FootnoteText"/>
        <w:ind w:left="567" w:hanging="567"/>
        <w:rPr>
          <w:sz w:val="24"/>
          <w:szCs w:val="24"/>
          <w:lang w:val="pl-PL"/>
        </w:rPr>
      </w:pPr>
      <w:r w:rsidRPr="009E1955">
        <w:rPr>
          <w:rStyle w:val="FootnoteReference"/>
          <w:sz w:val="24"/>
          <w:lang w:val="pl-PL"/>
        </w:rPr>
        <w:footnoteRef/>
      </w:r>
      <w:r w:rsidR="009E1955" w:rsidRPr="009E1955">
        <w:rPr>
          <w:sz w:val="24"/>
          <w:lang w:val="pl-PL"/>
        </w:rPr>
        <w:t xml:space="preserve"> </w:t>
      </w:r>
      <w:r w:rsidR="009E1955" w:rsidRPr="009E1955">
        <w:rPr>
          <w:sz w:val="24"/>
          <w:lang w:val="pl-PL"/>
        </w:rPr>
        <w:tab/>
      </w:r>
      <w:r w:rsidRPr="009E1955">
        <w:rPr>
          <w:sz w:val="24"/>
          <w:lang w:val="pl-PL"/>
        </w:rPr>
        <w:t xml:space="preserve">Dz.U. L 122 z 10.5.2019, </w:t>
      </w:r>
      <w:proofErr w:type="gramStart"/>
      <w:r w:rsidRPr="009E1955">
        <w:rPr>
          <w:sz w:val="24"/>
          <w:lang w:val="pl-PL"/>
        </w:rPr>
        <w:t>s</w:t>
      </w:r>
      <w:proofErr w:type="gramEnd"/>
      <w:r w:rsidRPr="009E1955">
        <w:rPr>
          <w:sz w:val="24"/>
          <w:lang w:val="pl-PL"/>
        </w:rPr>
        <w:t>. 1.</w:t>
      </w:r>
    </w:p>
  </w:footnote>
  <w:footnote w:id="6">
    <w:p w:rsidR="009271BE" w:rsidRPr="009E1955" w:rsidRDefault="009271BE" w:rsidP="009E1955">
      <w:pPr>
        <w:pStyle w:val="FootnoteText"/>
        <w:ind w:left="567" w:hanging="567"/>
        <w:rPr>
          <w:sz w:val="24"/>
          <w:lang w:val="pl-PL"/>
        </w:rPr>
      </w:pPr>
      <w:r w:rsidRPr="009E1955">
        <w:rPr>
          <w:rStyle w:val="FootnoteReference"/>
          <w:sz w:val="24"/>
          <w:lang w:val="pl-PL"/>
        </w:rPr>
        <w:footnoteRef/>
      </w:r>
      <w:r w:rsidR="009E1955" w:rsidRPr="009E1955">
        <w:rPr>
          <w:sz w:val="24"/>
          <w:lang w:val="pl-PL"/>
        </w:rPr>
        <w:t xml:space="preserve"> </w:t>
      </w:r>
      <w:r w:rsidR="009E1955" w:rsidRPr="009E1955">
        <w:rPr>
          <w:sz w:val="24"/>
          <w:lang w:val="pl-PL"/>
        </w:rPr>
        <w:tab/>
      </w:r>
      <w:r w:rsidRPr="009E1955">
        <w:rPr>
          <w:sz w:val="24"/>
          <w:lang w:val="pl-PL"/>
        </w:rPr>
        <w:t>Dz.U. C, C/2023/594 z 27.10.2023.</w:t>
      </w:r>
    </w:p>
  </w:footnote>
  <w:footnote w:id="7">
    <w:p w:rsidR="009271BE" w:rsidRPr="009E1955" w:rsidRDefault="009271BE" w:rsidP="009E1955">
      <w:pPr>
        <w:pStyle w:val="FootnoteText"/>
        <w:ind w:left="567" w:hanging="567"/>
        <w:rPr>
          <w:sz w:val="24"/>
          <w:lang w:val="pl-PL"/>
        </w:rPr>
      </w:pPr>
      <w:r w:rsidRPr="009E1955">
        <w:rPr>
          <w:rStyle w:val="FootnoteReference"/>
          <w:sz w:val="24"/>
          <w:lang w:val="pl-PL"/>
        </w:rPr>
        <w:footnoteRef/>
      </w:r>
      <w:r w:rsidR="009E1955" w:rsidRPr="009E1955">
        <w:rPr>
          <w:sz w:val="24"/>
          <w:lang w:val="pl-PL"/>
        </w:rPr>
        <w:t xml:space="preserve"> </w:t>
      </w:r>
      <w:r w:rsidR="009E1955" w:rsidRPr="009E1955">
        <w:rPr>
          <w:sz w:val="24"/>
          <w:lang w:val="pl-PL"/>
        </w:rPr>
        <w:tab/>
      </w:r>
      <w:r w:rsidRPr="009E1955">
        <w:rPr>
          <w:sz w:val="24"/>
          <w:lang w:val="pl-PL"/>
        </w:rPr>
        <w:t>Dz.U. C, C/2023/112 z 12.10.2023.</w:t>
      </w:r>
    </w:p>
  </w:footnote>
  <w:footnote w:id="8">
    <w:p w:rsidR="009271BE" w:rsidRPr="009E1955" w:rsidRDefault="009271BE" w:rsidP="009E1955">
      <w:pPr>
        <w:pStyle w:val="FootnoteText"/>
        <w:ind w:left="567" w:hanging="567"/>
        <w:rPr>
          <w:sz w:val="24"/>
          <w:lang w:val="pl-PL"/>
        </w:rPr>
      </w:pPr>
      <w:r w:rsidRPr="009E1955">
        <w:rPr>
          <w:rStyle w:val="FootnoteReference"/>
          <w:sz w:val="24"/>
          <w:lang w:val="pl-PL"/>
        </w:rPr>
        <w:footnoteRef/>
      </w:r>
      <w:r w:rsidR="009E1955" w:rsidRPr="009E1955">
        <w:rPr>
          <w:sz w:val="24"/>
          <w:lang w:val="pl-PL"/>
        </w:rPr>
        <w:t xml:space="preserve"> </w:t>
      </w:r>
      <w:r w:rsidR="009E1955" w:rsidRPr="009E1955">
        <w:rPr>
          <w:sz w:val="24"/>
          <w:lang w:val="pl-PL"/>
        </w:rPr>
        <w:tab/>
      </w:r>
      <w:r w:rsidRPr="009E1955">
        <w:rPr>
          <w:sz w:val="24"/>
          <w:lang w:val="pl-PL"/>
        </w:rPr>
        <w:t xml:space="preserve">Dz.U. L 193 z 30.7.2018, </w:t>
      </w:r>
      <w:proofErr w:type="gramStart"/>
      <w:r w:rsidRPr="009E1955">
        <w:rPr>
          <w:sz w:val="24"/>
          <w:lang w:val="pl-PL"/>
        </w:rPr>
        <w:t>s</w:t>
      </w:r>
      <w:proofErr w:type="gramEnd"/>
      <w:r w:rsidRPr="009E1955">
        <w:rPr>
          <w:sz w:val="24"/>
          <w:lang w:val="pl-PL"/>
        </w:rPr>
        <w:t>. 1.</w:t>
      </w:r>
    </w:p>
  </w:footnote>
  <w:footnote w:id="9">
    <w:p w:rsidR="009271BE" w:rsidRPr="009E1955" w:rsidRDefault="009271BE" w:rsidP="009E1955">
      <w:pPr>
        <w:pStyle w:val="FootnoteText"/>
        <w:ind w:left="567" w:hanging="567"/>
        <w:rPr>
          <w:sz w:val="24"/>
          <w:lang w:val="pl-PL"/>
        </w:rPr>
      </w:pPr>
      <w:r w:rsidRPr="009E1955">
        <w:rPr>
          <w:rStyle w:val="FootnoteReference"/>
          <w:sz w:val="24"/>
          <w:lang w:val="pl-PL"/>
        </w:rPr>
        <w:footnoteRef/>
      </w:r>
      <w:r w:rsidR="009E1955" w:rsidRPr="009E1955">
        <w:rPr>
          <w:sz w:val="24"/>
          <w:lang w:val="pl-PL"/>
        </w:rPr>
        <w:t xml:space="preserve"> </w:t>
      </w:r>
      <w:r w:rsidR="009E1955" w:rsidRPr="009E1955">
        <w:rPr>
          <w:sz w:val="24"/>
          <w:lang w:val="pl-PL"/>
        </w:rPr>
        <w:tab/>
      </w:r>
      <w:r w:rsidRPr="009E1955">
        <w:rPr>
          <w:sz w:val="24"/>
          <w:lang w:val="pl-PL"/>
        </w:rPr>
        <w:t xml:space="preserve">Dz.U. L 151 z 7.6.2019, </w:t>
      </w:r>
      <w:proofErr w:type="gramStart"/>
      <w:r w:rsidRPr="009E1955">
        <w:rPr>
          <w:sz w:val="24"/>
          <w:lang w:val="pl-PL"/>
        </w:rPr>
        <w:t>s</w:t>
      </w:r>
      <w:proofErr w:type="gramEnd"/>
      <w:r w:rsidRPr="009E1955">
        <w:rPr>
          <w:sz w:val="24"/>
          <w:lang w:val="pl-PL"/>
        </w:rPr>
        <w:t>. 15.</w:t>
      </w:r>
    </w:p>
  </w:footnote>
  <w:footnote w:id="10">
    <w:p w:rsidR="009271BE" w:rsidRPr="009E1955" w:rsidRDefault="009271BE" w:rsidP="009E1955">
      <w:pPr>
        <w:pStyle w:val="FootnoteText"/>
        <w:ind w:left="567" w:hanging="567"/>
        <w:rPr>
          <w:sz w:val="24"/>
          <w:szCs w:val="24"/>
          <w:lang w:val="pl-PL"/>
        </w:rPr>
      </w:pPr>
      <w:r w:rsidRPr="009E1955">
        <w:rPr>
          <w:rStyle w:val="FootnoteReference"/>
          <w:sz w:val="24"/>
          <w:lang w:val="pl-PL"/>
        </w:rPr>
        <w:footnoteRef/>
      </w:r>
      <w:r w:rsidR="009E1955" w:rsidRPr="009E1955">
        <w:rPr>
          <w:sz w:val="24"/>
          <w:lang w:val="pl-PL"/>
        </w:rPr>
        <w:t xml:space="preserve"> </w:t>
      </w:r>
      <w:r w:rsidR="009E1955" w:rsidRPr="009E1955">
        <w:rPr>
          <w:sz w:val="24"/>
          <w:lang w:val="pl-PL"/>
        </w:rPr>
        <w:tab/>
      </w:r>
      <w:r w:rsidRPr="009E1955">
        <w:rPr>
          <w:sz w:val="24"/>
          <w:lang w:val="pl-PL"/>
        </w:rPr>
        <w:t xml:space="preserve">Dz.U. L 122 z 10.5.2019, </w:t>
      </w:r>
      <w:proofErr w:type="gramStart"/>
      <w:r w:rsidRPr="009E1955">
        <w:rPr>
          <w:sz w:val="24"/>
          <w:lang w:val="pl-PL"/>
        </w:rPr>
        <w:t>s</w:t>
      </w:r>
      <w:proofErr w:type="gramEnd"/>
      <w:r w:rsidRPr="009E1955">
        <w:rPr>
          <w:sz w:val="24"/>
          <w:lang w:val="pl-PL"/>
        </w:rPr>
        <w:t>. 1.</w:t>
      </w:r>
    </w:p>
  </w:footnote>
  <w:footnote w:id="11">
    <w:p w:rsidR="009271BE" w:rsidRPr="009E1955" w:rsidRDefault="009271BE" w:rsidP="009E1955">
      <w:pPr>
        <w:pStyle w:val="FootnoteText"/>
        <w:ind w:left="567" w:hanging="567"/>
        <w:rPr>
          <w:sz w:val="24"/>
          <w:lang w:val="pl-PL"/>
        </w:rPr>
      </w:pPr>
      <w:r w:rsidRPr="009E1955">
        <w:rPr>
          <w:rStyle w:val="FootnoteReference"/>
          <w:sz w:val="24"/>
          <w:lang w:val="pl-PL"/>
        </w:rPr>
        <w:footnoteRef/>
      </w:r>
      <w:r w:rsidR="009E1955" w:rsidRPr="009E1955">
        <w:rPr>
          <w:sz w:val="24"/>
          <w:lang w:val="pl-PL"/>
        </w:rPr>
        <w:t xml:space="preserve"> </w:t>
      </w:r>
      <w:r w:rsidR="009E1955" w:rsidRPr="009E1955">
        <w:rPr>
          <w:sz w:val="24"/>
          <w:lang w:val="pl-PL"/>
        </w:rPr>
        <w:tab/>
      </w:r>
      <w:r w:rsidRPr="009E1955">
        <w:rPr>
          <w:sz w:val="24"/>
          <w:lang w:val="pl-PL"/>
        </w:rPr>
        <w:t xml:space="preserve">Dz.U. C 377/3 z 30.9.2022, </w:t>
      </w:r>
      <w:proofErr w:type="gramStart"/>
      <w:r w:rsidRPr="009E1955">
        <w:rPr>
          <w:sz w:val="24"/>
          <w:lang w:val="pl-PL"/>
        </w:rPr>
        <w:t>s</w:t>
      </w:r>
      <w:proofErr w:type="gramEnd"/>
      <w:r w:rsidRPr="009E1955">
        <w:rPr>
          <w:sz w:val="24"/>
          <w:lang w:val="pl-PL"/>
        </w:rPr>
        <w:t>. 2.</w:t>
      </w:r>
    </w:p>
  </w:footnote>
  <w:footnote w:id="12">
    <w:p w:rsidR="009271BE" w:rsidRPr="009E1955" w:rsidRDefault="009271BE" w:rsidP="009E1955">
      <w:pPr>
        <w:pStyle w:val="FootnoteText"/>
        <w:ind w:left="567" w:hanging="567"/>
        <w:rPr>
          <w:i/>
          <w:sz w:val="24"/>
          <w:lang w:val="pl-PL"/>
        </w:rPr>
      </w:pPr>
      <w:r w:rsidRPr="009E1955">
        <w:rPr>
          <w:rStyle w:val="FootnoteReference"/>
          <w:sz w:val="24"/>
          <w:lang w:val="pl-PL"/>
        </w:rPr>
        <w:footnoteRef/>
      </w:r>
      <w:r w:rsidR="009E1955" w:rsidRPr="009E1955">
        <w:rPr>
          <w:sz w:val="24"/>
          <w:lang w:val="pl-PL"/>
        </w:rPr>
        <w:t xml:space="preserve"> </w:t>
      </w:r>
      <w:r w:rsidR="009E1955" w:rsidRPr="009E1955">
        <w:rPr>
          <w:sz w:val="24"/>
          <w:lang w:val="pl-PL"/>
        </w:rPr>
        <w:tab/>
      </w:r>
      <w:r w:rsidRPr="009E1955">
        <w:rPr>
          <w:sz w:val="24"/>
          <w:lang w:val="pl-PL"/>
        </w:rPr>
        <w:t xml:space="preserve">Dyrektywa Parlamentu Europejskiego i Rady (UE) 2022/2555 z dnia 14 grudnia 2022 r. w sprawie środków na rzecz wysokiego wspólnego poziomu </w:t>
      </w:r>
      <w:proofErr w:type="spellStart"/>
      <w:r w:rsidRPr="009E1955">
        <w:rPr>
          <w:sz w:val="24"/>
          <w:lang w:val="pl-PL"/>
        </w:rPr>
        <w:t>cyberbezpieczeństwa</w:t>
      </w:r>
      <w:proofErr w:type="spellEnd"/>
      <w:r w:rsidRPr="009E1955">
        <w:rPr>
          <w:sz w:val="24"/>
          <w:lang w:val="pl-PL"/>
        </w:rPr>
        <w:t xml:space="preserve"> na terytorium Unii, zmieniająca rozporządzenie (UE) nr 910/2014 i dyrektywę (UE) 2018/1972 oraz uchylająca dyrektywę (UE) 2016/1148 (dyrektywa NIS 2) (Dz.U. L 333 z 27.12.2022, </w:t>
      </w:r>
      <w:proofErr w:type="gramStart"/>
      <w:r w:rsidRPr="009E1955">
        <w:rPr>
          <w:sz w:val="24"/>
          <w:lang w:val="pl-PL"/>
        </w:rPr>
        <w:t>s</w:t>
      </w:r>
      <w:proofErr w:type="gramEnd"/>
      <w:r w:rsidRPr="009E1955">
        <w:rPr>
          <w:sz w:val="24"/>
          <w:lang w:val="pl-PL"/>
        </w:rPr>
        <w:t>. 80).</w:t>
      </w:r>
    </w:p>
  </w:footnote>
  <w:footnote w:id="13">
    <w:p w:rsidR="009271BE" w:rsidRPr="009E1955" w:rsidRDefault="009271BE" w:rsidP="009E1955">
      <w:pPr>
        <w:pStyle w:val="FootnoteText"/>
        <w:ind w:left="567" w:hanging="567"/>
        <w:rPr>
          <w:sz w:val="24"/>
          <w:lang w:val="pl-PL"/>
        </w:rPr>
      </w:pPr>
      <w:r w:rsidRPr="009E1955">
        <w:rPr>
          <w:rStyle w:val="FootnoteReference"/>
          <w:sz w:val="24"/>
          <w:lang w:val="pl-PL"/>
        </w:rPr>
        <w:footnoteRef/>
      </w:r>
      <w:r w:rsidR="009E1955" w:rsidRPr="009E1955">
        <w:rPr>
          <w:sz w:val="24"/>
          <w:lang w:val="pl-PL"/>
        </w:rPr>
        <w:t xml:space="preserve"> </w:t>
      </w:r>
      <w:r w:rsidR="009E1955" w:rsidRPr="009E1955">
        <w:rPr>
          <w:sz w:val="24"/>
          <w:lang w:val="pl-PL"/>
        </w:rPr>
        <w:tab/>
      </w:r>
      <w:r w:rsidRPr="009E1955">
        <w:rPr>
          <w:sz w:val="24"/>
          <w:lang w:val="pl-PL"/>
        </w:rPr>
        <w:t>Rozporządzenie delegowane Komisji (UE</w:t>
      </w:r>
      <w:proofErr w:type="gramStart"/>
      <w:r w:rsidRPr="009E1955">
        <w:rPr>
          <w:sz w:val="24"/>
          <w:lang w:val="pl-PL"/>
        </w:rPr>
        <w:t>) 2019/715 z</w:t>
      </w:r>
      <w:proofErr w:type="gramEnd"/>
      <w:r w:rsidRPr="009E1955">
        <w:rPr>
          <w:sz w:val="24"/>
          <w:lang w:val="pl-PL"/>
        </w:rPr>
        <w:t xml:space="preserve"> dnia 18 grudnia 2018 r. w sprawie ramowego rozporządzenia finansowego dotyczącego organów utworzonych na podstawie TFUE oraz Traktatu </w:t>
      </w:r>
      <w:proofErr w:type="spellStart"/>
      <w:r w:rsidRPr="009E1955">
        <w:rPr>
          <w:sz w:val="24"/>
          <w:lang w:val="pl-PL"/>
        </w:rPr>
        <w:t>Euratom</w:t>
      </w:r>
      <w:proofErr w:type="spellEnd"/>
      <w:r w:rsidRPr="009E1955">
        <w:rPr>
          <w:sz w:val="24"/>
          <w:lang w:val="pl-PL"/>
        </w:rPr>
        <w:t xml:space="preserve">, o których mowa w art. 70 rozporządzenia Parlamentu Europejskiego i Rady (UE, </w:t>
      </w:r>
      <w:proofErr w:type="spellStart"/>
      <w:r w:rsidRPr="009E1955">
        <w:rPr>
          <w:sz w:val="24"/>
          <w:lang w:val="pl-PL"/>
        </w:rPr>
        <w:t>Euratom</w:t>
      </w:r>
      <w:proofErr w:type="spellEnd"/>
      <w:r w:rsidRPr="009E1955">
        <w:rPr>
          <w:sz w:val="24"/>
          <w:lang w:val="pl-PL"/>
        </w:rPr>
        <w:t xml:space="preserve">) 2018/1046 (Dz.U. L 122 z 10.5.2019, </w:t>
      </w:r>
      <w:proofErr w:type="gramStart"/>
      <w:r w:rsidRPr="009E1955">
        <w:rPr>
          <w:sz w:val="24"/>
          <w:lang w:val="pl-PL"/>
        </w:rPr>
        <w:t>s</w:t>
      </w:r>
      <w:proofErr w:type="gramEnd"/>
      <w:r w:rsidRPr="009E1955">
        <w:rPr>
          <w:sz w:val="24"/>
          <w:lang w:val="pl-PL"/>
        </w:rPr>
        <w:t>. 1).</w:t>
      </w:r>
    </w:p>
  </w:footnote>
  <w:footnote w:id="14">
    <w:p w:rsidR="009271BE" w:rsidRPr="009E1955" w:rsidRDefault="009271BE" w:rsidP="009E1955">
      <w:pPr>
        <w:pStyle w:val="FootnoteText"/>
        <w:ind w:left="567" w:hanging="567"/>
        <w:rPr>
          <w:sz w:val="24"/>
          <w:lang w:val="pl-PL"/>
        </w:rPr>
      </w:pPr>
      <w:r w:rsidRPr="009E1955">
        <w:rPr>
          <w:rStyle w:val="FootnoteReference"/>
          <w:sz w:val="24"/>
          <w:lang w:val="pl-PL"/>
        </w:rPr>
        <w:footnoteRef/>
      </w:r>
      <w:r w:rsidR="009E1955" w:rsidRPr="009E1955">
        <w:rPr>
          <w:sz w:val="24"/>
          <w:lang w:val="pl-PL"/>
        </w:rPr>
        <w:t xml:space="preserve"> </w:t>
      </w:r>
      <w:r w:rsidR="009E1955" w:rsidRPr="009E1955">
        <w:rPr>
          <w:sz w:val="24"/>
          <w:lang w:val="pl-PL"/>
        </w:rPr>
        <w:tab/>
      </w:r>
      <w:r w:rsidRPr="009E1955">
        <w:rPr>
          <w:sz w:val="24"/>
          <w:lang w:val="pl-PL"/>
        </w:rPr>
        <w:t>Teksty prz</w:t>
      </w:r>
      <w:r w:rsidR="00A5555F">
        <w:rPr>
          <w:sz w:val="24"/>
          <w:lang w:val="pl-PL"/>
        </w:rPr>
        <w:t>yjęte w tym dniu, P9_TA(2024)028</w:t>
      </w:r>
      <w:r w:rsidRPr="009E1955">
        <w:rPr>
          <w:sz w:val="24"/>
          <w:lang w:val="pl-PL"/>
        </w:rPr>
        <w:t>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1BE" w:rsidRPr="009E1955" w:rsidRDefault="009271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1BE" w:rsidRPr="009E1955" w:rsidRDefault="009271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1BE" w:rsidRPr="009E1955" w:rsidRDefault="009271B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E1955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E1955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E19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4/2024"/>
    <w:docVar w:name="dvlangue" w:val="PL"/>
    <w:docVar w:name="dvnumam" w:val="0"/>
    <w:docVar w:name="dvpe" w:val="753.527"/>
    <w:docVar w:name="dvrapporteur" w:val="Sprawozdawca: "/>
    <w:docVar w:name="dvstar" w:val="??"/>
    <w:docVar w:name="dvtitre" w:val="Decyzja Parlamentu Europejskiego z dnia  2024 r. w sprawie absolutorium z wykonania budżetu ENISA (Agencji Unii Europejskiej ds. Cyberbezpieczeństwa) za rok budżetowy 2022(2023/2159(DEC))"/>
  </w:docVars>
  <w:rsids>
    <w:rsidRoot w:val="00A1628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3D68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37DE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3A8"/>
    <w:rsid w:val="00817416"/>
    <w:rsid w:val="00842779"/>
    <w:rsid w:val="00865F67"/>
    <w:rsid w:val="00881A7B"/>
    <w:rsid w:val="008840E5"/>
    <w:rsid w:val="00887B3E"/>
    <w:rsid w:val="008C2AC6"/>
    <w:rsid w:val="009271BE"/>
    <w:rsid w:val="00930C23"/>
    <w:rsid w:val="0093193B"/>
    <w:rsid w:val="009509D8"/>
    <w:rsid w:val="00950B64"/>
    <w:rsid w:val="00981893"/>
    <w:rsid w:val="009E1955"/>
    <w:rsid w:val="00A1628E"/>
    <w:rsid w:val="00A1687D"/>
    <w:rsid w:val="00A43E52"/>
    <w:rsid w:val="00A4678D"/>
    <w:rsid w:val="00A5555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4F01D"/>
  <w15:chartTrackingRefBased/>
  <w15:docId w15:val="{FD8CFF1C-9F13-4596-9928-F614CC9CD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271B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271BE"/>
    <w:pPr>
      <w:spacing w:before="480" w:after="240"/>
    </w:pPr>
  </w:style>
  <w:style w:type="paragraph" w:customStyle="1" w:styleId="PageHeading">
    <w:name w:val="PageHeading"/>
    <w:basedOn w:val="Normal"/>
    <w:rsid w:val="009271B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271BE"/>
    <w:rPr>
      <w:b/>
    </w:rPr>
  </w:style>
  <w:style w:type="paragraph" w:customStyle="1" w:styleId="NormalHanging12a">
    <w:name w:val="NormalHanging12a"/>
    <w:basedOn w:val="Normal"/>
    <w:link w:val="NormalHanging12aChar"/>
    <w:rsid w:val="009271BE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9271BE"/>
    <w:pPr>
      <w:spacing w:after="240"/>
      <w:jc w:val="center"/>
    </w:pPr>
  </w:style>
  <w:style w:type="paragraph" w:styleId="Header">
    <w:name w:val="header"/>
    <w:basedOn w:val="Normal"/>
    <w:link w:val="HeaderChar"/>
    <w:rsid w:val="009271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271BE"/>
    <w:rPr>
      <w:sz w:val="24"/>
      <w:lang w:val="pl-PL"/>
    </w:rPr>
  </w:style>
  <w:style w:type="paragraph" w:customStyle="1" w:styleId="EPFooter">
    <w:name w:val="EPFooter"/>
    <w:basedOn w:val="Normal"/>
    <w:rsid w:val="009271B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9271BE"/>
    <w:rPr>
      <w:sz w:val="24"/>
      <w:lang w:val="pl-PL"/>
    </w:rPr>
  </w:style>
  <w:style w:type="paragraph" w:customStyle="1" w:styleId="Normal12Hanging">
    <w:name w:val="Normal12Hanging"/>
    <w:basedOn w:val="Normal"/>
    <w:rsid w:val="009271BE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42586-E6EE-468E-B32F-4AE9A1B4F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3352</Words>
  <Characters>22395</Characters>
  <Application>Microsoft Office Word</Application>
  <DocSecurity>0</DocSecurity>
  <Lines>186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2024-05-28T09:12:00Z</dcterms:created>
  <dcterms:modified xsi:type="dcterms:W3CDTF">2024-05-28T09:12:00Z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P9_TA(2024)0252_</vt:lpwstr>
  </property>
  <property fmtid="{D5CDD505-2E9C-101B-9397-08002B2CF9AE}" pid="4" name="&lt;Type&gt;">
    <vt:lpwstr>RR</vt:lpwstr>
  </property>
</Properties>
</file>