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246F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246F2" w:rsidRDefault="00EE37E5" w:rsidP="0010095E">
            <w:pPr>
              <w:pStyle w:val="EPName"/>
            </w:pPr>
            <w:bookmarkStart w:id="0" w:name="_GoBack"/>
            <w:bookmarkEnd w:id="0"/>
            <w:r w:rsidRPr="007246F2">
              <w:t>Európsky parlament</w:t>
            </w:r>
          </w:p>
          <w:p w:rsidR="00751A4A" w:rsidRPr="007246F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246F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246F2" w:rsidRDefault="00187494" w:rsidP="0010095E">
            <w:pPr>
              <w:pStyle w:val="EPLogo"/>
            </w:pPr>
            <w:r w:rsidRPr="007246F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246F2" w:rsidRDefault="00D058B8" w:rsidP="004C5D52">
      <w:pPr>
        <w:pStyle w:val="LineTop"/>
      </w:pPr>
    </w:p>
    <w:p w:rsidR="00680577" w:rsidRPr="007246F2" w:rsidRDefault="00EE37E5" w:rsidP="00680577">
      <w:pPr>
        <w:pStyle w:val="EPBodyTA1"/>
      </w:pPr>
      <w:r w:rsidRPr="007246F2">
        <w:t>PRIJATÉ TEXTY</w:t>
      </w:r>
    </w:p>
    <w:p w:rsidR="00D058B8" w:rsidRPr="007246F2" w:rsidRDefault="00D058B8" w:rsidP="00D058B8">
      <w:pPr>
        <w:pStyle w:val="LineBottom"/>
      </w:pPr>
    </w:p>
    <w:p w:rsidR="00EE37E5" w:rsidRPr="007246F2" w:rsidRDefault="00EE37E5" w:rsidP="00EE37E5">
      <w:pPr>
        <w:pStyle w:val="ATHeading1"/>
      </w:pPr>
      <w:bookmarkStart w:id="1" w:name="TANumber"/>
      <w:r w:rsidRPr="007246F2">
        <w:t>P9_TA(2024)0</w:t>
      </w:r>
      <w:r w:rsidR="007246F2" w:rsidRPr="007246F2">
        <w:t>252</w:t>
      </w:r>
      <w:bookmarkEnd w:id="1"/>
    </w:p>
    <w:p w:rsidR="00EE37E5" w:rsidRPr="007246F2" w:rsidRDefault="00EE37E5" w:rsidP="00EE37E5">
      <w:pPr>
        <w:pStyle w:val="ATHeading2"/>
      </w:pPr>
      <w:bookmarkStart w:id="2" w:name="title"/>
      <w:r w:rsidRPr="007246F2">
        <w:t>Absolutórium za rok 2022: ENISA (Agentúra Európskej únie pre kybernetickú bezpečnosť)</w:t>
      </w:r>
      <w:bookmarkEnd w:id="2"/>
    </w:p>
    <w:p w:rsidR="00EE37E5" w:rsidRPr="007246F2" w:rsidRDefault="00EE37E5" w:rsidP="00EE37E5">
      <w:pPr>
        <w:rPr>
          <w:i/>
          <w:vanish/>
        </w:rPr>
      </w:pPr>
      <w:r w:rsidRPr="007246F2">
        <w:rPr>
          <w:i/>
        </w:rPr>
        <w:fldChar w:fldCharType="begin"/>
      </w:r>
      <w:r w:rsidRPr="007246F2">
        <w:rPr>
          <w:i/>
        </w:rPr>
        <w:instrText xml:space="preserve"> TC"(</w:instrText>
      </w:r>
      <w:bookmarkStart w:id="3" w:name="DocNumber"/>
      <w:r w:rsidRPr="007246F2">
        <w:rPr>
          <w:i/>
        </w:rPr>
        <w:instrText>A9-0134/2024</w:instrText>
      </w:r>
      <w:bookmarkEnd w:id="3"/>
      <w:r w:rsidRPr="007246F2">
        <w:rPr>
          <w:i/>
        </w:rPr>
        <w:instrText xml:space="preserve"> - Spravodajca: Petri Sarvamaa)"\l3 \n&gt; \* MERGEFORMAT </w:instrText>
      </w:r>
      <w:r w:rsidRPr="007246F2">
        <w:rPr>
          <w:i/>
        </w:rPr>
        <w:fldChar w:fldCharType="end"/>
      </w:r>
    </w:p>
    <w:p w:rsidR="00EE37E5" w:rsidRPr="007246F2" w:rsidRDefault="00EE37E5" w:rsidP="00EE37E5">
      <w:pPr>
        <w:rPr>
          <w:vanish/>
        </w:rPr>
      </w:pPr>
      <w:bookmarkStart w:id="4" w:name="Commission"/>
      <w:r w:rsidRPr="007246F2">
        <w:rPr>
          <w:vanish/>
        </w:rPr>
        <w:t>Výbor pre kontrolu rozpočtu</w:t>
      </w:r>
      <w:bookmarkEnd w:id="4"/>
    </w:p>
    <w:p w:rsidR="00EE37E5" w:rsidRPr="007246F2" w:rsidRDefault="00EE37E5" w:rsidP="00EE37E5">
      <w:pPr>
        <w:rPr>
          <w:vanish/>
        </w:rPr>
      </w:pPr>
      <w:bookmarkStart w:id="5" w:name="PE"/>
      <w:r w:rsidRPr="007246F2">
        <w:rPr>
          <w:vanish/>
        </w:rPr>
        <w:t>PE753.527</w:t>
      </w:r>
      <w:bookmarkEnd w:id="5"/>
    </w:p>
    <w:p w:rsidR="00EE37E5" w:rsidRPr="007246F2" w:rsidRDefault="00C8538C" w:rsidP="00EE37E5">
      <w:pPr>
        <w:pStyle w:val="ATHeading3"/>
      </w:pPr>
      <w:bookmarkStart w:id="6" w:name="Sujet"/>
      <w:r w:rsidRPr="007246F2">
        <w:t>1. R</w:t>
      </w:r>
      <w:r w:rsidR="00EE37E5" w:rsidRPr="007246F2">
        <w:t>ozhodnutie Európskeho parlamentu z</w:t>
      </w:r>
      <w:r w:rsidR="00115ED1" w:rsidRPr="007246F2">
        <w:t> 11</w:t>
      </w:r>
      <w:r w:rsidR="00EE37E5" w:rsidRPr="007246F2">
        <w:t>. apríla 2024 o absolutóriu za plnenie rozpočtu agentúry ENISA (Agentúry Európskej únie pre kybernetickú bezpečnosť) za rozpočtový rok 2022</w:t>
      </w:r>
      <w:bookmarkEnd w:id="6"/>
      <w:r w:rsidR="00EE37E5" w:rsidRPr="007246F2">
        <w:t xml:space="preserve"> </w:t>
      </w:r>
      <w:bookmarkStart w:id="7" w:name="References"/>
      <w:r w:rsidR="00EE37E5" w:rsidRPr="007246F2">
        <w:t>(2023/2159(DEC))</w:t>
      </w:r>
      <w:bookmarkEnd w:id="7"/>
    </w:p>
    <w:p w:rsidR="00621675" w:rsidRPr="007246F2" w:rsidRDefault="00621675" w:rsidP="00621675">
      <w:pPr>
        <w:pStyle w:val="EPComma"/>
      </w:pPr>
      <w:bookmarkStart w:id="8" w:name="TextBodyBegin"/>
      <w:bookmarkEnd w:id="8"/>
      <w:r w:rsidRPr="007246F2">
        <w:rPr>
          <w:i/>
        </w:rPr>
        <w:t>Európsky parlament</w:t>
      </w:r>
      <w:r w:rsidRPr="007246F2">
        <w:t>,</w:t>
      </w:r>
    </w:p>
    <w:p w:rsidR="00621675" w:rsidRPr="007246F2" w:rsidRDefault="00621675" w:rsidP="00621675">
      <w:pPr>
        <w:pStyle w:val="NormalHanging12a"/>
      </w:pPr>
      <w:r w:rsidRPr="007246F2">
        <w:t>–</w:t>
      </w:r>
      <w:r w:rsidRPr="007246F2">
        <w:tab/>
        <w:t>so zreteľom na konečnú ročnú účtovnú závierku agentúry ENISA (Agentúry Európskej únie pre kybernetickú bezpečnosť) za rozpočtový rok 2022,</w:t>
      </w:r>
    </w:p>
    <w:p w:rsidR="00621675" w:rsidRPr="007246F2" w:rsidRDefault="00621675" w:rsidP="00621675">
      <w:pPr>
        <w:pStyle w:val="NormalHanging12a"/>
      </w:pPr>
      <w:r w:rsidRPr="007246F2">
        <w:t>–</w:t>
      </w:r>
      <w:r w:rsidRPr="007246F2">
        <w:tab/>
        <w:t>so zreteľom na výročnú správu Dvora audítorov o agentúrach EÚ za rozpočtový rok 2022 spolu s odpoveďami agentúr</w:t>
      </w:r>
      <w:r w:rsidRPr="007246F2">
        <w:rPr>
          <w:rStyle w:val="FootnoteReference"/>
        </w:rPr>
        <w:footnoteReference w:id="1"/>
      </w:r>
      <w:r w:rsidRPr="007246F2">
        <w:t>,</w:t>
      </w:r>
    </w:p>
    <w:p w:rsidR="00621675" w:rsidRPr="007246F2" w:rsidRDefault="00621675" w:rsidP="00621675">
      <w:pPr>
        <w:pStyle w:val="NormalHanging12a"/>
      </w:pPr>
      <w:r w:rsidRPr="007246F2">
        <w:t>–</w:t>
      </w:r>
      <w:r w:rsidRPr="007246F2">
        <w:tab/>
        <w:t>so zreteľom na vyhlásenie</w:t>
      </w:r>
      <w:r w:rsidRPr="007246F2">
        <w:rPr>
          <w:rStyle w:val="FootnoteReference"/>
        </w:rPr>
        <w:footnoteReference w:id="2"/>
      </w:r>
      <w:r w:rsidRPr="007246F2">
        <w:t xml:space="preserve"> o vierohodnosti vedenia účtov a zákonnosti a správnosti príslušných operácií, ktoré poskytol Dvor audítorov za rozpočtový rok 2022 v súlade s článkom 287 Zmluvy o fungovaní Európskej únie,</w:t>
      </w:r>
    </w:p>
    <w:p w:rsidR="00621675" w:rsidRPr="007246F2" w:rsidRDefault="00621675" w:rsidP="00621675">
      <w:pPr>
        <w:pStyle w:val="NormalHanging12a"/>
      </w:pPr>
      <w:r w:rsidRPr="007246F2">
        <w:t>–</w:t>
      </w:r>
      <w:r w:rsidRPr="007246F2">
        <w:tab/>
        <w:t>so zreteľom na odporúčanie Rady z 22. februára 2024 o udelení absolutória agentúre za plnenie rozpočtu za rozpočtový rok 2022 (</w:t>
      </w:r>
      <w:r w:rsidR="00115ED1" w:rsidRPr="007246F2">
        <w:t>06180</w:t>
      </w:r>
      <w:r w:rsidRPr="007246F2">
        <w:t>/2024 – C9</w:t>
      </w:r>
      <w:r w:rsidRPr="007246F2">
        <w:noBreakHyphen/>
      </w:r>
      <w:r w:rsidR="00115ED1" w:rsidRPr="007246F2">
        <w:t>0097</w:t>
      </w:r>
      <w:r w:rsidRPr="007246F2">
        <w:t>/2024),</w:t>
      </w:r>
    </w:p>
    <w:p w:rsidR="00621675" w:rsidRPr="007246F2" w:rsidRDefault="00621675" w:rsidP="00621675">
      <w:pPr>
        <w:pStyle w:val="NormalHanging12a"/>
      </w:pPr>
      <w:r w:rsidRPr="007246F2">
        <w:t>–</w:t>
      </w:r>
      <w:r w:rsidRPr="007246F2">
        <w:tab/>
        <w:t>so zreteľom na článok 319 Zmluvy o fungovaní Európskej únie,</w:t>
      </w:r>
    </w:p>
    <w:p w:rsidR="00621675" w:rsidRPr="007246F2" w:rsidRDefault="00621675" w:rsidP="00621675">
      <w:pPr>
        <w:pStyle w:val="NormalHanging12a"/>
      </w:pPr>
      <w:r w:rsidRPr="007246F2">
        <w:t>–</w:t>
      </w:r>
      <w:r w:rsidRPr="007246F2">
        <w:tab/>
        <w:t xml:space="preserve">so zreteľom na nariadenie Európskeho parlamentu a Rady (EÚ, </w:t>
      </w:r>
      <w:proofErr w:type="spellStart"/>
      <w:r w:rsidRPr="007246F2">
        <w:t>Euratom</w:t>
      </w:r>
      <w:proofErr w:type="spellEnd"/>
      <w:r w:rsidRPr="007246F2"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7246F2">
        <w:t>Euratom</w:t>
      </w:r>
      <w:proofErr w:type="spellEnd"/>
      <w:r w:rsidRPr="007246F2">
        <w:t>) č. 966/2012</w:t>
      </w:r>
      <w:r w:rsidRPr="007246F2">
        <w:rPr>
          <w:rStyle w:val="FootnoteReference"/>
        </w:rPr>
        <w:footnoteReference w:id="3"/>
      </w:r>
      <w:r w:rsidRPr="007246F2">
        <w:t>, a najmä na jeho článok 70,</w:t>
      </w:r>
    </w:p>
    <w:p w:rsidR="00621675" w:rsidRPr="007246F2" w:rsidRDefault="00621675" w:rsidP="00621675">
      <w:pPr>
        <w:pStyle w:val="NormalHanging12a"/>
      </w:pPr>
      <w:r w:rsidRPr="007246F2">
        <w:t>–</w:t>
      </w:r>
      <w:r w:rsidRPr="007246F2">
        <w:tab/>
        <w:t>so zreteľom na nariadenie Európskeho parlamentu a Rady (EÚ) 2019/881 zo 17. apríla 2019 o agentúre ENISA (Agentúra Európskej únie pre kybernetickú bezpečnosť) a o certifikácii kybernetickej bezpečnosti informačných a komunikačných technológií a o zrušení nariadenia (EÚ) č. 526/2013 (akt o kybernetickej bezpečnosti)</w:t>
      </w:r>
      <w:r w:rsidRPr="007246F2">
        <w:rPr>
          <w:rStyle w:val="FootnoteReference"/>
        </w:rPr>
        <w:footnoteReference w:id="4"/>
      </w:r>
      <w:r w:rsidRPr="007246F2">
        <w:t xml:space="preserve">, a najmä na </w:t>
      </w:r>
      <w:r w:rsidRPr="007246F2">
        <w:lastRenderedPageBreak/>
        <w:t>jeho článok 31,</w:t>
      </w:r>
    </w:p>
    <w:p w:rsidR="00621675" w:rsidRPr="007246F2" w:rsidRDefault="00621675" w:rsidP="00621675">
      <w:pPr>
        <w:pStyle w:val="NormalHanging12a"/>
      </w:pPr>
      <w:r w:rsidRPr="007246F2">
        <w:t>–</w:t>
      </w:r>
      <w:r w:rsidRPr="007246F2">
        <w:tab/>
        <w:t xml:space="preserve">so zreteľom na delegované nariadenie Komisie (EÚ) 2019/715 z 18. decembra 2018 o rámcovom nariadení o rozpočtových pravidlách pre subjekty zriadené podľa ZFEÚ a Zmluvy o </w:t>
      </w:r>
      <w:proofErr w:type="spellStart"/>
      <w:r w:rsidRPr="007246F2">
        <w:t>Euratome</w:t>
      </w:r>
      <w:proofErr w:type="spellEnd"/>
      <w:r w:rsidRPr="007246F2">
        <w:t xml:space="preserve"> a uvedené v článku 70 nariadenia Európskeho parlamentu a Rady (EÚ, </w:t>
      </w:r>
      <w:proofErr w:type="spellStart"/>
      <w:r w:rsidRPr="007246F2">
        <w:t>Euratom</w:t>
      </w:r>
      <w:proofErr w:type="spellEnd"/>
      <w:r w:rsidRPr="007246F2">
        <w:t>) 2018/1046</w:t>
      </w:r>
      <w:r w:rsidRPr="007246F2">
        <w:rPr>
          <w:rStyle w:val="FootnoteReference"/>
        </w:rPr>
        <w:footnoteReference w:id="5"/>
      </w:r>
      <w:r w:rsidRPr="007246F2">
        <w:t>, a najmä na jeho článok 105,</w:t>
      </w:r>
    </w:p>
    <w:p w:rsidR="00621675" w:rsidRPr="007246F2" w:rsidRDefault="00621675" w:rsidP="00621675">
      <w:pPr>
        <w:pStyle w:val="NormalHanging12a"/>
      </w:pPr>
      <w:r w:rsidRPr="007246F2">
        <w:t>–</w:t>
      </w:r>
      <w:r w:rsidRPr="007246F2">
        <w:tab/>
        <w:t>so zreteľom na článok 100 a prílohu V k rokovaciemu poriadku,</w:t>
      </w:r>
    </w:p>
    <w:p w:rsidR="00621675" w:rsidRPr="007246F2" w:rsidRDefault="00621675" w:rsidP="00621675">
      <w:pPr>
        <w:pStyle w:val="NormalHanging12a"/>
      </w:pPr>
      <w:r w:rsidRPr="007246F2">
        <w:t>–</w:t>
      </w:r>
      <w:r w:rsidRPr="007246F2">
        <w:tab/>
        <w:t>so zreteľom na správu Výboru pre kontrolu rozpočtu (A9-0134/2024),</w:t>
      </w:r>
    </w:p>
    <w:p w:rsidR="00621675" w:rsidRPr="007246F2" w:rsidRDefault="00621675" w:rsidP="00621675">
      <w:pPr>
        <w:pStyle w:val="NormalHanging12a"/>
      </w:pPr>
      <w:r w:rsidRPr="007246F2">
        <w:t>1.</w:t>
      </w:r>
      <w:r w:rsidRPr="007246F2">
        <w:tab/>
        <w:t>udeľuje výkonnému riaditeľovi agentúry ENISA (Agentúry Európskej únie pre kybernetickú bezpečnosť) absolutórium za plnenie rozpočtu agentúry za rozpočtový rok 2022;</w:t>
      </w:r>
    </w:p>
    <w:p w:rsidR="00621675" w:rsidRPr="007246F2" w:rsidRDefault="00621675" w:rsidP="00621675">
      <w:pPr>
        <w:pStyle w:val="NormalHanging12a"/>
      </w:pPr>
      <w:r w:rsidRPr="007246F2">
        <w:t>2.</w:t>
      </w:r>
      <w:r w:rsidRPr="007246F2">
        <w:tab/>
        <w:t>uvádza svoje poznámky v priloženom uznesení;</w:t>
      </w:r>
    </w:p>
    <w:p w:rsidR="00621675" w:rsidRPr="007246F2" w:rsidRDefault="00621675" w:rsidP="00621675">
      <w:pPr>
        <w:pStyle w:val="NormalHanging12a"/>
      </w:pPr>
      <w:r w:rsidRPr="007246F2">
        <w:t>3.</w:t>
      </w:r>
      <w:r w:rsidRPr="007246F2">
        <w:tab/>
        <w:t xml:space="preserve">poveruje svoju predsedníčku, aby postúpila toto rozhodnutie a uznesenie, ktoré je jeho neoddeliteľnou súčasťou, výkonnému riaditeľovi agentúry ENISA (Agentúry Európskej únie pre kybernetickú bezpečnosť), Rade, Komisii a Dvoru audítorov a aby zabezpečila ich uverejnenie v </w:t>
      </w:r>
      <w:r w:rsidRPr="007246F2">
        <w:rPr>
          <w:i/>
          <w:iCs/>
        </w:rPr>
        <w:t>Úradnom vestníku Európskej únie</w:t>
      </w:r>
      <w:r w:rsidRPr="007246F2">
        <w:t xml:space="preserve"> (v sérii L).</w:t>
      </w:r>
    </w:p>
    <w:p w:rsidR="00621675" w:rsidRPr="007246F2" w:rsidRDefault="00621675" w:rsidP="00621675"/>
    <w:p w:rsidR="00621675" w:rsidRPr="007246F2" w:rsidRDefault="00621675" w:rsidP="00621675">
      <w:pPr>
        <w:widowControl/>
        <w:rPr>
          <w:rFonts w:ascii="Arial" w:hAnsi="Arial" w:cs="Arial"/>
          <w:b/>
        </w:rPr>
        <w:sectPr w:rsidR="00621675" w:rsidRPr="007246F2" w:rsidSect="00BF083A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621675" w:rsidRPr="007246F2" w:rsidRDefault="00621675" w:rsidP="00C8538C">
      <w:pPr>
        <w:pStyle w:val="ATHeading3"/>
      </w:pPr>
      <w:bookmarkStart w:id="9" w:name="_Toc162001212"/>
      <w:r w:rsidRPr="007246F2">
        <w:lastRenderedPageBreak/>
        <w:t xml:space="preserve">2. </w:t>
      </w:r>
      <w:bookmarkEnd w:id="9"/>
      <w:r w:rsidR="00C8538C" w:rsidRPr="007246F2">
        <w:t>Rozhodnutie Európskeho parlamentu z</w:t>
      </w:r>
      <w:r w:rsidR="00115ED1" w:rsidRPr="007246F2">
        <w:t> 11</w:t>
      </w:r>
      <w:r w:rsidR="00C8538C" w:rsidRPr="007246F2">
        <w:t xml:space="preserve">. apríla 2024 </w:t>
      </w:r>
      <w:r w:rsidRPr="007246F2">
        <w:t>o účtovnej závierke agentúry ENISA (Agentúry Európskej únie pre kybernetickú bezpečnosť) za rozpočtový rok 2022</w:t>
      </w:r>
      <w:r w:rsidR="00C8538C" w:rsidRPr="007246F2">
        <w:t xml:space="preserve"> </w:t>
      </w:r>
      <w:r w:rsidRPr="007246F2">
        <w:t>(2023/2159(DEC))</w:t>
      </w:r>
    </w:p>
    <w:p w:rsidR="00621675" w:rsidRPr="007246F2" w:rsidRDefault="00621675" w:rsidP="00621675">
      <w:pPr>
        <w:pStyle w:val="EPComma"/>
      </w:pPr>
      <w:r w:rsidRPr="007246F2">
        <w:rPr>
          <w:i/>
        </w:rPr>
        <w:t>Európsky parlament</w:t>
      </w:r>
      <w:r w:rsidRPr="007246F2">
        <w:t>,</w:t>
      </w:r>
    </w:p>
    <w:p w:rsidR="00621675" w:rsidRPr="007246F2" w:rsidRDefault="00621675" w:rsidP="00621675">
      <w:pPr>
        <w:pStyle w:val="NormalHanging12a"/>
      </w:pPr>
      <w:r w:rsidRPr="007246F2">
        <w:t>–</w:t>
      </w:r>
      <w:r w:rsidRPr="007246F2">
        <w:tab/>
        <w:t>so zreteľom na konečnú ročnú účtovnú závierku agentúry ENISA (Agentúry Európskej únie pre kybernetickú bezpečnosť) za rozpočtový rok 2022,</w:t>
      </w:r>
    </w:p>
    <w:p w:rsidR="00621675" w:rsidRPr="007246F2" w:rsidRDefault="00621675" w:rsidP="00621675">
      <w:pPr>
        <w:pStyle w:val="NormalHanging12a"/>
      </w:pPr>
      <w:r w:rsidRPr="007246F2">
        <w:t>–</w:t>
      </w:r>
      <w:r w:rsidRPr="007246F2">
        <w:tab/>
        <w:t>so zreteľom na výročnú správu Dvora audítorov o agentúrach EÚ za rozpočtový rok 2022 spolu s odpoveďami agentúr</w:t>
      </w:r>
      <w:r w:rsidRPr="007246F2">
        <w:rPr>
          <w:rStyle w:val="FootnoteReference"/>
        </w:rPr>
        <w:footnoteReference w:id="6"/>
      </w:r>
      <w:r w:rsidRPr="007246F2">
        <w:t>,</w:t>
      </w:r>
    </w:p>
    <w:p w:rsidR="00621675" w:rsidRPr="007246F2" w:rsidRDefault="00621675" w:rsidP="00621675">
      <w:pPr>
        <w:pStyle w:val="NormalHanging12a"/>
      </w:pPr>
      <w:r w:rsidRPr="007246F2">
        <w:t>–</w:t>
      </w:r>
      <w:r w:rsidRPr="007246F2">
        <w:tab/>
        <w:t>so zreteľom na vyhlásenie</w:t>
      </w:r>
      <w:r w:rsidRPr="007246F2">
        <w:rPr>
          <w:rStyle w:val="FootnoteReference"/>
        </w:rPr>
        <w:footnoteReference w:id="7"/>
      </w:r>
      <w:r w:rsidRPr="007246F2">
        <w:t xml:space="preserve"> o vierohodnosti vedenia účtov a zákonnosti a správnosti príslušných operácií, ktoré poskytol Dvor audítorov za rozpočtový rok 2022 v súlade s článkom 287 Zmluvy o fungovaní Európskej únie,</w:t>
      </w:r>
    </w:p>
    <w:p w:rsidR="00621675" w:rsidRPr="007246F2" w:rsidRDefault="00621675" w:rsidP="00621675">
      <w:pPr>
        <w:pStyle w:val="NormalHanging12a"/>
      </w:pPr>
      <w:r w:rsidRPr="007246F2">
        <w:t>–</w:t>
      </w:r>
      <w:r w:rsidRPr="007246F2">
        <w:tab/>
        <w:t>so zreteľom na odporúčanie Rady z 22. februára 2024 o udelení absolutória agentúre za plnenie rozpočtu za rozpočtový rok 2022 (</w:t>
      </w:r>
      <w:r w:rsidR="00115ED1" w:rsidRPr="007246F2">
        <w:t>06180</w:t>
      </w:r>
      <w:r w:rsidRPr="007246F2">
        <w:t>/2024 – C9</w:t>
      </w:r>
      <w:r w:rsidRPr="007246F2">
        <w:noBreakHyphen/>
      </w:r>
      <w:r w:rsidR="00115ED1" w:rsidRPr="007246F2">
        <w:t>0097</w:t>
      </w:r>
      <w:r w:rsidRPr="007246F2">
        <w:t>/2024),</w:t>
      </w:r>
    </w:p>
    <w:p w:rsidR="00621675" w:rsidRPr="007246F2" w:rsidRDefault="00621675" w:rsidP="00621675">
      <w:pPr>
        <w:pStyle w:val="NormalHanging12a"/>
      </w:pPr>
      <w:r w:rsidRPr="007246F2">
        <w:t>–</w:t>
      </w:r>
      <w:r w:rsidRPr="007246F2">
        <w:tab/>
        <w:t>so zreteľom na článok 319 Zmluvy o fungovaní Európskej únie,</w:t>
      </w:r>
    </w:p>
    <w:p w:rsidR="00621675" w:rsidRPr="007246F2" w:rsidRDefault="00621675" w:rsidP="00621675">
      <w:pPr>
        <w:pStyle w:val="NormalHanging12a"/>
      </w:pPr>
      <w:r w:rsidRPr="007246F2">
        <w:t>–</w:t>
      </w:r>
      <w:r w:rsidRPr="007246F2">
        <w:tab/>
        <w:t xml:space="preserve">so zreteľom na nariadenie Európskeho parlamentu a Rady (EÚ, </w:t>
      </w:r>
      <w:proofErr w:type="spellStart"/>
      <w:r w:rsidRPr="007246F2">
        <w:t>Euratom</w:t>
      </w:r>
      <w:proofErr w:type="spellEnd"/>
      <w:r w:rsidRPr="007246F2"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7246F2">
        <w:t>Euratom</w:t>
      </w:r>
      <w:proofErr w:type="spellEnd"/>
      <w:r w:rsidRPr="007246F2">
        <w:t>) č. 966/2012</w:t>
      </w:r>
      <w:r w:rsidRPr="007246F2">
        <w:rPr>
          <w:rStyle w:val="FootnoteReference"/>
        </w:rPr>
        <w:footnoteReference w:id="8"/>
      </w:r>
      <w:r w:rsidRPr="007246F2">
        <w:t>, a najmä na jeho článok 70,</w:t>
      </w:r>
    </w:p>
    <w:p w:rsidR="00621675" w:rsidRPr="007246F2" w:rsidRDefault="00621675" w:rsidP="00621675">
      <w:pPr>
        <w:pStyle w:val="NormalHanging12a"/>
      </w:pPr>
      <w:r w:rsidRPr="007246F2">
        <w:t>–</w:t>
      </w:r>
      <w:r w:rsidRPr="007246F2">
        <w:tab/>
        <w:t>so zreteľom na nariadenie Európskeho parlamentu a Rady (EÚ) 2019/881 zo 17. apríla 2019 o agentúre ENISA (Agentúra Európskej únie pre kybernetickú bezpečnosť) a o certifikácii kybernetickej bezpečnosti informačných a komunikačných technológií a o zrušení nariadenia (EÚ) č. 526/2013 (akt o kybernetickej bezpečnosti)</w:t>
      </w:r>
      <w:r w:rsidRPr="007246F2">
        <w:rPr>
          <w:rStyle w:val="FootnoteReference"/>
        </w:rPr>
        <w:footnoteReference w:id="9"/>
      </w:r>
      <w:r w:rsidRPr="007246F2">
        <w:t>, a najmä na jeho článok 31,</w:t>
      </w:r>
    </w:p>
    <w:p w:rsidR="00621675" w:rsidRPr="007246F2" w:rsidRDefault="00621675" w:rsidP="00621675">
      <w:pPr>
        <w:pStyle w:val="NormalHanging12a"/>
      </w:pPr>
      <w:r w:rsidRPr="007246F2">
        <w:t>–</w:t>
      </w:r>
      <w:r w:rsidRPr="007246F2"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7246F2">
        <w:t>Euratome</w:t>
      </w:r>
      <w:proofErr w:type="spellEnd"/>
      <w:r w:rsidRPr="007246F2">
        <w:t xml:space="preserve"> a uvedené v článku 70 nariadenia Európskeho parlamentu a Rady (EÚ, </w:t>
      </w:r>
      <w:proofErr w:type="spellStart"/>
      <w:r w:rsidRPr="007246F2">
        <w:t>Euratom</w:t>
      </w:r>
      <w:proofErr w:type="spellEnd"/>
      <w:r w:rsidRPr="007246F2">
        <w:t>) 2018/1046</w:t>
      </w:r>
      <w:r w:rsidRPr="007246F2">
        <w:rPr>
          <w:rStyle w:val="FootnoteReference"/>
        </w:rPr>
        <w:footnoteReference w:id="10"/>
      </w:r>
      <w:r w:rsidRPr="007246F2">
        <w:t>, a najmä na jeho článok 105,</w:t>
      </w:r>
    </w:p>
    <w:p w:rsidR="00621675" w:rsidRPr="007246F2" w:rsidRDefault="00621675" w:rsidP="00621675">
      <w:pPr>
        <w:pStyle w:val="NormalHanging12a"/>
      </w:pPr>
      <w:r w:rsidRPr="007246F2">
        <w:t>–</w:t>
      </w:r>
      <w:r w:rsidRPr="007246F2">
        <w:tab/>
        <w:t>so zreteľom na článok 100 a prílohu V k rokovaciemu poriadku,</w:t>
      </w:r>
    </w:p>
    <w:p w:rsidR="00621675" w:rsidRPr="007246F2" w:rsidRDefault="00621675" w:rsidP="00621675">
      <w:pPr>
        <w:pStyle w:val="NormalHanging12a"/>
      </w:pPr>
      <w:r w:rsidRPr="007246F2">
        <w:t>–</w:t>
      </w:r>
      <w:r w:rsidRPr="007246F2">
        <w:tab/>
        <w:t>so zreteľom na správu Výboru pre kontrolu rozpočtu (A9-0134/2024),</w:t>
      </w:r>
    </w:p>
    <w:p w:rsidR="00621675" w:rsidRPr="007246F2" w:rsidRDefault="00621675" w:rsidP="00621675">
      <w:pPr>
        <w:pStyle w:val="NormalHanging12a"/>
      </w:pPr>
      <w:r w:rsidRPr="007246F2">
        <w:t>1.</w:t>
      </w:r>
      <w:r w:rsidRPr="007246F2">
        <w:tab/>
        <w:t>schvaľuje účtovnú závierku agentúry ENISA (Agentúry Európskej únie pre kybernetickú bezpečnosť) za rozpočtový rok 2022;</w:t>
      </w:r>
    </w:p>
    <w:p w:rsidR="00621675" w:rsidRPr="007246F2" w:rsidRDefault="00621675" w:rsidP="00621675">
      <w:pPr>
        <w:pStyle w:val="NormalHanging12a"/>
      </w:pPr>
      <w:r w:rsidRPr="007246F2">
        <w:lastRenderedPageBreak/>
        <w:t>2.</w:t>
      </w:r>
      <w:r w:rsidRPr="007246F2">
        <w:tab/>
        <w:t xml:space="preserve">poveruje svoju predsedníčku, aby postúpila toto rozhodnutie výkonnému riaditeľovi agentúry ENISA (Agentúry Európskej únie pre kybernetickú bezpečnosť), Rade, Komisii a Dvoru audítorov a aby zabezpečila jeho uverejnenie v </w:t>
      </w:r>
      <w:r w:rsidRPr="007246F2">
        <w:rPr>
          <w:i/>
          <w:iCs/>
        </w:rPr>
        <w:t>Úradnom vestníku Európskej únie</w:t>
      </w:r>
      <w:r w:rsidRPr="007246F2">
        <w:t xml:space="preserve"> (v sérii L).</w:t>
      </w:r>
    </w:p>
    <w:p w:rsidR="00621675" w:rsidRPr="007246F2" w:rsidRDefault="00621675" w:rsidP="00621675"/>
    <w:p w:rsidR="00621675" w:rsidRPr="007246F2" w:rsidRDefault="00621675" w:rsidP="00621675">
      <w:pPr>
        <w:widowControl/>
        <w:rPr>
          <w:rFonts w:ascii="Arial" w:hAnsi="Arial" w:cs="Arial"/>
          <w:b/>
        </w:rPr>
        <w:sectPr w:rsidR="00621675" w:rsidRPr="007246F2" w:rsidSect="00BF083A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621675" w:rsidRPr="007246F2" w:rsidRDefault="00621675" w:rsidP="00C8538C">
      <w:pPr>
        <w:pStyle w:val="ATHeading3"/>
      </w:pPr>
      <w:bookmarkStart w:id="10" w:name="_Toc162001213"/>
      <w:r w:rsidRPr="007246F2">
        <w:lastRenderedPageBreak/>
        <w:t xml:space="preserve">3. </w:t>
      </w:r>
      <w:bookmarkEnd w:id="10"/>
      <w:r w:rsidR="00C8538C" w:rsidRPr="007246F2">
        <w:t>Uznesenie Európskeho parlamentu z</w:t>
      </w:r>
      <w:r w:rsidR="00115ED1" w:rsidRPr="007246F2">
        <w:t> 11</w:t>
      </w:r>
      <w:r w:rsidR="00C8538C" w:rsidRPr="007246F2">
        <w:t xml:space="preserve">. apríla 2024 </w:t>
      </w:r>
      <w:r w:rsidRPr="007246F2">
        <w:t xml:space="preserve">s poznámkami, ktoré </w:t>
      </w:r>
      <w:r w:rsidR="00C8538C" w:rsidRPr="007246F2">
        <w:t xml:space="preserve">je </w:t>
      </w:r>
      <w:r w:rsidRPr="007246F2">
        <w:t>neoddeliteľnou súčasťou rozhodnutia o absolutóriu za plnenie rozpočtu agentúry ENISA (Agentúry Európskej únie pre kybernetickú bezpečnosť) za rozpočtový rok 2022</w:t>
      </w:r>
      <w:r w:rsidR="00C8538C" w:rsidRPr="007246F2">
        <w:t xml:space="preserve"> </w:t>
      </w:r>
      <w:r w:rsidRPr="007246F2">
        <w:t>(2023/2159(DEC))</w:t>
      </w:r>
    </w:p>
    <w:p w:rsidR="00621675" w:rsidRPr="007246F2" w:rsidRDefault="00621675" w:rsidP="00621675">
      <w:pPr>
        <w:pStyle w:val="EPComma"/>
      </w:pPr>
      <w:r w:rsidRPr="007246F2">
        <w:rPr>
          <w:i/>
        </w:rPr>
        <w:t>Európsky parlament</w:t>
      </w:r>
      <w:r w:rsidRPr="007246F2">
        <w:t>,</w:t>
      </w:r>
    </w:p>
    <w:p w:rsidR="00621675" w:rsidRPr="007246F2" w:rsidRDefault="00621675" w:rsidP="00621675">
      <w:pPr>
        <w:pStyle w:val="NormalHanging12a"/>
      </w:pPr>
      <w:r w:rsidRPr="007246F2">
        <w:t>–</w:t>
      </w:r>
      <w:r w:rsidRPr="007246F2">
        <w:tab/>
        <w:t>so zreteľom na svoje rozhodnutie o absolutóriu za plnenie rozpočtu agentúry ENISA (Agentúry Európskej únie pre kybernetickú bezpečnosť) za rozpočtový rok 2022,</w:t>
      </w:r>
    </w:p>
    <w:p w:rsidR="00621675" w:rsidRPr="007246F2" w:rsidRDefault="00621675" w:rsidP="00621675">
      <w:pPr>
        <w:pStyle w:val="NormalHanging12a"/>
      </w:pPr>
      <w:r w:rsidRPr="007246F2">
        <w:t>–</w:t>
      </w:r>
      <w:r w:rsidRPr="007246F2">
        <w:tab/>
        <w:t>so zreteľom na článok 100 a prílohu V k rokovaciemu poriadku,</w:t>
      </w:r>
    </w:p>
    <w:p w:rsidR="00621675" w:rsidRPr="007246F2" w:rsidRDefault="00621675" w:rsidP="00621675">
      <w:pPr>
        <w:pStyle w:val="NormalHanging12a"/>
      </w:pPr>
      <w:r w:rsidRPr="007246F2">
        <w:t>–</w:t>
      </w:r>
      <w:r w:rsidRPr="007246F2">
        <w:tab/>
        <w:t>so zreteľom na osobitnú správu Dvora audítorov č. 05/2022,</w:t>
      </w:r>
    </w:p>
    <w:p w:rsidR="00621675" w:rsidRPr="007246F2" w:rsidRDefault="00621675" w:rsidP="00621675">
      <w:pPr>
        <w:pStyle w:val="NormalHanging12a"/>
      </w:pPr>
      <w:r w:rsidRPr="007246F2">
        <w:t>–</w:t>
      </w:r>
      <w:r w:rsidRPr="007246F2">
        <w:tab/>
        <w:t>so zreteľom na správu Výboru pre kontrolu rozpočtu (A9-0134/2024),</w:t>
      </w:r>
    </w:p>
    <w:p w:rsidR="00621675" w:rsidRPr="007246F2" w:rsidRDefault="00621675" w:rsidP="00621675">
      <w:pPr>
        <w:autoSpaceDE w:val="0"/>
        <w:autoSpaceDN w:val="0"/>
        <w:adjustRightInd w:val="0"/>
        <w:spacing w:after="240"/>
        <w:ind w:left="567" w:hanging="567"/>
      </w:pPr>
      <w:r w:rsidRPr="007246F2">
        <w:t>A.</w:t>
      </w:r>
      <w:r w:rsidRPr="007246F2">
        <w:tab/>
        <w:t>keďže podľa výkazu príjmov a výdavkov</w:t>
      </w:r>
      <w:r w:rsidRPr="007246F2">
        <w:rPr>
          <w:rStyle w:val="FootnoteReference"/>
          <w:szCs w:val="24"/>
        </w:rPr>
        <w:footnoteReference w:id="11"/>
      </w:r>
      <w:r w:rsidRPr="007246F2">
        <w:t xml:space="preserve"> bol konečný rozpočet agentúry ENISA (ďalej len „agentúra“) za rozpočtový rok 2022 na úrovni 39 207 625 EUR, čo v porovnaní s rokom 2021 predstavuje zvýšenie o 67,03 %; keďže zvýšenie rozpočtu agentúry možno vysvetliť najmä dodatočnými úlohami súvisiacimi s pilotným vykonávaním akčného programu na podporu kybernetickej bezpečnosti; keďže rozpočet agentúry pochádza najmä z rozpočtu Únie;</w:t>
      </w:r>
    </w:p>
    <w:p w:rsidR="00621675" w:rsidRPr="007246F2" w:rsidRDefault="00621675" w:rsidP="00621675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7246F2">
        <w:t>B.</w:t>
      </w:r>
      <w:r w:rsidRPr="007246F2">
        <w:tab/>
        <w:t>keďže Dvor audítorov vo svojej správe o overení ročnej účtovnej závierky agentúry za rozpočtový rok 2022 (ďalej len „správa Dvora audítorov“) vyhlásil, že získal primeranú istotu o tom, že ročná účtovná závierka agentúry je spoľahlivá a že príslušné operácie sú zákonné a správne;</w:t>
      </w:r>
    </w:p>
    <w:p w:rsidR="00621675" w:rsidRPr="007246F2" w:rsidRDefault="00621675" w:rsidP="00621675">
      <w:pPr>
        <w:pStyle w:val="Normal12Hanging"/>
        <w:rPr>
          <w:b/>
          <w:i/>
          <w:szCs w:val="24"/>
        </w:rPr>
      </w:pPr>
      <w:r w:rsidRPr="007246F2">
        <w:rPr>
          <w:b/>
          <w:i/>
        </w:rPr>
        <w:t>Rozpočtové a finančné riadenie</w:t>
      </w:r>
    </w:p>
    <w:p w:rsidR="00621675" w:rsidRPr="007246F2" w:rsidRDefault="00621675" w:rsidP="00621675">
      <w:pPr>
        <w:pStyle w:val="Normal12Hanging"/>
        <w:rPr>
          <w:szCs w:val="24"/>
        </w:rPr>
      </w:pPr>
      <w:r w:rsidRPr="007246F2">
        <w:t>1.</w:t>
      </w:r>
      <w:r w:rsidRPr="007246F2">
        <w:tab/>
        <w:t>s uznaním konštatuje, že úsilie o monitorovanie rozpočtu v priebehu rozpočtového roka 2022 viedlo k plneniu rozpočtu rozpočtových prostriedkov v bežnom roku na úrovni 99,93 %, čo predstavuje zvýšenie o 0,42 % v porovnaní s rokom 2021; ďalej poznamenáva, že miera plnenia platobných rozpočtových prostriedkov v bežnom roku bola 52,02 %, čo v porovnaní s rokom 2021 predstavuje zníženie o 25,38 %;</w:t>
      </w:r>
    </w:p>
    <w:p w:rsidR="00621675" w:rsidRPr="007246F2" w:rsidRDefault="00621675" w:rsidP="00621675">
      <w:pPr>
        <w:pStyle w:val="Normal12Hanging"/>
        <w:rPr>
          <w:b/>
          <w:i/>
          <w:szCs w:val="24"/>
        </w:rPr>
      </w:pPr>
      <w:r w:rsidRPr="007246F2">
        <w:t>2.</w:t>
      </w:r>
      <w:r w:rsidRPr="007246F2">
        <w:tab/>
        <w:t>zdôrazňuje, že suma konečného rozpočtu agentúry je výsledkom zmeny vo výške 15 000 000 EUR, ktorú správna rada prijala 5. augusta 2022 v dôsledku vykonávania opatrení na podporu kybernetickej bezpečnosti zameraných na posilnenie reakcie agentúry pri podpore členských štátov v súlade s jej mandátom; konštatuje, že väčšina záväzkov v rámci opatrení na podporu kybernetickej bezpečnosti bola podpísaná koncom roka, čo vysvetľuje pomerne nízku mieru platieb (a následný veľký prenos);</w:t>
      </w:r>
    </w:p>
    <w:p w:rsidR="00621675" w:rsidRPr="007246F2" w:rsidRDefault="00621675" w:rsidP="00621675">
      <w:pPr>
        <w:pStyle w:val="Normal12Hanging"/>
        <w:rPr>
          <w:b/>
          <w:i/>
          <w:szCs w:val="24"/>
        </w:rPr>
      </w:pPr>
      <w:r w:rsidRPr="007246F2">
        <w:rPr>
          <w:b/>
          <w:i/>
        </w:rPr>
        <w:t>Výkonnosť</w:t>
      </w:r>
    </w:p>
    <w:p w:rsidR="00621675" w:rsidRPr="007246F2" w:rsidRDefault="00621675" w:rsidP="00621675">
      <w:pPr>
        <w:pStyle w:val="Normal12Hanging"/>
        <w:rPr>
          <w:szCs w:val="24"/>
        </w:rPr>
      </w:pPr>
      <w:r w:rsidRPr="007246F2">
        <w:t>3.</w:t>
      </w:r>
      <w:r w:rsidRPr="007246F2">
        <w:tab/>
        <w:t xml:space="preserve">blahoželá agentúre k tomu, že v roku 2022 splnila 100 % svojho pracovného programu; víta skutočnosť, že agentúra používa kľúčové ukazovatele výkonnosti (KPI) na posúdenie svojich činností a výsledkov týkajúcich sa cieľov pracovného programu; konštatuje, že niektoré výstupy nedosiahli svoje ciele v plnej miere z dôvodu zmeny </w:t>
      </w:r>
      <w:r w:rsidRPr="007246F2">
        <w:lastRenderedPageBreak/>
        <w:t>priorít zdrojov s cieľom poskytnúť podporné opatrenia v oblasti kybernetickej bezpečnosti v reakcii na nezákonnú a nevyprovokovanú inváziu Ruska na Ukrajinu; konštatuje, že niektoré výstupy, ktoré sú viac ovplyvnené v dôsledku tejto zmeny priorít, boli okrem iného výstupy 4.2 „Rozvíjať a posilniť štandardné operačné politiky, postupy, metodiky a nástroje pre kybernetickú krízu“ a 5.3 „Iniciovať rozvoj dôveryhodnej siete predajcov/dodávateľov“;</w:t>
      </w:r>
    </w:p>
    <w:p w:rsidR="00621675" w:rsidRPr="007246F2" w:rsidRDefault="00621675" w:rsidP="00621675">
      <w:pPr>
        <w:pStyle w:val="NormalHanging12a"/>
      </w:pPr>
      <w:r w:rsidRPr="007246F2">
        <w:t>4.</w:t>
      </w:r>
      <w:r w:rsidRPr="007246F2">
        <w:tab/>
        <w:t>uvedomuje si, že v bezpečnostnej agende Únie v roku 2022 dominovala nezákonná a nevyprovokovaná invázia Ruska na Ukrajinu; s uspokojením konštatuje, že agentúra zintenzívnila svoju koordináciu a pripravenosť a prispela k spoločnému situačnému povedomiu Únie poskytovaním pravidelných situačných správ o kybernetickej činnosti; zdôrazňuje, že sa zintenzívnila aj koordinácia a výmena informácií so sieťami kybernetickej bezpečnosti, ako je Európska sieť styčných organizácií pre kybernetické krízy (EU-</w:t>
      </w:r>
      <w:proofErr w:type="spellStart"/>
      <w:r w:rsidRPr="007246F2">
        <w:t>CyCLONe</w:t>
      </w:r>
      <w:proofErr w:type="spellEnd"/>
      <w:r w:rsidRPr="007246F2">
        <w:t>), ktorá pozostáva z vnútroštátnych orgánov pre riadenie kríz v oblasti kybernetickej bezpečnosti, a s mnohými odvetvovými komunitami podporovanými agentúrou; víta úsilie agentúry o zabezpečenie komunikačných kanálov medzi politickou, operačnou a technickou úrovňou a posilnenú spoluprácu so sieťou tímov reakcie na počítačové bezpečnostné incidenty;</w:t>
      </w:r>
    </w:p>
    <w:p w:rsidR="00621675" w:rsidRPr="007246F2" w:rsidRDefault="00621675" w:rsidP="00621675">
      <w:pPr>
        <w:pStyle w:val="Normal12Hanging"/>
        <w:rPr>
          <w:szCs w:val="24"/>
        </w:rPr>
      </w:pPr>
      <w:r w:rsidRPr="007246F2">
        <w:t>5.</w:t>
      </w:r>
      <w:r w:rsidRPr="007246F2">
        <w:tab/>
        <w:t>s uspokojením konštatuje, že v roku 2022 agentúra pilotovala teplotnú mapu Únie, ktorej cieľom bolo poskytnúť rýchly prehľad o kybernetických incidentoch a kybernetických udalostiach, ktoré majú vplyv na kritické odvetvia Únie v dôsledku kybernetickej aktivity súvisiacej s ruskou útočnou vojnou proti Ukrajine; konštatuje, že tieto odvetvia prispeli k integrovanej situačnej informovanosti a analytickej správe Komisie s 52 aktualizáciami o súčasnej situácii a incidentoch v súvislosti s ruskou útočnou vojnou proti Ukrajine, čo prispelo k mechanizmu krízového riadenia Únie;</w:t>
      </w:r>
    </w:p>
    <w:p w:rsidR="00621675" w:rsidRPr="007246F2" w:rsidRDefault="00621675" w:rsidP="00621675">
      <w:pPr>
        <w:pStyle w:val="Normal12Hanging"/>
        <w:rPr>
          <w:szCs w:val="24"/>
        </w:rPr>
      </w:pPr>
      <w:r w:rsidRPr="007246F2">
        <w:t>6.</w:t>
      </w:r>
      <w:r w:rsidRPr="007246F2">
        <w:tab/>
        <w:t>berie na vedomie skutočnosť, že podľa osobitnej správy Dvora audítorov č. 05/2022: „Kybernetická bezpečnosť inštitúcií, orgánov a agentúr EÚ“ sa prudko zvyšuje počet kybernetických útokov na orgány EÚ a úroveň pripravenosti v oblasti kybernetickej bezpečnosti v rámci orgánov Únie sa líši a celkovo nezodpovedá rastúcim hrozbám; konštatuje, že keďže orgány Únie sú úzko prepojené, slabé miesta v jednej z nich môžu vystaviť bezpečnostným hrozbám aj ostatné. zdôrazňuje, že Dvor audítorov odporúča, aby sa agentúra spolu s tímom reakcie na núdzové počítačové situácie v Únii viac zamerala na orgány Únie, ktoré majú menej skúseností s riadením kybernetickej bezpečnosti, a to: a) určením prioritných oblastí, v ktorých inštitúcie, orgány a agentúry Únie potrebujú najväčšiu podporu, napríklad prostredníctvom posúdení vyspelosti, a b) vykonávaním opatrení na budovanie kapacít v súlade s memorandom o porozumení; vyzýva agentúru, aby riešila otázky, na ktoré poukázal Dvor audítorov, a informovala orgán udeľujúci absolutórium o opatreniach prijatých v tejto veci;</w:t>
      </w:r>
    </w:p>
    <w:p w:rsidR="00621675" w:rsidRPr="007246F2" w:rsidRDefault="00621675" w:rsidP="00621675">
      <w:pPr>
        <w:pStyle w:val="Normal12Hanging"/>
        <w:rPr>
          <w:szCs w:val="24"/>
        </w:rPr>
      </w:pPr>
      <w:r w:rsidRPr="007246F2">
        <w:t>7.</w:t>
      </w:r>
      <w:r w:rsidRPr="007246F2">
        <w:tab/>
        <w:t>berie na vedomie skutočnosť, že agentúra v roku 2022 vykonala rôzne činnosti s cieľom plniť svoju úlohu pri podpore Únie; konštatuje, že hoci agentúra dokázala ponúknuť svoju podporu viacerým politickým spisom, ako je sieťová a informačná bezpečnosť, kybernetická odolnosť a digitálna prevádzková odolnosť, obmedzené zdroje zabránili agentúre aktívne podporovať politické spisy s ustanoveniami o kybernetickej bezpečnosti, ako je európsky priestor pre zdravotné údaje, a ďalšie kľúčové politické spisy, ako sú digitálne trhy a digitálne služby; konštatuje, že medzi ďalšie činnosti patrilo informovanie tvorcov politík o účinnosti existujúcich rámcov kybernetickej bezpečnosti a poskytovanie podpory kritickým odvetviam; ďalej konštatuje, že prijatie smernice Európskeho parlamentu a Rady (EÚ) 2022/2555</w:t>
      </w:r>
      <w:r w:rsidRPr="007246F2">
        <w:rPr>
          <w:rStyle w:val="FootnoteReference"/>
          <w:szCs w:val="24"/>
        </w:rPr>
        <w:footnoteReference w:id="12"/>
      </w:r>
      <w:r w:rsidRPr="007246F2">
        <w:t xml:space="preserve"> (smernica NIS 2) predstavuje opatrenie na riešenie výziev a harmonizáciu politík v celej Únii; chápe, že nedostatočná harmonizácia pri vykonávaní smernice NIS 1 viedla k roztrieštenému politickému prostrediu, ktorým sa zaoberá smernica NIS 2; uvedomuje si, že nariadenie rozširuje rozsah pôsobnosti zavedením nových horizontálnych úloh pre agentúru, ako je register Únie pre digitálne subjekty; zdôrazňuje, že agentúra upravila svoje služby a zdroje novou stratégiou na splnenie vyvíjajúcich sa požiadaviek prostredia kybernetickej bezpečnosti;</w:t>
      </w:r>
    </w:p>
    <w:p w:rsidR="00621675" w:rsidRPr="007246F2" w:rsidRDefault="00621675" w:rsidP="00621675">
      <w:pPr>
        <w:pStyle w:val="Normal12Hanging"/>
        <w:rPr>
          <w:b/>
          <w:i/>
        </w:rPr>
      </w:pPr>
      <w:r w:rsidRPr="007246F2">
        <w:rPr>
          <w:b/>
          <w:i/>
        </w:rPr>
        <w:t>Efektívnosť a zisky</w:t>
      </w:r>
    </w:p>
    <w:p w:rsidR="00621675" w:rsidRPr="007246F2" w:rsidRDefault="00621675" w:rsidP="00621675">
      <w:pPr>
        <w:pStyle w:val="Normal12Hanging"/>
        <w:rPr>
          <w:szCs w:val="24"/>
        </w:rPr>
      </w:pPr>
      <w:r w:rsidRPr="007246F2">
        <w:t>8.</w:t>
      </w:r>
      <w:r w:rsidRPr="007246F2">
        <w:tab/>
        <w:t xml:space="preserve">konštatuje, že agentúra sa snažila zvýšiť využívanie služieb zdieľaných s inými agentúrami a/alebo Komisiou, a to napríklad prostredníctvom </w:t>
      </w:r>
      <w:proofErr w:type="spellStart"/>
      <w:r w:rsidRPr="007246F2">
        <w:t>medziagentúrnych</w:t>
      </w:r>
      <w:proofErr w:type="spellEnd"/>
      <w:r w:rsidRPr="007246F2">
        <w:t xml:space="preserve"> a </w:t>
      </w:r>
      <w:proofErr w:type="spellStart"/>
      <w:r w:rsidRPr="007246F2">
        <w:t>medziinštitucionálnych</w:t>
      </w:r>
      <w:proofErr w:type="spellEnd"/>
      <w:r w:rsidRPr="007246F2">
        <w:t xml:space="preserve"> postupov verejného obstarávania a spoločného využívania služieb s Európskym strediskom pre rozvoj odborného vzdelávania (</w:t>
      </w:r>
      <w:proofErr w:type="spellStart"/>
      <w:r w:rsidRPr="007246F2">
        <w:t>Cedefop</w:t>
      </w:r>
      <w:proofErr w:type="spellEnd"/>
      <w:r w:rsidRPr="007246F2">
        <w:t>) a Európskym centrom kompetencií v oblasti kybernetickej bezpečnosti (ECCC); ďalej konštatuje, že v roku 2022 agentúra podpísala dohodu o úrovni poskytovaných služieb s novozriadeným Európskym centrom priemyselných, technologických a výskumných kompetencií v oblasti kybernetickej bezpečnosti s cieľom poskytnúť centru úradníka pre ochranu údajov a účtovnícke služby, ktorá sa má vykonať v roku 2023;</w:t>
      </w:r>
    </w:p>
    <w:p w:rsidR="00621675" w:rsidRPr="007246F2" w:rsidRDefault="00621675" w:rsidP="00621675">
      <w:pPr>
        <w:pStyle w:val="Normal12Hanging"/>
        <w:rPr>
          <w:szCs w:val="24"/>
        </w:rPr>
      </w:pPr>
      <w:r w:rsidRPr="007246F2">
        <w:t>9.</w:t>
      </w:r>
      <w:r w:rsidRPr="007246F2">
        <w:tab/>
        <w:t>berie na vedomie kroky, ktoré agentúra podnikla s cieľom prejsť od tradičnej metodiky počtu zamestnancov k strategickému plánovaniu pracovnej sily s cieľom predvídať a riešiť nedostatky v personálnom obsadení na vybudovanie pružnej pracovnej sily a vyčlenenie zdrojov na prioritné oblasti;</w:t>
      </w:r>
    </w:p>
    <w:p w:rsidR="00621675" w:rsidRPr="007246F2" w:rsidRDefault="00621675" w:rsidP="00621675">
      <w:pPr>
        <w:pStyle w:val="Normal12Hanging"/>
        <w:rPr>
          <w:szCs w:val="24"/>
        </w:rPr>
      </w:pPr>
      <w:r w:rsidRPr="007246F2">
        <w:t>10.</w:t>
      </w:r>
      <w:r w:rsidRPr="007246F2">
        <w:tab/>
        <w:t>víta príspevok agentúry k podpore spoločných služieb medzi agentúrami prostredníctvom viacerých sietí v oblasti verejného obstarávania, ľudských zdrojov, IKT, riadenia rizík, riadenia výkonnosti, ochrany údajov, informačnej bezpečnosti a účtovníctva; poukazuje na horizontálne prínosy spolupráce a prispôsobovania najlepších postupov a tiež na to, že vďaka spoločným iniciatívam sa zbližujú rôzne perspektívy, znižuje sa duplicita úsilia, rozširuje sa vzdelávanie a posilňujú vzťahy medzi subjektmi; povzbudzuje agentúru, aby identifikovala interné postupy, ktoré by sa mohli zefektívniť novými IT nástrojmi;</w:t>
      </w:r>
    </w:p>
    <w:p w:rsidR="00621675" w:rsidRPr="007246F2" w:rsidRDefault="00621675" w:rsidP="00621675">
      <w:pPr>
        <w:pStyle w:val="Normal12Hanging"/>
        <w:rPr>
          <w:szCs w:val="24"/>
        </w:rPr>
      </w:pPr>
      <w:r w:rsidRPr="007246F2">
        <w:t>11.</w:t>
      </w:r>
      <w:r w:rsidRPr="007246F2">
        <w:tab/>
        <w:t>s uspokojením berie na vedomie zapojenie agentúry do pilotného projektu v rámci siete agentúr EÚ, ktorej cieľom je podporiť agentúry Únie pri zvyšovaní ich pripravenosti na nadchádzajúce nové nariadenie o kybernetickej bezpečnosti;</w:t>
      </w:r>
    </w:p>
    <w:p w:rsidR="00621675" w:rsidRPr="007246F2" w:rsidRDefault="00621675" w:rsidP="00621675">
      <w:pPr>
        <w:pStyle w:val="NormalHanging12a"/>
      </w:pPr>
      <w:r w:rsidRPr="007246F2">
        <w:t>12.</w:t>
      </w:r>
      <w:r w:rsidRPr="007246F2">
        <w:tab/>
        <w:t>pripomína dôležitosť zvýšenia digitalizácie agentúry, pokiaľ ide o jej vnútornú prevádzku a riadenie, ale aj v záujme urýchlenia digitalizácie postupov; zdôrazňuje, že je potrebné, aby bol inštitút v tejto súvislosti naďalej aktívny s cieľom zabrániť digitálnej priepasti medzi agentúrami;</w:t>
      </w:r>
    </w:p>
    <w:p w:rsidR="00621675" w:rsidRPr="007246F2" w:rsidRDefault="00621675" w:rsidP="00621675">
      <w:pPr>
        <w:pStyle w:val="Normal12Hanging"/>
        <w:rPr>
          <w:b/>
          <w:i/>
          <w:szCs w:val="24"/>
        </w:rPr>
      </w:pPr>
      <w:r w:rsidRPr="007246F2">
        <w:rPr>
          <w:b/>
          <w:i/>
        </w:rPr>
        <w:t>Personálna politika</w:t>
      </w:r>
    </w:p>
    <w:p w:rsidR="00621675" w:rsidRPr="007246F2" w:rsidRDefault="00621675" w:rsidP="00621675">
      <w:pPr>
        <w:pStyle w:val="Normal12Hanging"/>
        <w:rPr>
          <w:szCs w:val="24"/>
        </w:rPr>
      </w:pPr>
      <w:r w:rsidRPr="007246F2">
        <w:t>13.</w:t>
      </w:r>
      <w:r w:rsidRPr="007246F2">
        <w:tab/>
        <w:t>konštatuje, že k 31. decembru 2022 bol plán pracovných miest naplnený na 89,02 %, pričom z 82 miest pre dočasných zamestnancov schválených v rámci rozpočtu Únie bolo obsadených 73 (v porovnaní so 76 schválenými pracovnými miestami v roku 2021); konštatuje, že okrem toho v roku 2022 pracovalo pre agentúru 27 zmluvných zamestnancov, 10 vyslaných národných expertov, 10 dočasných zamestnancov a 16 dodávateľov;</w:t>
      </w:r>
    </w:p>
    <w:p w:rsidR="00621675" w:rsidRPr="007246F2" w:rsidRDefault="00621675" w:rsidP="00621675">
      <w:pPr>
        <w:spacing w:after="240"/>
        <w:ind w:left="567" w:hanging="567"/>
        <w:rPr>
          <w:szCs w:val="24"/>
        </w:rPr>
      </w:pPr>
      <w:r w:rsidRPr="007246F2">
        <w:t>14.</w:t>
      </w:r>
      <w:r w:rsidRPr="007246F2">
        <w:tab/>
        <w:t xml:space="preserve">so znepokojením konštatuje neexistenciu rodovej rovnováhy medzi členmi vrcholového a stredného manažmentu agentúry, keďže 12 zo 17 členov sú muži (71 %); domnieva sa, že rodová rovnováha vo vrcholovom a v strednom manažmente agentúry sa musí zlepšiť; pripomína, že je dôležité zabezpečiť rodovú rovnováhu, a vyzýva agentúru, aby tento aspekt zohľadnilo pri budúcich vymenovaniach do vrcholového a stredného manažmentu; berie na vedomie rodové rozdelenie členov správnej rady agentúry, keďže 41 zo 55 členov (75 %) sú muži; uznáva, že zloženie správnej rady vo veľkej miere závisí od nominácií členských štátov; trvá na tom, aby Komisia a členské štáty zohľadnili význam zabezpečenia rodovej rovnováhy pri predkladaní svojich nominácií na členov správnej rady agentúry; berie na vedomie vyvážené rodové rozdelenie medzi zamestnancami agentúry celkovo, pričom je medzi nimi 57 mužov (52 %) a 53 žien (48 %); berie na vedomie kroky, ktoré agentúra podnikla s cieľom riešiť problémy s rodovou rovnováhou, čo zahŕňa revíziu jej politiky prijímania zamestnancov s cieľom podporiť ženy pri podávaní prihlášok; ďalej konštatuje, že agentúra vo svojej podnikovej stratégii plánuje získať do konca roka 2025 sieťový certifikát </w:t>
      </w:r>
      <w:proofErr w:type="spellStart"/>
      <w:r w:rsidRPr="007246F2">
        <w:t>excelentnosti</w:t>
      </w:r>
      <w:proofErr w:type="spellEnd"/>
      <w:r w:rsidRPr="007246F2">
        <w:t xml:space="preserve"> agentúry EÚ v oblasti rozmanitosti a začlenenia;</w:t>
      </w:r>
    </w:p>
    <w:p w:rsidR="00621675" w:rsidRPr="007246F2" w:rsidRDefault="00621675" w:rsidP="00621675">
      <w:pPr>
        <w:pStyle w:val="NormalHanging12a"/>
      </w:pPr>
      <w:r w:rsidRPr="007246F2">
        <w:t>15.</w:t>
      </w:r>
      <w:r w:rsidRPr="007246F2">
        <w:tab/>
        <w:t xml:space="preserve">konštatuje, že agentúra má politiku v oblasti ochrany ľudskej dôstojnosti a predchádzania psychickému a sexuálnemu obťažovaniu a že agentúra je súčasťou </w:t>
      </w:r>
      <w:proofErr w:type="spellStart"/>
      <w:r w:rsidRPr="007246F2">
        <w:t>medziagentúrnej</w:t>
      </w:r>
      <w:proofErr w:type="spellEnd"/>
      <w:r w:rsidRPr="007246F2">
        <w:t xml:space="preserve"> pracovnej skupiny dôverných poradcov; so záujmom očakáva ich správu a odporúčania; konštatuje, že v roku 2022 neboli nahlásené žiadne prípady obťažovania, a nabáda agentúru, aby pokračovala v práci na predchádzaní takýmto prípadom aj v budúcnosti a rozvíjala ju;</w:t>
      </w:r>
    </w:p>
    <w:p w:rsidR="00621675" w:rsidRPr="007246F2" w:rsidRDefault="00621675" w:rsidP="00621675">
      <w:pPr>
        <w:pStyle w:val="NormalHanging12a"/>
      </w:pPr>
      <w:r w:rsidRPr="007246F2">
        <w:t>16.</w:t>
      </w:r>
      <w:r w:rsidRPr="007246F2">
        <w:tab/>
        <w:t>vyjadruje znepokojenie nad geografickou nerovnováhou medzi vyšším a stredným manažmentom a ostatnými zamestnancami agentúry, keďže 40,9 % z nich má grécku štátnu príslušnosť; trvá na tom, že sa to musí zlepšiť; žiada agentúru, aby o tejto otázke informovala orgán udeľujúci absolutórium;</w:t>
      </w:r>
    </w:p>
    <w:p w:rsidR="00621675" w:rsidRPr="007246F2" w:rsidRDefault="00621675" w:rsidP="00621675">
      <w:pPr>
        <w:spacing w:after="240"/>
        <w:ind w:left="567" w:hanging="567"/>
        <w:rPr>
          <w:szCs w:val="24"/>
        </w:rPr>
      </w:pPr>
      <w:r w:rsidRPr="007246F2">
        <w:t>17.</w:t>
      </w:r>
      <w:r w:rsidRPr="007246F2">
        <w:tab/>
        <w:t>so znepokojením konštatuje, že počas prípravy pracovného programu na rok 2023 agentúra identifikovala nedostatok zdrojov vo výške 734 000 EUR a dva ekvivalenty plného pracovného času v operáciách a 2,5 milióna EUR v oblasti služieb na úrovni agentúry; ďalej konštatuje, že dôkladné hodnotenie potrieb ľudských zdrojov na roky 2023 – 2025 odhalilo značnú medzeru, najmä v kritických oblastiach činnosti, a že bez dodatočných pracovných miest agentúra bude možno musieť stanoviť priority a upraviť budúce pracovné programy s cieľom kompenzovať nedostatok zdrojov; berie na vedomie skutočnosť, že správna rada agentúry tiež vyjadrila potrebu zvýšiť počet pracovných miest pre agentúru, aby mohla v plnej miere a udržateľne plniť svoj mandát;</w:t>
      </w:r>
    </w:p>
    <w:p w:rsidR="00621675" w:rsidRPr="007246F2" w:rsidRDefault="00621675" w:rsidP="00621675">
      <w:pPr>
        <w:pStyle w:val="Normal12Hanging"/>
        <w:rPr>
          <w:szCs w:val="24"/>
        </w:rPr>
      </w:pPr>
      <w:r w:rsidRPr="007246F2">
        <w:t>18.</w:t>
      </w:r>
      <w:r w:rsidRPr="007246F2">
        <w:tab/>
        <w:t>víta úsilie agentúry o integráciu osôb so zdravotným postihnutím pri vytváraní prístupnej infraštruktúry a podporných služieb;</w:t>
      </w:r>
    </w:p>
    <w:p w:rsidR="00621675" w:rsidRPr="007246F2" w:rsidRDefault="00621675" w:rsidP="00621675">
      <w:pPr>
        <w:pStyle w:val="Normal12Hanging"/>
        <w:rPr>
          <w:szCs w:val="24"/>
        </w:rPr>
      </w:pPr>
      <w:r w:rsidRPr="007246F2">
        <w:t>19.</w:t>
      </w:r>
      <w:r w:rsidRPr="007246F2">
        <w:tab/>
        <w:t xml:space="preserve">konštatuje, že agentúra v roku 2022 pokračovala vo svojej doplnkovej podpore pre zamestnancov v podobe poukážok, refundácie poplatkov za internet a programu </w:t>
      </w:r>
      <w:proofErr w:type="spellStart"/>
      <w:r w:rsidRPr="007246F2">
        <w:t>fit@work</w:t>
      </w:r>
      <w:proofErr w:type="spellEnd"/>
      <w:r w:rsidRPr="007246F2">
        <w:t xml:space="preserve"> a vypracovala svoj kódex správania, v ktorom načrtla očakávania agentúry týkajúce sa správania zamestnancov;</w:t>
      </w:r>
    </w:p>
    <w:p w:rsidR="00621675" w:rsidRPr="007246F2" w:rsidRDefault="00621675" w:rsidP="00621675">
      <w:pPr>
        <w:pStyle w:val="NormalHanging12a"/>
        <w:rPr>
          <w:b/>
          <w:i/>
          <w:szCs w:val="24"/>
        </w:rPr>
      </w:pPr>
      <w:r w:rsidRPr="007246F2">
        <w:rPr>
          <w:b/>
          <w:i/>
        </w:rPr>
        <w:t>Verejné obstarávanie</w:t>
      </w:r>
    </w:p>
    <w:p w:rsidR="00621675" w:rsidRPr="007246F2" w:rsidRDefault="00621675" w:rsidP="00621675">
      <w:pPr>
        <w:pStyle w:val="NormalHanging12a"/>
        <w:rPr>
          <w:szCs w:val="24"/>
        </w:rPr>
      </w:pPr>
      <w:r w:rsidRPr="007246F2">
        <w:t>20.</w:t>
      </w:r>
      <w:r w:rsidRPr="007246F2">
        <w:tab/>
        <w:t>so znepokojením konštatuje, že Dvor audítorov zistil dva prípady, keď agentúra zadala zákazky s nízkou hodnotou (menej ako 15 000 EUR) bez toho, aby vydala hodnotiacu správu a rozhodnutie o zadaní zákazky riadne schválené a podpísané povoľujúcim úradníkom, čo je v rozpore s bodmi 30.3 a 30.4 prílohy I k nariadeniu o rozpočtových pravidlách; v tejto súvislosti pripomína, že Dvor audítorov uviedol podobnú pripomienku vo svojej správe za rok 2021 a že v odpovedi agentúry sa uvádza, že už podnikla potrebné kroky na riešenie tohto problému; trvá na tom, že je dôležité vykonávať postupy na zabezpečenie úplného súladu s nariadením o rozpočtových pravidlách; vyzýva agentúru, aby riešila otázky, na ktoré poukázal Dvor audítorov, a informovala orgán udeľujúci absolutórium o akomkoľvek vývoji v tejto súvislosti;</w:t>
      </w:r>
    </w:p>
    <w:p w:rsidR="00621675" w:rsidRPr="007246F2" w:rsidRDefault="00621675" w:rsidP="00621675">
      <w:pPr>
        <w:pStyle w:val="NormalHanging12a"/>
        <w:rPr>
          <w:szCs w:val="24"/>
        </w:rPr>
      </w:pPr>
      <w:r w:rsidRPr="007246F2">
        <w:t>21.</w:t>
      </w:r>
      <w:r w:rsidRPr="007246F2">
        <w:tab/>
        <w:t>berie na vedomie, že podľa Dvora audítorov agentúra v roku 2022 zabezpečila svojim manažérom profesijné hodnotenie, ktoré vykonal externý poskytovateľ určený agentúrou; konštatuje, že v troch prípadoch agentúra zaplatila poskytovateľovi za tieto služby priamo, zatiaľ čo v zostávajúcich 23 prípadoch uhradili náklady samotní vedúci pracovníci a agentúra im ich preplatila; konštatuje, že celková suma, ktorú agentúra zaplatila za 26 hodnotení, bola 120 276 EUR; vyjadruje poľutovanie nad tým, že agentúra vybrala poskytovateľa bez toho, aby uskutočnila verejný postup obstarávania, a z tohto dôvodu Dvor audítorov dospel k záveru, že tieto platby boli v rozpore s pravidlami; vyzýva agentúru, aby riešila otázky, na ktoré poukázal Dvor audítorov, a informovala orgán udeľujúci absolutórium o opatreniach prijatých v tejto veci;</w:t>
      </w:r>
    </w:p>
    <w:p w:rsidR="00621675" w:rsidRPr="007246F2" w:rsidRDefault="00621675" w:rsidP="00621675">
      <w:pPr>
        <w:pStyle w:val="NormalHanging12a"/>
        <w:rPr>
          <w:szCs w:val="24"/>
        </w:rPr>
      </w:pPr>
      <w:r w:rsidRPr="007246F2">
        <w:t>22.</w:t>
      </w:r>
      <w:r w:rsidRPr="007246F2">
        <w:tab/>
        <w:t>trvá na tom, že cieľom pravidiel verejného obstarávania je umožniť obstarávateľským subjektom získať tovar a služby, ktoré potrebujú, za najlepšiu cenu a zároveň zabezpečiť spravodlivú hospodársku súťaž medzi uchádzačmi a súlad so zásadami transparentnosti, proporcionality, rovnakého zaobchádzania a nediskriminácie; vyzýva agentúru, aby ďalej zlepšovala svoje postupy verejného obstarávania a zabezpečila plný súlad s platnými pravidlami s cieľom dosiahnuť najlepší možný pomer medzi kvalitou a cenou;</w:t>
      </w:r>
    </w:p>
    <w:p w:rsidR="00621675" w:rsidRPr="007246F2" w:rsidRDefault="00621675" w:rsidP="00621675">
      <w:pPr>
        <w:pStyle w:val="NormalHanging12a"/>
        <w:rPr>
          <w:szCs w:val="24"/>
        </w:rPr>
      </w:pPr>
      <w:r w:rsidRPr="007246F2">
        <w:rPr>
          <w:b/>
          <w:i/>
        </w:rPr>
        <w:t>Prevencia, riešenie konfliktov záujmov a transparentnosť</w:t>
      </w:r>
    </w:p>
    <w:p w:rsidR="00621675" w:rsidRPr="007246F2" w:rsidRDefault="00621675" w:rsidP="00621675">
      <w:pPr>
        <w:pStyle w:val="NormalHanging12a"/>
        <w:rPr>
          <w:szCs w:val="24"/>
        </w:rPr>
      </w:pPr>
      <w:r w:rsidRPr="007246F2">
        <w:t>23.</w:t>
      </w:r>
      <w:r w:rsidRPr="007246F2">
        <w:tab/>
        <w:t>berie na vedomie súčasné opatrenia a prebiehajúce úsilie agentúry o zabezpečenie transparentnosti a prevencie a riešenie konfliktov záujmov a konštatuje, že životopisy členov správnej rady a ich vyhlásenia o záväzkoch a vyhlásenia o záujmoch sú zverejňované na webovom sídle agentúry, hoci niektoré životopisy chýbajú;</w:t>
      </w:r>
    </w:p>
    <w:p w:rsidR="00621675" w:rsidRPr="007246F2" w:rsidRDefault="00621675" w:rsidP="00621675">
      <w:pPr>
        <w:pStyle w:val="NormalHanging12a"/>
        <w:rPr>
          <w:szCs w:val="24"/>
        </w:rPr>
      </w:pPr>
      <w:r w:rsidRPr="007246F2">
        <w:t>24.</w:t>
      </w:r>
      <w:r w:rsidRPr="007246F2">
        <w:tab/>
        <w:t>konštatuje, že agentúra v roku 2022 neoznámila žiadne prípady konfliktu záujmov; ďalej berie na vedomie, že agentúra prijala rozhodnutie svojej správnej rady č. 15/2021 o predchádzaní konfliktom záujmov a aktualizovala vzory vyhlásení; trvá na tom, že je dôležité mať zavedené postupy na monitorovanie dodržiavania pravidiel týkajúcich sa javu otáčavých dverí a aktívne monitorovanie odbornej činnosti vedúcich pracovníkov vrátane tých, ktorí opustili agentúru v posledných dvoch rokoch, aby bolo možné odhaliť nedeklarované situácie javu otáčavých dverí;</w:t>
      </w:r>
    </w:p>
    <w:p w:rsidR="00621675" w:rsidRPr="007246F2" w:rsidRDefault="00621675" w:rsidP="00621675">
      <w:pPr>
        <w:pStyle w:val="NormalHanging12a"/>
        <w:rPr>
          <w:szCs w:val="24"/>
        </w:rPr>
      </w:pPr>
      <w:r w:rsidRPr="007246F2">
        <w:t>25.</w:t>
      </w:r>
      <w:r w:rsidRPr="007246F2">
        <w:tab/>
        <w:t>berie na vedomie, že harmonogram stretnutí medzi vedením agentúry a externými zainteresovanými stranami je verejne dostupný na jej webovom sídle;</w:t>
      </w:r>
    </w:p>
    <w:p w:rsidR="00621675" w:rsidRPr="007246F2" w:rsidRDefault="00621675" w:rsidP="00621675">
      <w:pPr>
        <w:pStyle w:val="NormalHanging12a"/>
      </w:pPr>
      <w:r w:rsidRPr="007246F2">
        <w:t>26.</w:t>
      </w:r>
      <w:r w:rsidRPr="007246F2">
        <w:tab/>
        <w:t>pripomína, že je dôležité, aby sa agentúra viac zviditeľnila v médiách, na internete a v sociálnych médiách s cieľom informovať občanov o svojej práci;</w:t>
      </w:r>
    </w:p>
    <w:p w:rsidR="00621675" w:rsidRPr="007246F2" w:rsidRDefault="00621675" w:rsidP="00621675">
      <w:pPr>
        <w:pStyle w:val="Normal12Hanging"/>
        <w:rPr>
          <w:b/>
          <w:i/>
          <w:szCs w:val="24"/>
        </w:rPr>
      </w:pPr>
      <w:r w:rsidRPr="007246F2">
        <w:rPr>
          <w:b/>
          <w:i/>
        </w:rPr>
        <w:t>Vnútorná kontrola</w:t>
      </w:r>
    </w:p>
    <w:p w:rsidR="00621675" w:rsidRPr="007246F2" w:rsidRDefault="00621675" w:rsidP="00621675">
      <w:pPr>
        <w:pStyle w:val="Normal12Hanging"/>
      </w:pPr>
      <w:r w:rsidRPr="007246F2">
        <w:t>27.</w:t>
      </w:r>
      <w:r w:rsidRPr="007246F2">
        <w:tab/>
        <w:t>konštatuje, že Útvar pre vnútorný audit vykonal v roku 2021 audit plánovania strategického plánovania a riadenia výkonnosti a v apríli 2022 vydal svoju záverečnú audítorskú správu s tromi dôležitými odporúčaniami, ďalej berie na vedomie súhlas agentúry s audítorskými pripomienkami a to, že podnikla potrebné kroky na riešenie týchto obáv;</w:t>
      </w:r>
    </w:p>
    <w:p w:rsidR="00621675" w:rsidRPr="007246F2" w:rsidRDefault="00621675" w:rsidP="00621675">
      <w:pPr>
        <w:pStyle w:val="Normal12Hanging"/>
      </w:pPr>
      <w:r w:rsidRPr="007246F2">
        <w:t>28.</w:t>
      </w:r>
      <w:r w:rsidRPr="007246F2">
        <w:tab/>
        <w:t>berie na vedomie, že podľa Dvora audítorov agentúra nemá vopred určené vzorové posúdenie, t. j. usmernenia, ktoré majú hodnotiacej komisii pomôcť pri posudzovaní ponúk; konštatuje, že to zahŕňa riziko, že jednotliví členovia hodnotiacej komisie nebudú ponuky vyhodnocovať konzistentne; vyzýva agentúru, aby riešila túto otázku, na ktorú poukázal Dvor audítorov, a informovala orgán udeľujúci absolutórium;</w:t>
      </w:r>
    </w:p>
    <w:p w:rsidR="00621675" w:rsidRPr="007246F2" w:rsidRDefault="00621675" w:rsidP="00621675">
      <w:pPr>
        <w:pStyle w:val="Normal12Hanging"/>
      </w:pPr>
      <w:r w:rsidRPr="007246F2">
        <w:t>29.</w:t>
      </w:r>
      <w:r w:rsidRPr="007246F2">
        <w:tab/>
        <w:t xml:space="preserve">berie na vedomie, že v roku 2022 agentúra vykonala </w:t>
      </w:r>
      <w:r w:rsidRPr="007246F2">
        <w:rPr>
          <w:i/>
          <w:iCs/>
        </w:rPr>
        <w:t>ex post</w:t>
      </w:r>
      <w:r w:rsidRPr="007246F2">
        <w:t xml:space="preserve"> kontroly finančných transakcií vykonaných počas rozpočtového roka 2021 podľa článku 45 ods. 8 a 9 delegovaného nariadenia Komisie (EÚ) 2019/715</w:t>
      </w:r>
      <w:r w:rsidRPr="007246F2">
        <w:rPr>
          <w:rStyle w:val="FootnoteReference"/>
        </w:rPr>
        <w:footnoteReference w:id="13"/>
      </w:r>
      <w:r w:rsidRPr="007246F2">
        <w:t>; upozorňuje na skutočnosť, že boli zistené tri nedostatky, ktoré viedli k trom odporúčaniam týkajúcim sa finančných transakcií, z ktorých žiadne sa nepovažovalo za kritické; konštatuje, že s cieľom riešiť hlavný nedostatok sa v roku 2022 zaviedlo týždenné monitorovanie času potrebného na platbu s cieľom upozorniť príslušných finančných zamestnancov na naliehavé transakcie, ktoré sa majú spracovať, aby sa dodržal právny rámec týkajúci sa platobných lehôt;</w:t>
      </w:r>
    </w:p>
    <w:p w:rsidR="00621675" w:rsidRPr="007246F2" w:rsidRDefault="00621675" w:rsidP="00621675">
      <w:pPr>
        <w:pStyle w:val="Normal12Hanging"/>
      </w:pPr>
      <w:r w:rsidRPr="007246F2">
        <w:t>30.</w:t>
      </w:r>
      <w:r w:rsidRPr="007246F2">
        <w:tab/>
        <w:t>konštatuje, že v roku 2022 bolo posúdenie účinnosti systémov vnútornej kontroly agentúry založené na ukazovateľoch rámca, ako aj na dodatočných informáciách z osobitných hodnotiacich správ (rizika), zistení auditu a iných relevantných zdrojov; konštatuje, že z posúdenia vnútorných kontrol agentúry vyplýva primeraná istota pri uľahčovaní účinných a efektívnych operácií, zabezpečovaní podávania správ o kvalite a dodržiavaní predpisov, ale v súvislosti s určitými zásadami sú potrebné určité zlepšenia s cieľom zvýšiť účinnosť a zabezpečiť riadne vykonávanie vnútorných kontrol; vyzýva agentúru, aby orgánu udeľujúcemu absolutórium podala správu o svojich opatreniach nadväzujúcich na posúdenia zlepšení;</w:t>
      </w:r>
    </w:p>
    <w:p w:rsidR="00621675" w:rsidRPr="007246F2" w:rsidRDefault="00621675" w:rsidP="00621675">
      <w:pPr>
        <w:pStyle w:val="Normal12Hanging"/>
        <w:rPr>
          <w:b/>
          <w:i/>
          <w:color w:val="000000"/>
        </w:rPr>
      </w:pPr>
      <w:r w:rsidRPr="007246F2">
        <w:rPr>
          <w:b/>
          <w:i/>
          <w:color w:val="000000"/>
        </w:rPr>
        <w:t>Ďalšie pripomienky</w:t>
      </w:r>
    </w:p>
    <w:p w:rsidR="00621675" w:rsidRPr="007246F2" w:rsidRDefault="00621675" w:rsidP="00621675">
      <w:pPr>
        <w:pStyle w:val="NormalHanging12a"/>
        <w:rPr>
          <w:szCs w:val="24"/>
        </w:rPr>
      </w:pPr>
      <w:r w:rsidRPr="007246F2">
        <w:t>31.</w:t>
      </w:r>
      <w:r w:rsidRPr="007246F2">
        <w:tab/>
        <w:t>konštatuje, že agentúra zaviedla dôležité opatrenia s cieľom zvýšiť ochranu v oblasti kybernetickej bezpečnosti, ako sú bezpečné e-mailové riešenie (SECEM2), cvičenie krízového tímu a následné opatrenia a vylepšenia, vyraďovanie starých systémov z prevádzky a aktualizácia vnútorného politického rámca kybernetickej bezpečnosti;</w:t>
      </w:r>
    </w:p>
    <w:p w:rsidR="00621675" w:rsidRPr="007246F2" w:rsidRDefault="00621675" w:rsidP="00621675">
      <w:pPr>
        <w:pStyle w:val="NormalHanging12a"/>
      </w:pPr>
      <w:r w:rsidRPr="007246F2">
        <w:t>32.</w:t>
      </w:r>
      <w:r w:rsidRPr="007246F2">
        <w:tab/>
        <w:t>víta skutočnosť, že správna rada agentúry doplnila do jednotného programového dokumentu agentúry na roky 2022 – 2024 cieľ agentúry dosiahnuť klimatickú neutralitu vo všetkých svojich operáciách do roku 2030; konštatuje, že po prijatí podnikovej stratégie agentúry sú certifikácia EMAS a zelené verejné obstarávanie kľúčovými cieľmi agentúry; berie na vedomie skutočnosť, že proces certifikácie by mal byť podľa očakávaní dokončený v priebehu roka 2024;</w:t>
      </w:r>
    </w:p>
    <w:p w:rsidR="00C8538C" w:rsidRPr="007246F2" w:rsidRDefault="00C8538C" w:rsidP="00C8538C">
      <w:pPr>
        <w:pStyle w:val="NormalHanging12a"/>
        <w:widowControl/>
        <w:ind w:left="0" w:firstLine="0"/>
        <w:jc w:val="center"/>
      </w:pPr>
      <w:r w:rsidRPr="007246F2">
        <w:t>°</w:t>
      </w:r>
    </w:p>
    <w:p w:rsidR="00C8538C" w:rsidRPr="007246F2" w:rsidRDefault="00C8538C" w:rsidP="00C8538C">
      <w:pPr>
        <w:pStyle w:val="NormalHanging12a"/>
        <w:widowControl/>
        <w:ind w:left="0" w:firstLine="0"/>
        <w:jc w:val="center"/>
      </w:pPr>
      <w:r w:rsidRPr="007246F2">
        <w:t>°     °</w:t>
      </w:r>
    </w:p>
    <w:p w:rsidR="00621675" w:rsidRPr="007246F2" w:rsidRDefault="00621675" w:rsidP="00621675">
      <w:pPr>
        <w:pStyle w:val="NormalHanging12a"/>
      </w:pPr>
      <w:r w:rsidRPr="007246F2">
        <w:t>33.</w:t>
      </w:r>
      <w:r w:rsidRPr="007246F2">
        <w:tab/>
        <w:t>pokiaľ ide o ďalšie poznámky horizontálnej povahy, ktoré sú súčasťou rozhodnutia o absolutóriu, odvoláva sa na svoje uznesenie z</w:t>
      </w:r>
      <w:r w:rsidR="00C8538C" w:rsidRPr="007246F2">
        <w:t> </w:t>
      </w:r>
      <w:r w:rsidR="00115ED1" w:rsidRPr="007246F2">
        <w:t>11</w:t>
      </w:r>
      <w:r w:rsidR="00C8538C" w:rsidRPr="007246F2">
        <w:t>. apríla 2024</w:t>
      </w:r>
      <w:r w:rsidRPr="007246F2">
        <w:rPr>
          <w:vertAlign w:val="superscript"/>
        </w:rPr>
        <w:footnoteReference w:id="14"/>
      </w:r>
      <w:r w:rsidRPr="007246F2">
        <w:t xml:space="preserve"> o výkonnosti, finančnom hospodárení a kontrole agentúr.</w:t>
      </w:r>
    </w:p>
    <w:sectPr w:rsidR="00621675" w:rsidRPr="007246F2" w:rsidSect="00BF083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37E5" w:rsidRPr="00BF083A" w:rsidRDefault="00EE37E5">
      <w:r w:rsidRPr="00BF083A">
        <w:separator/>
      </w:r>
    </w:p>
  </w:endnote>
  <w:endnote w:type="continuationSeparator" w:id="0">
    <w:p w:rsidR="00EE37E5" w:rsidRPr="00BF083A" w:rsidRDefault="00EE37E5">
      <w:r w:rsidRPr="00BF083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675" w:rsidRPr="00BF083A" w:rsidRDefault="00621675" w:rsidP="00FD0597">
    <w:pPr>
      <w:pStyle w:val="EPFooter"/>
    </w:pPr>
    <w:r w:rsidRPr="00BF083A">
      <w:t>PE</w:t>
    </w:r>
    <w:r w:rsidRPr="00BF083A">
      <w:rPr>
        <w:rStyle w:val="HideTWBExt"/>
      </w:rPr>
      <w:t>&lt;NoPE&gt;</w:t>
    </w:r>
    <w:r w:rsidRPr="00BF083A">
      <w:t>753.527</w:t>
    </w:r>
    <w:r w:rsidRPr="00BF083A">
      <w:rPr>
        <w:rStyle w:val="HideTWBExt"/>
      </w:rPr>
      <w:t>&lt;/NoPE&gt;&lt;Version&gt;</w:t>
    </w:r>
    <w:r w:rsidRPr="00BF083A">
      <w:t>v02-00</w:t>
    </w:r>
    <w:r w:rsidRPr="00BF083A">
      <w:rPr>
        <w:rStyle w:val="HideTWBExt"/>
      </w:rPr>
      <w:t>&lt;/Version&gt;</w:t>
    </w:r>
    <w:r w:rsidRPr="00BF083A">
      <w:tab/>
    </w:r>
    <w:r w:rsidRPr="00BF083A">
      <w:fldChar w:fldCharType="begin"/>
    </w:r>
    <w:r w:rsidRPr="00BF083A">
      <w:instrText xml:space="preserve"> PAGE  \* MERGEFORMAT </w:instrText>
    </w:r>
    <w:r w:rsidRPr="00BF083A">
      <w:fldChar w:fldCharType="separate"/>
    </w:r>
    <w:r w:rsidR="00BF083A" w:rsidRPr="00BF083A">
      <w:rPr>
        <w:noProof/>
      </w:rPr>
      <w:t>2</w:t>
    </w:r>
    <w:r w:rsidRPr="00BF083A">
      <w:fldChar w:fldCharType="end"/>
    </w:r>
    <w:r w:rsidRPr="00BF083A">
      <w:t>/</w:t>
    </w:r>
    <w:r w:rsidR="007246F2">
      <w:fldChar w:fldCharType="begin"/>
    </w:r>
    <w:r w:rsidR="007246F2">
      <w:instrText xml:space="preserve"> NUMPAGES  \* MERGEFORMAT </w:instrText>
    </w:r>
    <w:r w:rsidR="007246F2">
      <w:fldChar w:fldCharType="separate"/>
    </w:r>
    <w:r w:rsidR="00BF083A" w:rsidRPr="00BF083A">
      <w:rPr>
        <w:noProof/>
      </w:rPr>
      <w:t>4</w:t>
    </w:r>
    <w:r w:rsidR="007246F2">
      <w:rPr>
        <w:noProof/>
      </w:rPr>
      <w:fldChar w:fldCharType="end"/>
    </w:r>
    <w:r w:rsidRPr="00BF083A">
      <w:tab/>
    </w:r>
    <w:r w:rsidRPr="00BF083A">
      <w:rPr>
        <w:rStyle w:val="HideTWBExt"/>
      </w:rPr>
      <w:t>&lt;PathFdR&gt;</w:t>
    </w:r>
    <w:r w:rsidRPr="00BF083A">
      <w:t>RR\1299245SK.docx</w:t>
    </w:r>
    <w:r w:rsidRPr="00BF083A">
      <w:rPr>
        <w:rStyle w:val="HideTWBExt"/>
      </w:rPr>
      <w:t>&lt;/PathFdR&gt;</w:t>
    </w:r>
  </w:p>
  <w:p w:rsidR="00621675" w:rsidRPr="00BF083A" w:rsidRDefault="00621675" w:rsidP="00FD0597">
    <w:pPr>
      <w:pStyle w:val="EPFooter2"/>
    </w:pPr>
    <w:r w:rsidRPr="00BF083A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675" w:rsidRPr="00BF083A" w:rsidRDefault="00621675" w:rsidP="00FD0597">
    <w:pPr>
      <w:pStyle w:val="EPFooter"/>
    </w:pPr>
    <w:r w:rsidRPr="00BF083A">
      <w:rPr>
        <w:rStyle w:val="HideTWBExt"/>
      </w:rPr>
      <w:t>&lt;PathFdR&gt;</w:t>
    </w:r>
    <w:r w:rsidRPr="00BF083A">
      <w:t>RR\1299245SK.docx</w:t>
    </w:r>
    <w:r w:rsidRPr="00BF083A">
      <w:rPr>
        <w:rStyle w:val="HideTWBExt"/>
      </w:rPr>
      <w:t>&lt;/PathFdR&gt;</w:t>
    </w:r>
    <w:r w:rsidRPr="00BF083A">
      <w:tab/>
    </w:r>
    <w:r w:rsidRPr="00BF083A">
      <w:tab/>
      <w:t>PE</w:t>
    </w:r>
    <w:r w:rsidRPr="00BF083A">
      <w:rPr>
        <w:rStyle w:val="HideTWBExt"/>
      </w:rPr>
      <w:t>&lt;NoPE&gt;</w:t>
    </w:r>
    <w:r w:rsidRPr="00BF083A">
      <w:t>753.527</w:t>
    </w:r>
    <w:r w:rsidRPr="00BF083A">
      <w:rPr>
        <w:rStyle w:val="HideTWBExt"/>
      </w:rPr>
      <w:t>&lt;/NoPE&gt;&lt;Version&gt;</w:t>
    </w:r>
    <w:r w:rsidRPr="00BF083A">
      <w:t>v02-00</w:t>
    </w:r>
    <w:r w:rsidRPr="00BF083A">
      <w:rPr>
        <w:rStyle w:val="HideTWBExt"/>
      </w:rPr>
      <w:t>&lt;/Version&gt;</w:t>
    </w:r>
  </w:p>
  <w:p w:rsidR="00621675" w:rsidRPr="00BF083A" w:rsidRDefault="00621675" w:rsidP="00FD0597">
    <w:pPr>
      <w:pStyle w:val="EPFooter2"/>
    </w:pPr>
    <w:r w:rsidRPr="00BF083A">
      <w:t>SK</w:t>
    </w:r>
    <w:r w:rsidRPr="00BF083A">
      <w:tab/>
    </w:r>
    <w:r w:rsidRPr="00BF083A">
      <w:rPr>
        <w:b w:val="0"/>
        <w:i/>
        <w:color w:val="C0C0C0"/>
        <w:sz w:val="22"/>
      </w:rPr>
      <w:t>Zjednotení v rozmanitosti</w:t>
    </w:r>
    <w:r w:rsidRPr="00BF083A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083A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083A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083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37E5" w:rsidRPr="00BF083A" w:rsidRDefault="00EE37E5">
      <w:r w:rsidRPr="00BF083A">
        <w:separator/>
      </w:r>
    </w:p>
  </w:footnote>
  <w:footnote w:type="continuationSeparator" w:id="0">
    <w:p w:rsidR="00EE37E5" w:rsidRPr="00BF083A" w:rsidRDefault="00EE37E5">
      <w:r w:rsidRPr="00BF083A">
        <w:continuationSeparator/>
      </w:r>
    </w:p>
  </w:footnote>
  <w:footnote w:id="1">
    <w:p w:rsidR="00621675" w:rsidRPr="00BF083A" w:rsidRDefault="00621675" w:rsidP="00BF083A">
      <w:pPr>
        <w:pStyle w:val="FootnoteText"/>
        <w:ind w:left="567" w:hanging="567"/>
        <w:rPr>
          <w:sz w:val="24"/>
          <w:lang w:val="sk-SK"/>
        </w:rPr>
      </w:pPr>
      <w:r w:rsidRPr="00BF083A">
        <w:rPr>
          <w:rStyle w:val="FootnoteReference"/>
          <w:sz w:val="24"/>
          <w:lang w:val="sk-SK"/>
        </w:rPr>
        <w:footnoteRef/>
      </w:r>
      <w:r w:rsidR="00BF083A" w:rsidRPr="00BF083A">
        <w:rPr>
          <w:sz w:val="24"/>
          <w:lang w:val="sk-SK"/>
        </w:rPr>
        <w:t xml:space="preserve"> </w:t>
      </w:r>
      <w:r w:rsidR="00BF083A" w:rsidRPr="00BF083A">
        <w:rPr>
          <w:sz w:val="24"/>
          <w:lang w:val="sk-SK"/>
        </w:rPr>
        <w:tab/>
      </w:r>
      <w:r w:rsidRPr="00BF083A">
        <w:rPr>
          <w:sz w:val="24"/>
          <w:lang w:val="sk-SK"/>
        </w:rPr>
        <w:t>Ú. v. EÚ C, C/2023/594, 27.10.2023.</w:t>
      </w:r>
    </w:p>
  </w:footnote>
  <w:footnote w:id="2">
    <w:p w:rsidR="00621675" w:rsidRPr="00BF083A" w:rsidRDefault="00621675" w:rsidP="00BF083A">
      <w:pPr>
        <w:pStyle w:val="FootnoteText"/>
        <w:ind w:left="567" w:hanging="567"/>
        <w:rPr>
          <w:sz w:val="24"/>
          <w:lang w:val="sk-SK"/>
        </w:rPr>
      </w:pPr>
      <w:r w:rsidRPr="00BF083A">
        <w:rPr>
          <w:rStyle w:val="FootnoteReference"/>
          <w:sz w:val="24"/>
          <w:lang w:val="sk-SK"/>
        </w:rPr>
        <w:footnoteRef/>
      </w:r>
      <w:r w:rsidR="00BF083A" w:rsidRPr="00BF083A">
        <w:rPr>
          <w:sz w:val="24"/>
          <w:lang w:val="sk-SK"/>
        </w:rPr>
        <w:t xml:space="preserve"> </w:t>
      </w:r>
      <w:r w:rsidR="00BF083A" w:rsidRPr="00BF083A">
        <w:rPr>
          <w:sz w:val="24"/>
          <w:lang w:val="sk-SK"/>
        </w:rPr>
        <w:tab/>
      </w:r>
      <w:r w:rsidRPr="00BF083A">
        <w:rPr>
          <w:sz w:val="24"/>
          <w:lang w:val="sk-SK"/>
        </w:rPr>
        <w:t>Ú. v. EÚ C, C/2023/112, 12.10.2023.</w:t>
      </w:r>
    </w:p>
  </w:footnote>
  <w:footnote w:id="3">
    <w:p w:rsidR="00621675" w:rsidRPr="00BF083A" w:rsidRDefault="00621675" w:rsidP="00BF083A">
      <w:pPr>
        <w:pStyle w:val="FootnoteText"/>
        <w:ind w:left="567" w:hanging="567"/>
        <w:rPr>
          <w:sz w:val="24"/>
          <w:lang w:val="sk-SK"/>
        </w:rPr>
      </w:pPr>
      <w:r w:rsidRPr="00BF083A">
        <w:rPr>
          <w:rStyle w:val="FootnoteReference"/>
          <w:sz w:val="24"/>
          <w:lang w:val="sk-SK"/>
        </w:rPr>
        <w:footnoteRef/>
      </w:r>
      <w:r w:rsidR="00BF083A" w:rsidRPr="00BF083A">
        <w:rPr>
          <w:sz w:val="24"/>
          <w:lang w:val="sk-SK"/>
        </w:rPr>
        <w:t xml:space="preserve"> </w:t>
      </w:r>
      <w:r w:rsidR="00BF083A" w:rsidRPr="00BF083A">
        <w:rPr>
          <w:sz w:val="24"/>
          <w:lang w:val="sk-SK"/>
        </w:rPr>
        <w:tab/>
      </w:r>
      <w:r w:rsidRPr="00BF083A">
        <w:rPr>
          <w:sz w:val="24"/>
          <w:lang w:val="sk-SK"/>
        </w:rPr>
        <w:t>Ú. v. EÚ L 193, 30.7.2018, s. 1.</w:t>
      </w:r>
    </w:p>
  </w:footnote>
  <w:footnote w:id="4">
    <w:p w:rsidR="00621675" w:rsidRPr="00BF083A" w:rsidRDefault="00621675" w:rsidP="00BF083A">
      <w:pPr>
        <w:pStyle w:val="FootnoteText"/>
        <w:ind w:left="567" w:hanging="567"/>
        <w:rPr>
          <w:sz w:val="24"/>
          <w:lang w:val="sk-SK"/>
        </w:rPr>
      </w:pPr>
      <w:r w:rsidRPr="00BF083A">
        <w:rPr>
          <w:rStyle w:val="FootnoteReference"/>
          <w:sz w:val="24"/>
          <w:lang w:val="sk-SK"/>
        </w:rPr>
        <w:footnoteRef/>
      </w:r>
      <w:r w:rsidR="00BF083A" w:rsidRPr="00BF083A">
        <w:rPr>
          <w:sz w:val="24"/>
          <w:lang w:val="sk-SK"/>
        </w:rPr>
        <w:t xml:space="preserve"> </w:t>
      </w:r>
      <w:r w:rsidR="00BF083A" w:rsidRPr="00BF083A">
        <w:rPr>
          <w:sz w:val="24"/>
          <w:lang w:val="sk-SK"/>
        </w:rPr>
        <w:tab/>
      </w:r>
      <w:r w:rsidRPr="00BF083A">
        <w:rPr>
          <w:sz w:val="24"/>
          <w:lang w:val="sk-SK"/>
        </w:rPr>
        <w:t>Ú. v. EÚ L 151, 7.6.2019, s. 15.</w:t>
      </w:r>
    </w:p>
  </w:footnote>
  <w:footnote w:id="5">
    <w:p w:rsidR="00621675" w:rsidRPr="00BF083A" w:rsidRDefault="00621675" w:rsidP="00BF083A">
      <w:pPr>
        <w:pStyle w:val="FootnoteText"/>
        <w:ind w:left="567" w:hanging="567"/>
        <w:rPr>
          <w:sz w:val="24"/>
          <w:szCs w:val="24"/>
          <w:lang w:val="sk-SK"/>
        </w:rPr>
      </w:pPr>
      <w:r w:rsidRPr="00BF083A">
        <w:rPr>
          <w:rStyle w:val="FootnoteReference"/>
          <w:sz w:val="24"/>
          <w:lang w:val="sk-SK"/>
        </w:rPr>
        <w:footnoteRef/>
      </w:r>
      <w:r w:rsidR="00BF083A" w:rsidRPr="00BF083A">
        <w:rPr>
          <w:sz w:val="24"/>
          <w:lang w:val="sk-SK"/>
        </w:rPr>
        <w:t xml:space="preserve"> </w:t>
      </w:r>
      <w:r w:rsidR="00BF083A" w:rsidRPr="00BF083A">
        <w:rPr>
          <w:sz w:val="24"/>
          <w:lang w:val="sk-SK"/>
        </w:rPr>
        <w:tab/>
      </w:r>
      <w:r w:rsidRPr="00BF083A">
        <w:rPr>
          <w:sz w:val="24"/>
          <w:lang w:val="sk-SK"/>
        </w:rPr>
        <w:t>Ú. v. EÚ L 122, 10.5.2019, s. 1.</w:t>
      </w:r>
    </w:p>
  </w:footnote>
  <w:footnote w:id="6">
    <w:p w:rsidR="00621675" w:rsidRPr="00BF083A" w:rsidRDefault="00621675" w:rsidP="00BF083A">
      <w:pPr>
        <w:pStyle w:val="FootnoteText"/>
        <w:ind w:left="567" w:hanging="567"/>
        <w:rPr>
          <w:sz w:val="24"/>
          <w:lang w:val="sk-SK"/>
        </w:rPr>
      </w:pPr>
      <w:r w:rsidRPr="00BF083A">
        <w:rPr>
          <w:rStyle w:val="FootnoteReference"/>
          <w:sz w:val="24"/>
          <w:lang w:val="sk-SK"/>
        </w:rPr>
        <w:footnoteRef/>
      </w:r>
      <w:r w:rsidR="00BF083A" w:rsidRPr="00BF083A">
        <w:rPr>
          <w:sz w:val="24"/>
          <w:lang w:val="sk-SK"/>
        </w:rPr>
        <w:t xml:space="preserve"> </w:t>
      </w:r>
      <w:r w:rsidR="00BF083A" w:rsidRPr="00BF083A">
        <w:rPr>
          <w:sz w:val="24"/>
          <w:lang w:val="sk-SK"/>
        </w:rPr>
        <w:tab/>
      </w:r>
      <w:r w:rsidRPr="00BF083A">
        <w:rPr>
          <w:sz w:val="24"/>
          <w:lang w:val="sk-SK"/>
        </w:rPr>
        <w:t>Ú. v. EÚ C, C/2023/594, 27.10.2023.</w:t>
      </w:r>
    </w:p>
  </w:footnote>
  <w:footnote w:id="7">
    <w:p w:rsidR="00621675" w:rsidRPr="00BF083A" w:rsidRDefault="00621675" w:rsidP="00BF083A">
      <w:pPr>
        <w:pStyle w:val="FootnoteText"/>
        <w:ind w:left="567" w:hanging="567"/>
        <w:rPr>
          <w:sz w:val="24"/>
          <w:lang w:val="sk-SK"/>
        </w:rPr>
      </w:pPr>
      <w:r w:rsidRPr="00BF083A">
        <w:rPr>
          <w:rStyle w:val="FootnoteReference"/>
          <w:sz w:val="24"/>
          <w:lang w:val="sk-SK"/>
        </w:rPr>
        <w:footnoteRef/>
      </w:r>
      <w:r w:rsidR="00BF083A" w:rsidRPr="00BF083A">
        <w:rPr>
          <w:sz w:val="24"/>
          <w:lang w:val="sk-SK"/>
        </w:rPr>
        <w:t xml:space="preserve"> </w:t>
      </w:r>
      <w:r w:rsidR="00BF083A" w:rsidRPr="00BF083A">
        <w:rPr>
          <w:sz w:val="24"/>
          <w:lang w:val="sk-SK"/>
        </w:rPr>
        <w:tab/>
      </w:r>
      <w:r w:rsidRPr="00BF083A">
        <w:rPr>
          <w:sz w:val="24"/>
          <w:lang w:val="sk-SK"/>
        </w:rPr>
        <w:t>Ú. v. EÚ C, C/2023/112, 12.10.2023.</w:t>
      </w:r>
    </w:p>
  </w:footnote>
  <w:footnote w:id="8">
    <w:p w:rsidR="00621675" w:rsidRPr="00BF083A" w:rsidRDefault="00621675" w:rsidP="00BF083A">
      <w:pPr>
        <w:pStyle w:val="FootnoteText"/>
        <w:ind w:left="567" w:hanging="567"/>
        <w:rPr>
          <w:sz w:val="24"/>
          <w:lang w:val="sk-SK"/>
        </w:rPr>
      </w:pPr>
      <w:r w:rsidRPr="00BF083A">
        <w:rPr>
          <w:rStyle w:val="FootnoteReference"/>
          <w:sz w:val="24"/>
          <w:lang w:val="sk-SK"/>
        </w:rPr>
        <w:footnoteRef/>
      </w:r>
      <w:r w:rsidR="00BF083A" w:rsidRPr="00BF083A">
        <w:rPr>
          <w:sz w:val="24"/>
          <w:lang w:val="sk-SK"/>
        </w:rPr>
        <w:t xml:space="preserve"> </w:t>
      </w:r>
      <w:r w:rsidR="00BF083A" w:rsidRPr="00BF083A">
        <w:rPr>
          <w:sz w:val="24"/>
          <w:lang w:val="sk-SK"/>
        </w:rPr>
        <w:tab/>
      </w:r>
      <w:r w:rsidRPr="00BF083A">
        <w:rPr>
          <w:sz w:val="24"/>
          <w:lang w:val="sk-SK"/>
        </w:rPr>
        <w:t>Ú. v. EÚ L 193, 30.7.2018, s. 1.</w:t>
      </w:r>
    </w:p>
  </w:footnote>
  <w:footnote w:id="9">
    <w:p w:rsidR="00621675" w:rsidRPr="00BF083A" w:rsidRDefault="00621675" w:rsidP="00BF083A">
      <w:pPr>
        <w:pStyle w:val="FootnoteText"/>
        <w:ind w:left="567" w:hanging="567"/>
        <w:rPr>
          <w:sz w:val="24"/>
          <w:lang w:val="sk-SK"/>
        </w:rPr>
      </w:pPr>
      <w:r w:rsidRPr="00BF083A">
        <w:rPr>
          <w:rStyle w:val="FootnoteReference"/>
          <w:sz w:val="24"/>
          <w:lang w:val="sk-SK"/>
        </w:rPr>
        <w:footnoteRef/>
      </w:r>
      <w:r w:rsidR="00BF083A" w:rsidRPr="00BF083A">
        <w:rPr>
          <w:sz w:val="24"/>
          <w:lang w:val="sk-SK"/>
        </w:rPr>
        <w:t xml:space="preserve"> </w:t>
      </w:r>
      <w:r w:rsidR="00BF083A" w:rsidRPr="00BF083A">
        <w:rPr>
          <w:sz w:val="24"/>
          <w:lang w:val="sk-SK"/>
        </w:rPr>
        <w:tab/>
      </w:r>
      <w:r w:rsidRPr="00BF083A">
        <w:rPr>
          <w:sz w:val="24"/>
          <w:lang w:val="sk-SK"/>
        </w:rPr>
        <w:t>Ú. v. EÚ L 151, 7.6.2019, s. 15.</w:t>
      </w:r>
    </w:p>
  </w:footnote>
  <w:footnote w:id="10">
    <w:p w:rsidR="00621675" w:rsidRPr="00BF083A" w:rsidRDefault="00621675" w:rsidP="00BF083A">
      <w:pPr>
        <w:pStyle w:val="FootnoteText"/>
        <w:ind w:left="567" w:hanging="567"/>
        <w:rPr>
          <w:sz w:val="24"/>
          <w:szCs w:val="24"/>
          <w:lang w:val="sk-SK"/>
        </w:rPr>
      </w:pPr>
      <w:r w:rsidRPr="00BF083A">
        <w:rPr>
          <w:rStyle w:val="FootnoteReference"/>
          <w:sz w:val="24"/>
          <w:lang w:val="sk-SK"/>
        </w:rPr>
        <w:footnoteRef/>
      </w:r>
      <w:r w:rsidR="00BF083A" w:rsidRPr="00BF083A">
        <w:rPr>
          <w:sz w:val="24"/>
          <w:lang w:val="sk-SK"/>
        </w:rPr>
        <w:t xml:space="preserve"> </w:t>
      </w:r>
      <w:r w:rsidR="00BF083A" w:rsidRPr="00BF083A">
        <w:rPr>
          <w:sz w:val="24"/>
          <w:lang w:val="sk-SK"/>
        </w:rPr>
        <w:tab/>
      </w:r>
      <w:r w:rsidRPr="00BF083A">
        <w:rPr>
          <w:sz w:val="24"/>
          <w:lang w:val="sk-SK"/>
        </w:rPr>
        <w:t>Ú. v. EÚ L 122, 10.5.2019, s. 1.</w:t>
      </w:r>
    </w:p>
  </w:footnote>
  <w:footnote w:id="11">
    <w:p w:rsidR="00621675" w:rsidRPr="00BF083A" w:rsidRDefault="00621675" w:rsidP="00BF083A">
      <w:pPr>
        <w:pStyle w:val="FootnoteText"/>
        <w:ind w:left="567" w:hanging="567"/>
        <w:rPr>
          <w:sz w:val="24"/>
          <w:lang w:val="sk-SK"/>
        </w:rPr>
      </w:pPr>
      <w:r w:rsidRPr="00BF083A">
        <w:rPr>
          <w:rStyle w:val="FootnoteReference"/>
          <w:sz w:val="24"/>
          <w:lang w:val="sk-SK"/>
        </w:rPr>
        <w:footnoteRef/>
      </w:r>
      <w:r w:rsidR="00BF083A" w:rsidRPr="00BF083A">
        <w:rPr>
          <w:sz w:val="24"/>
          <w:lang w:val="sk-SK"/>
        </w:rPr>
        <w:t xml:space="preserve"> </w:t>
      </w:r>
      <w:r w:rsidR="00BF083A" w:rsidRPr="00BF083A">
        <w:rPr>
          <w:sz w:val="24"/>
          <w:lang w:val="sk-SK"/>
        </w:rPr>
        <w:tab/>
      </w:r>
      <w:r w:rsidRPr="00BF083A">
        <w:rPr>
          <w:sz w:val="24"/>
          <w:lang w:val="sk-SK"/>
        </w:rPr>
        <w:t>Ú. v. EÚ C 377/3, 30.9.2022, s. 2.</w:t>
      </w:r>
    </w:p>
  </w:footnote>
  <w:footnote w:id="12">
    <w:p w:rsidR="00621675" w:rsidRPr="00BF083A" w:rsidRDefault="00621675" w:rsidP="00BF083A">
      <w:pPr>
        <w:pStyle w:val="FootnoteText"/>
        <w:ind w:left="567" w:hanging="567"/>
        <w:rPr>
          <w:i/>
          <w:sz w:val="24"/>
          <w:lang w:val="sk-SK"/>
        </w:rPr>
      </w:pPr>
      <w:r w:rsidRPr="00BF083A">
        <w:rPr>
          <w:rStyle w:val="FootnoteReference"/>
          <w:sz w:val="24"/>
          <w:lang w:val="sk-SK"/>
        </w:rPr>
        <w:footnoteRef/>
      </w:r>
      <w:r w:rsidR="00BF083A" w:rsidRPr="00BF083A">
        <w:rPr>
          <w:sz w:val="24"/>
          <w:lang w:val="sk-SK"/>
        </w:rPr>
        <w:t xml:space="preserve"> </w:t>
      </w:r>
      <w:r w:rsidR="00BF083A" w:rsidRPr="00BF083A">
        <w:rPr>
          <w:sz w:val="24"/>
          <w:lang w:val="sk-SK"/>
        </w:rPr>
        <w:tab/>
      </w:r>
      <w:r w:rsidRPr="00BF083A">
        <w:rPr>
          <w:sz w:val="24"/>
          <w:lang w:val="sk-SK"/>
        </w:rPr>
        <w:t>Smernica Európskeho parlamentu a Rady (EÚ) 2022/2555 zo 14. decembra 2022 o opatreniach na zabezpečenie vysokej spoločnej úrovne kybernetickej bezpečnosti v Únii, ktorou sa mení nariadenie (EÚ) č. 910/2014 a smernica (EÚ) 2018/1972 a zrušuje smernica (EÚ) 2016/1148 (smernica NIS 2) (Ú. v. EÚ L 333, 27.12.2022, s. 80).</w:t>
      </w:r>
    </w:p>
  </w:footnote>
  <w:footnote w:id="13">
    <w:p w:rsidR="00621675" w:rsidRPr="00BF083A" w:rsidRDefault="00621675" w:rsidP="00BF083A">
      <w:pPr>
        <w:pStyle w:val="FootnoteText"/>
        <w:ind w:left="567" w:hanging="567"/>
        <w:rPr>
          <w:sz w:val="24"/>
          <w:lang w:val="sk-SK"/>
        </w:rPr>
      </w:pPr>
      <w:r w:rsidRPr="00BF083A">
        <w:rPr>
          <w:rStyle w:val="FootnoteReference"/>
          <w:sz w:val="24"/>
          <w:lang w:val="sk-SK"/>
        </w:rPr>
        <w:footnoteRef/>
      </w:r>
      <w:r w:rsidR="00BF083A" w:rsidRPr="00BF083A">
        <w:rPr>
          <w:sz w:val="24"/>
          <w:lang w:val="sk-SK"/>
        </w:rPr>
        <w:t xml:space="preserve"> </w:t>
      </w:r>
      <w:r w:rsidR="00BF083A" w:rsidRPr="00BF083A">
        <w:rPr>
          <w:sz w:val="24"/>
          <w:lang w:val="sk-SK"/>
        </w:rPr>
        <w:tab/>
      </w:r>
      <w:r w:rsidRPr="00BF083A">
        <w:rPr>
          <w:sz w:val="24"/>
          <w:lang w:val="sk-SK"/>
        </w:rPr>
        <w:t xml:space="preserve">Delegované nariadenie Komisie (EÚ) 2019/715 z 18. decembra 2018 o rámcovom nariadení o rozpočtových pravidlách pre subjekty zriadené podľa ZFEÚ a Zmluvy o </w:t>
      </w:r>
      <w:proofErr w:type="spellStart"/>
      <w:r w:rsidRPr="00BF083A">
        <w:rPr>
          <w:sz w:val="24"/>
          <w:lang w:val="sk-SK"/>
        </w:rPr>
        <w:t>Euratome</w:t>
      </w:r>
      <w:proofErr w:type="spellEnd"/>
      <w:r w:rsidRPr="00BF083A">
        <w:rPr>
          <w:sz w:val="24"/>
          <w:lang w:val="sk-SK"/>
        </w:rPr>
        <w:t xml:space="preserve"> a uvedené v článku 70 nariadenia Európskeho parlamentu a Rady (EÚ, </w:t>
      </w:r>
      <w:proofErr w:type="spellStart"/>
      <w:r w:rsidRPr="00BF083A">
        <w:rPr>
          <w:sz w:val="24"/>
          <w:lang w:val="sk-SK"/>
        </w:rPr>
        <w:t>Euratom</w:t>
      </w:r>
      <w:proofErr w:type="spellEnd"/>
      <w:r w:rsidRPr="00BF083A">
        <w:rPr>
          <w:sz w:val="24"/>
          <w:lang w:val="sk-SK"/>
        </w:rPr>
        <w:t>) 2018/1046 (Ú. v. EÚ L 122, 10.5.2019, s. 1).</w:t>
      </w:r>
    </w:p>
  </w:footnote>
  <w:footnote w:id="14">
    <w:p w:rsidR="00621675" w:rsidRPr="00BF083A" w:rsidRDefault="00621675" w:rsidP="00BF083A">
      <w:pPr>
        <w:pStyle w:val="FootnoteText"/>
        <w:ind w:left="567" w:hanging="567"/>
        <w:rPr>
          <w:sz w:val="24"/>
          <w:lang w:val="sk-SK"/>
        </w:rPr>
      </w:pPr>
      <w:r w:rsidRPr="00BF083A">
        <w:rPr>
          <w:rStyle w:val="FootnoteReference"/>
          <w:sz w:val="24"/>
          <w:lang w:val="sk-SK"/>
        </w:rPr>
        <w:footnoteRef/>
      </w:r>
      <w:r w:rsidR="00BF083A" w:rsidRPr="00BF083A">
        <w:rPr>
          <w:sz w:val="24"/>
          <w:lang w:val="sk-SK"/>
        </w:rPr>
        <w:t xml:space="preserve"> </w:t>
      </w:r>
      <w:r w:rsidR="00BF083A" w:rsidRPr="00BF083A">
        <w:rPr>
          <w:sz w:val="24"/>
          <w:lang w:val="sk-SK"/>
        </w:rPr>
        <w:tab/>
      </w:r>
      <w:r w:rsidRPr="00BF083A">
        <w:rPr>
          <w:sz w:val="24"/>
          <w:lang w:val="sk-SK"/>
        </w:rPr>
        <w:t>Prijaté texty, P9_TA(2024)</w:t>
      </w:r>
      <w:r w:rsidR="007246F2">
        <w:rPr>
          <w:sz w:val="24"/>
          <w:lang w:val="sk-SK"/>
        </w:rPr>
        <w:t>0280</w:t>
      </w:r>
      <w:r w:rsidRPr="00BF083A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083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083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083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34/2024"/>
    <w:docVar w:name="dvlangue" w:val="SK"/>
    <w:docVar w:name="dvnumam" w:val="0"/>
    <w:docVar w:name="dvpe" w:val="753.527"/>
    <w:docVar w:name="dvrapporteur" w:val="Spravodajca: "/>
    <w:docVar w:name="dvtitre" w:val="Rozhodnutie Európskeho parlamentu z xx. apríla 2024 o absolutóriu za plnenie rozpočtu agentúry ENISA (Agentúry Európskej únie pre kybernetickú bezpečnosť) za rozpočtový rok 2022(2023/2159(DEC))"/>
  </w:docVars>
  <w:rsids>
    <w:rsidRoot w:val="00EE37E5"/>
    <w:rsid w:val="00002272"/>
    <w:rsid w:val="00064002"/>
    <w:rsid w:val="000677B9"/>
    <w:rsid w:val="000831BA"/>
    <w:rsid w:val="000A42CC"/>
    <w:rsid w:val="000E7DD9"/>
    <w:rsid w:val="0010095E"/>
    <w:rsid w:val="00113F04"/>
    <w:rsid w:val="00115ED1"/>
    <w:rsid w:val="00125B37"/>
    <w:rsid w:val="00187494"/>
    <w:rsid w:val="001F32AE"/>
    <w:rsid w:val="002767FF"/>
    <w:rsid w:val="002B18FE"/>
    <w:rsid w:val="002B5493"/>
    <w:rsid w:val="00343214"/>
    <w:rsid w:val="00361C00"/>
    <w:rsid w:val="00365278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21675"/>
    <w:rsid w:val="006631B6"/>
    <w:rsid w:val="00680577"/>
    <w:rsid w:val="006F74FA"/>
    <w:rsid w:val="007246F2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083A"/>
    <w:rsid w:val="00C05BFE"/>
    <w:rsid w:val="00C23CD4"/>
    <w:rsid w:val="00C61C0C"/>
    <w:rsid w:val="00C8538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37E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920AA6"/>
  <w15:chartTrackingRefBased/>
  <w15:docId w15:val="{67FA4B04-54D7-4DCA-B0AC-651CEE689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Text Char1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62167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621675"/>
    <w:pPr>
      <w:spacing w:before="480" w:after="240"/>
    </w:pPr>
  </w:style>
  <w:style w:type="paragraph" w:customStyle="1" w:styleId="PageHeading">
    <w:name w:val="PageHeading"/>
    <w:basedOn w:val="Normal"/>
    <w:rsid w:val="0062167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621675"/>
    <w:rPr>
      <w:b/>
    </w:rPr>
  </w:style>
  <w:style w:type="paragraph" w:customStyle="1" w:styleId="NormalHanging12a">
    <w:name w:val="NormalHanging12a"/>
    <w:basedOn w:val="Normal"/>
    <w:link w:val="NormalHanging12aChar"/>
    <w:rsid w:val="00621675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621675"/>
    <w:pPr>
      <w:spacing w:after="240"/>
      <w:jc w:val="center"/>
    </w:pPr>
  </w:style>
  <w:style w:type="paragraph" w:styleId="Header">
    <w:name w:val="header"/>
    <w:basedOn w:val="Normal"/>
    <w:link w:val="HeaderChar"/>
    <w:rsid w:val="0062167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21675"/>
    <w:rPr>
      <w:sz w:val="24"/>
      <w:lang w:val="sk-SK"/>
    </w:rPr>
  </w:style>
  <w:style w:type="paragraph" w:customStyle="1" w:styleId="EPFooter">
    <w:name w:val="EPFooter"/>
    <w:basedOn w:val="Normal"/>
    <w:rsid w:val="0062167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621675"/>
    <w:rPr>
      <w:sz w:val="24"/>
      <w:lang w:val="sk-SK"/>
    </w:rPr>
  </w:style>
  <w:style w:type="paragraph" w:customStyle="1" w:styleId="Normal12Hanging">
    <w:name w:val="Normal12Hanging"/>
    <w:basedOn w:val="Normal"/>
    <w:rsid w:val="00621675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C853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8538C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8AC0A-8CCC-475D-B864-E43521350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3468</Words>
  <Characters>21262</Characters>
  <Application>Microsoft Office Word</Application>
  <DocSecurity>0</DocSecurity>
  <Lines>416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2024-04-11T11:03:00Z</dcterms:created>
  <dcterms:modified xsi:type="dcterms:W3CDTF">2024-04-11T11:03:00Z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A9-0134/2024</vt:lpwstr>
  </property>
  <property fmtid="{D5CDD505-2E9C-101B-9397-08002B2CF9AE}" pid="4" name="&lt;Type&gt;">
    <vt:lpwstr>RR</vt:lpwstr>
  </property>
</Properties>
</file>