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3DC5" w:rsidTr="0010095E">
        <w:trPr>
          <w:trHeight w:hRule="exact" w:val="1418"/>
        </w:trPr>
        <w:tc>
          <w:tcPr>
            <w:tcW w:w="6804" w:type="dxa"/>
            <w:shd w:val="clear" w:color="auto" w:fill="auto"/>
            <w:vAlign w:val="center"/>
          </w:tcPr>
          <w:p w:rsidR="00751A4A" w:rsidRPr="00FE3DC5" w:rsidRDefault="00C46C0F" w:rsidP="0010095E">
            <w:pPr>
              <w:pStyle w:val="EPName"/>
            </w:pPr>
            <w:r w:rsidRPr="00FE3DC5">
              <w:t>Европейски</w:t>
            </w:r>
            <w:r w:rsidR="006E1E55" w:rsidRPr="00FE3DC5">
              <w:t xml:space="preserve"> парламент</w:t>
            </w:r>
          </w:p>
          <w:p w:rsidR="00751A4A" w:rsidRPr="00FE3DC5" w:rsidRDefault="00817416" w:rsidP="00756632">
            <w:pPr>
              <w:pStyle w:val="EPTerm"/>
              <w:rPr>
                <w:rStyle w:val="HideTWBExt"/>
                <w:noProof w:val="0"/>
                <w:vanish w:val="0"/>
                <w:color w:val="auto"/>
              </w:rPr>
            </w:pPr>
            <w:r w:rsidRPr="00FE3DC5">
              <w:t>2019</w:t>
            </w:r>
            <w:r w:rsidR="00C46C0F">
              <w:t> – </w:t>
            </w:r>
            <w:r w:rsidRPr="00FE3DC5">
              <w:t>2024</w:t>
            </w:r>
          </w:p>
        </w:tc>
        <w:tc>
          <w:tcPr>
            <w:tcW w:w="2268" w:type="dxa"/>
            <w:shd w:val="clear" w:color="auto" w:fill="auto"/>
          </w:tcPr>
          <w:p w:rsidR="00751A4A" w:rsidRPr="00FE3DC5" w:rsidRDefault="00187494" w:rsidP="0010095E">
            <w:pPr>
              <w:pStyle w:val="EPLogo"/>
            </w:pPr>
            <w:r w:rsidRPr="00FE3DC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3DC5" w:rsidRDefault="00D058B8" w:rsidP="004C5D52">
      <w:pPr>
        <w:pStyle w:val="LineTop"/>
      </w:pPr>
    </w:p>
    <w:p w:rsidR="00680577" w:rsidRPr="00FE3DC5" w:rsidRDefault="006E1E55" w:rsidP="00680577">
      <w:pPr>
        <w:pStyle w:val="EPBodyTA1"/>
      </w:pPr>
      <w:r w:rsidRPr="00FE3DC5">
        <w:t>ПРИЕТИ ТЕКСТОВЕ</w:t>
      </w:r>
    </w:p>
    <w:p w:rsidR="00D058B8" w:rsidRPr="00FE3DC5" w:rsidRDefault="00D058B8" w:rsidP="00D058B8">
      <w:pPr>
        <w:pStyle w:val="LineBottom"/>
      </w:pPr>
    </w:p>
    <w:p w:rsidR="006E1E55" w:rsidRPr="00FE3DC5" w:rsidRDefault="006E1E55" w:rsidP="006E1E55">
      <w:pPr>
        <w:pStyle w:val="ATHeading1"/>
      </w:pPr>
      <w:bookmarkStart w:id="0" w:name="TANumber"/>
      <w:r w:rsidRPr="00FE3DC5">
        <w:t>P9_TA(2024)0</w:t>
      </w:r>
      <w:r w:rsidR="00682877">
        <w:rPr>
          <w:lang w:val="en-GB"/>
        </w:rPr>
        <w:t>253</w:t>
      </w:r>
      <w:bookmarkEnd w:id="0"/>
    </w:p>
    <w:p w:rsidR="006E1E55" w:rsidRPr="00FE3DC5" w:rsidRDefault="006E1E55" w:rsidP="006E1E55">
      <w:pPr>
        <w:pStyle w:val="ATHeading2"/>
      </w:pPr>
      <w:bookmarkStart w:id="1" w:name="title"/>
      <w:r w:rsidRPr="00FE3DC5">
        <w:t>Освобождаване от отговорност във връзка с изпълнението на бюджета за 2022 г.: Агенция за железопътен транспорт на Европейския съюз</w:t>
      </w:r>
      <w:bookmarkEnd w:id="1"/>
    </w:p>
    <w:p w:rsidR="006E1E55" w:rsidRPr="00FE3DC5" w:rsidRDefault="006E1E55" w:rsidP="006E1E55">
      <w:pPr>
        <w:rPr>
          <w:i/>
          <w:vanish/>
        </w:rPr>
      </w:pPr>
      <w:r w:rsidRPr="00FE3DC5">
        <w:rPr>
          <w:i/>
        </w:rPr>
        <w:fldChar w:fldCharType="begin"/>
      </w:r>
      <w:r w:rsidRPr="00FE3DC5">
        <w:rPr>
          <w:i/>
        </w:rPr>
        <w:instrText xml:space="preserve"> TC"(</w:instrText>
      </w:r>
      <w:bookmarkStart w:id="2" w:name="DocNumber"/>
      <w:r w:rsidRPr="00FE3DC5">
        <w:rPr>
          <w:i/>
        </w:rPr>
        <w:instrText>A9-0092/2024</w:instrText>
      </w:r>
      <w:bookmarkEnd w:id="2"/>
      <w:r w:rsidRPr="00FE3DC5">
        <w:rPr>
          <w:i/>
        </w:rPr>
        <w:instrText xml:space="preserve"> - Докладчик: Петри Сарвама)"\l3 \n&gt; \* MERGEFORMAT </w:instrText>
      </w:r>
      <w:r w:rsidRPr="00FE3DC5">
        <w:rPr>
          <w:i/>
        </w:rPr>
        <w:fldChar w:fldCharType="end"/>
      </w:r>
    </w:p>
    <w:p w:rsidR="006E1E55" w:rsidRPr="00FE3DC5" w:rsidRDefault="006E1E55" w:rsidP="006E1E55">
      <w:pPr>
        <w:rPr>
          <w:vanish/>
        </w:rPr>
      </w:pPr>
      <w:bookmarkStart w:id="3" w:name="Commission"/>
      <w:r w:rsidRPr="00FE3DC5">
        <w:rPr>
          <w:vanish/>
        </w:rPr>
        <w:t>Комисия по бюджетен контрол</w:t>
      </w:r>
      <w:bookmarkEnd w:id="3"/>
    </w:p>
    <w:p w:rsidR="006E1E55" w:rsidRPr="00FE3DC5" w:rsidRDefault="006E1E55" w:rsidP="006E1E55">
      <w:pPr>
        <w:rPr>
          <w:vanish/>
        </w:rPr>
      </w:pPr>
      <w:bookmarkStart w:id="4" w:name="PE"/>
      <w:r w:rsidRPr="00FE3DC5">
        <w:rPr>
          <w:vanish/>
        </w:rPr>
        <w:t>PE753.528</w:t>
      </w:r>
      <w:bookmarkEnd w:id="4"/>
    </w:p>
    <w:p w:rsidR="006E1E55" w:rsidRPr="00FE3DC5" w:rsidRDefault="00C46C0F" w:rsidP="00C46C0F">
      <w:pPr>
        <w:pStyle w:val="ATHeading3"/>
      </w:pPr>
      <w:bookmarkStart w:id="5" w:name="Sujet"/>
      <w:r>
        <w:t xml:space="preserve">1. </w:t>
      </w:r>
      <w:r w:rsidR="006E1E55" w:rsidRPr="00FE3DC5">
        <w:t xml:space="preserve">Решение на Европейския парламент от </w:t>
      </w:r>
      <w:r>
        <w:t>11 април</w:t>
      </w:r>
      <w:r w:rsidR="006E1E55" w:rsidRPr="00FE3DC5">
        <w:t xml:space="preserve"> 2024 г. относно освобождаването от отговорност във връзка с изпълнението на бюджета на Агенцията за железопътен транспорт на Европейския съюз за финансовата 2022 година</w:t>
      </w:r>
      <w:bookmarkEnd w:id="5"/>
      <w:r w:rsidR="006E1E55" w:rsidRPr="00FE3DC5">
        <w:t xml:space="preserve"> </w:t>
      </w:r>
      <w:bookmarkStart w:id="6" w:name="References"/>
      <w:r w:rsidR="006E1E55" w:rsidRPr="00FE3DC5">
        <w:t>(2023/2160(DEC))</w:t>
      </w:r>
      <w:bookmarkEnd w:id="6"/>
    </w:p>
    <w:p w:rsidR="0017711C" w:rsidRPr="00FE3DC5" w:rsidRDefault="0017711C" w:rsidP="0017711C">
      <w:pPr>
        <w:pStyle w:val="EPComma"/>
      </w:pPr>
      <w:bookmarkStart w:id="7" w:name="TextBodyBegin"/>
      <w:bookmarkEnd w:id="7"/>
      <w:r w:rsidRPr="00FE3DC5">
        <w:rPr>
          <w:i/>
        </w:rPr>
        <w:t>Европейският парламент</w:t>
      </w:r>
      <w:r w:rsidRPr="00FE3DC5">
        <w:t>,</w:t>
      </w:r>
    </w:p>
    <w:p w:rsidR="0017711C" w:rsidRPr="00FE3DC5" w:rsidRDefault="0017711C" w:rsidP="0017711C">
      <w:pPr>
        <w:pStyle w:val="NormalHanging12a"/>
      </w:pPr>
      <w:r w:rsidRPr="00FE3DC5">
        <w:t>–</w:t>
      </w:r>
      <w:r w:rsidRPr="00FE3DC5">
        <w:tab/>
        <w:t>като взе предвид окончателните годишни отчети на Агенцията за железопътен транспорт на Европейския съюз за финансовата 2022 година,</w:t>
      </w:r>
    </w:p>
    <w:p w:rsidR="0017711C" w:rsidRPr="00FE3DC5" w:rsidRDefault="0017711C" w:rsidP="0017711C">
      <w:pPr>
        <w:pStyle w:val="NormalHanging12a"/>
      </w:pPr>
      <w:r w:rsidRPr="00FE3DC5">
        <w:t>–</w:t>
      </w:r>
      <w:r w:rsidRPr="00FE3DC5">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FE3DC5">
        <w:rPr>
          <w:rStyle w:val="FootnoteReference"/>
        </w:rPr>
        <w:footnoteReference w:id="1"/>
      </w:r>
      <w:r w:rsidRPr="00FE3DC5">
        <w:t>,</w:t>
      </w:r>
    </w:p>
    <w:p w:rsidR="0017711C" w:rsidRPr="00FE3DC5" w:rsidRDefault="0017711C" w:rsidP="0017711C">
      <w:pPr>
        <w:pStyle w:val="NormalHanging12a"/>
      </w:pPr>
      <w:r w:rsidRPr="00FE3DC5">
        <w:t>–</w:t>
      </w:r>
      <w:r w:rsidRPr="00FE3DC5">
        <w:tab/>
        <w:t>като взе предвид декларацията за достоверност</w:t>
      </w:r>
      <w:r w:rsidRPr="00FE3DC5">
        <w:rPr>
          <w:rStyle w:val="FootnoteReference"/>
        </w:rPr>
        <w:footnoteReference w:id="2"/>
      </w:r>
      <w:r w:rsidRPr="00FE3DC5">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17711C" w:rsidRPr="00FE3DC5" w:rsidRDefault="0017711C" w:rsidP="0017711C">
      <w:pPr>
        <w:pStyle w:val="NormalHanging12a"/>
      </w:pPr>
      <w:r w:rsidRPr="00FE3DC5">
        <w:t>–</w:t>
      </w:r>
      <w:r w:rsidRPr="00FE3DC5">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380DFB">
        <w:rPr>
          <w:lang w:val="en-GB"/>
        </w:rPr>
        <w:t>0618</w:t>
      </w:r>
      <w:r w:rsidRPr="00FE3DC5">
        <w:t>0/2024 – C9-00</w:t>
      </w:r>
      <w:r w:rsidR="00380DFB">
        <w:rPr>
          <w:lang w:val="en-GB"/>
        </w:rPr>
        <w:t>98</w:t>
      </w:r>
      <w:r w:rsidRPr="00FE3DC5">
        <w:t>/2024),</w:t>
      </w:r>
    </w:p>
    <w:p w:rsidR="0017711C" w:rsidRPr="00FE3DC5" w:rsidRDefault="0017711C" w:rsidP="0017711C">
      <w:pPr>
        <w:pStyle w:val="NormalHanging12a"/>
      </w:pPr>
      <w:r w:rsidRPr="00FE3DC5">
        <w:t>–</w:t>
      </w:r>
      <w:r w:rsidRPr="00FE3DC5">
        <w:tab/>
        <w:t>като взе предвид член 319 от Договора за функционирането на Европейския съюз,</w:t>
      </w:r>
    </w:p>
    <w:p w:rsidR="0017711C" w:rsidRPr="00FE3DC5" w:rsidRDefault="0017711C" w:rsidP="0017711C">
      <w:pPr>
        <w:pStyle w:val="NormalHanging12a"/>
      </w:pPr>
      <w:r w:rsidRPr="00FE3DC5">
        <w:t>–</w:t>
      </w:r>
      <w:r w:rsidRPr="00FE3DC5">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w:t>
      </w:r>
      <w:r w:rsidRPr="00FE3DC5">
        <w:lastRenderedPageBreak/>
        <w:t>отмяна на Регламент (ЕС, Евратом) № 966/2012</w:t>
      </w:r>
      <w:r w:rsidRPr="00FE3DC5">
        <w:rPr>
          <w:rStyle w:val="FootnoteReference"/>
        </w:rPr>
        <w:footnoteReference w:id="3"/>
      </w:r>
      <w:r w:rsidRPr="00FE3DC5">
        <w:t>, и по-специално член 70 от него,</w:t>
      </w:r>
    </w:p>
    <w:p w:rsidR="0017711C" w:rsidRPr="00FE3DC5" w:rsidRDefault="0017711C" w:rsidP="0017711C">
      <w:pPr>
        <w:pStyle w:val="NormalHanging12a"/>
      </w:pPr>
      <w:r w:rsidRPr="00FE3DC5">
        <w:t>–</w:t>
      </w:r>
      <w:r w:rsidRPr="00FE3DC5">
        <w:tab/>
        <w:t>като взе предвид Регламент (ЕС) 2016/796 на Европейския парламент и на Съвета от 11 май 2016 г. относно Агенцията за железопътен транспорт на Европейския съюз и за отмяна на Регламент (ЕО) № 881/2004</w:t>
      </w:r>
      <w:r w:rsidRPr="00FE3DC5">
        <w:rPr>
          <w:rStyle w:val="FootnoteReference"/>
        </w:rPr>
        <w:footnoteReference w:id="4"/>
      </w:r>
      <w:r w:rsidRPr="00FE3DC5">
        <w:t>, и по-специално член 65 от него,</w:t>
      </w:r>
    </w:p>
    <w:p w:rsidR="0017711C" w:rsidRPr="00FE3DC5" w:rsidRDefault="0017711C" w:rsidP="0017711C">
      <w:pPr>
        <w:pStyle w:val="NormalHanging12a"/>
      </w:pPr>
      <w:r w:rsidRPr="00FE3DC5">
        <w:t>–</w:t>
      </w:r>
      <w:r w:rsidRPr="00FE3DC5">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FE3DC5">
        <w:rPr>
          <w:rStyle w:val="FootnoteReference"/>
        </w:rPr>
        <w:footnoteReference w:id="5"/>
      </w:r>
      <w:r w:rsidRPr="00FE3DC5">
        <w:t>, и по-специално член 105 от него,</w:t>
      </w:r>
    </w:p>
    <w:p w:rsidR="0017711C" w:rsidRPr="00FE3DC5" w:rsidRDefault="0017711C" w:rsidP="0017711C">
      <w:pPr>
        <w:pStyle w:val="NormalHanging12a"/>
      </w:pPr>
      <w:r w:rsidRPr="00FE3DC5">
        <w:t>–</w:t>
      </w:r>
      <w:r w:rsidRPr="00FE3DC5">
        <w:tab/>
        <w:t>като взе предвид член 100 и приложение V към своя Правилник за дейността,</w:t>
      </w:r>
    </w:p>
    <w:p w:rsidR="0017711C" w:rsidRPr="00FE3DC5" w:rsidRDefault="0017711C" w:rsidP="0017711C">
      <w:pPr>
        <w:pStyle w:val="NormalHanging12a"/>
      </w:pPr>
      <w:r w:rsidRPr="00FE3DC5">
        <w:t>–</w:t>
      </w:r>
      <w:r w:rsidRPr="00FE3DC5">
        <w:tab/>
        <w:t>като взе предвид становището на комисията по транспорт и туризъм,</w:t>
      </w:r>
    </w:p>
    <w:p w:rsidR="0017711C" w:rsidRPr="00FE3DC5" w:rsidRDefault="0017711C" w:rsidP="0017711C">
      <w:pPr>
        <w:pStyle w:val="NormalHanging12a"/>
      </w:pPr>
      <w:r w:rsidRPr="00FE3DC5">
        <w:t>–</w:t>
      </w:r>
      <w:r w:rsidRPr="00FE3DC5">
        <w:tab/>
        <w:t>като взе предвид доклада на комисията по бюджетен контрол (A9-0092/2024),</w:t>
      </w:r>
    </w:p>
    <w:p w:rsidR="0017711C" w:rsidRPr="00FE3DC5" w:rsidRDefault="0017711C" w:rsidP="0017711C">
      <w:pPr>
        <w:pStyle w:val="NormalHanging12a"/>
      </w:pPr>
      <w:r w:rsidRPr="00FE3DC5">
        <w:t>1.</w:t>
      </w:r>
      <w:r w:rsidRPr="00FE3DC5">
        <w:tab/>
        <w:t>освобождава от отговорност изпълнителния директор на Агенцията за железопътен транспорт на Европейския съюз във връзка с изпълнението на бюджета на Агенцията за финансовата 2022 година;</w:t>
      </w:r>
    </w:p>
    <w:p w:rsidR="0017711C" w:rsidRPr="00FE3DC5" w:rsidRDefault="0017711C" w:rsidP="0017711C">
      <w:pPr>
        <w:pStyle w:val="NormalHanging12a"/>
      </w:pPr>
      <w:r w:rsidRPr="00FE3DC5">
        <w:t>2.</w:t>
      </w:r>
      <w:r w:rsidRPr="00FE3DC5">
        <w:tab/>
        <w:t>представя своите забележки в резолюцията по-долу;</w:t>
      </w:r>
    </w:p>
    <w:p w:rsidR="0017711C" w:rsidRPr="00FE3DC5" w:rsidRDefault="0017711C" w:rsidP="0017711C">
      <w:pPr>
        <w:pStyle w:val="NormalHanging12a"/>
      </w:pPr>
      <w:r w:rsidRPr="00FE3DC5">
        <w:t>3.</w:t>
      </w:r>
      <w:r w:rsidRPr="00FE3DC5">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за железопътен транспорт на Европейския съюз, на Съвета, Комисията и Сметната палата и да осигури публикуването им в </w:t>
      </w:r>
      <w:r w:rsidRPr="00FE3DC5">
        <w:rPr>
          <w:i/>
        </w:rPr>
        <w:t>Официален вестник на Европейския съюз</w:t>
      </w:r>
      <w:r w:rsidRPr="00FE3DC5">
        <w:t xml:space="preserve"> (серия L).</w:t>
      </w:r>
    </w:p>
    <w:p w:rsidR="0017711C" w:rsidRPr="00FE3DC5" w:rsidRDefault="0017711C" w:rsidP="0017711C"/>
    <w:p w:rsidR="0017711C" w:rsidRPr="00FE3DC5" w:rsidRDefault="0017711C" w:rsidP="0017711C">
      <w:pPr>
        <w:widowControl/>
        <w:rPr>
          <w:rFonts w:ascii="Arial" w:hAnsi="Arial" w:cs="Arial"/>
          <w:b/>
        </w:rPr>
        <w:sectPr w:rsidR="0017711C" w:rsidRPr="00FE3DC5" w:rsidSect="00FE3DC5">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17711C" w:rsidRPr="00FE3DC5" w:rsidRDefault="0017711C" w:rsidP="00C46C0F">
      <w:pPr>
        <w:pStyle w:val="ATHeading3"/>
      </w:pPr>
      <w:bookmarkStart w:id="8" w:name="_Toc146791291"/>
      <w:bookmarkStart w:id="9" w:name="_Toc161673316"/>
      <w:r w:rsidRPr="00FE3DC5">
        <w:lastRenderedPageBreak/>
        <w:t xml:space="preserve">2. </w:t>
      </w:r>
      <w:r w:rsidR="00C46C0F" w:rsidRPr="00FE3DC5">
        <w:t>Решение на Европейския парламент</w:t>
      </w:r>
      <w:bookmarkEnd w:id="8"/>
      <w:bookmarkEnd w:id="9"/>
      <w:r w:rsidR="00C46C0F">
        <w:t xml:space="preserve"> от 11 април 2024 г. </w:t>
      </w:r>
      <w:r w:rsidRPr="00FE3DC5">
        <w:t>относно приключването на сметките на Агенцията за железопътен транспорт на Европейския съюз за финансовата 2022 година</w:t>
      </w:r>
      <w:r w:rsidR="00C46C0F">
        <w:t xml:space="preserve"> </w:t>
      </w:r>
      <w:r w:rsidRPr="00FE3DC5">
        <w:t>(2023/2160(DEC))</w:t>
      </w:r>
    </w:p>
    <w:p w:rsidR="0017711C" w:rsidRPr="00FE3DC5" w:rsidRDefault="0017711C" w:rsidP="0017711C">
      <w:pPr>
        <w:pStyle w:val="EPComma"/>
      </w:pPr>
      <w:r w:rsidRPr="00FE3DC5">
        <w:rPr>
          <w:i/>
        </w:rPr>
        <w:t>Европейският парламент</w:t>
      </w:r>
      <w:r w:rsidRPr="00FE3DC5">
        <w:t>,</w:t>
      </w:r>
    </w:p>
    <w:p w:rsidR="0017711C" w:rsidRPr="00FE3DC5" w:rsidRDefault="0017711C" w:rsidP="0017711C">
      <w:pPr>
        <w:pStyle w:val="NormalHanging12a"/>
      </w:pPr>
      <w:r w:rsidRPr="00FE3DC5">
        <w:t>–</w:t>
      </w:r>
      <w:r w:rsidRPr="00FE3DC5">
        <w:tab/>
        <w:t>като взе предвид окончателните годишни отчети на Агенцията за железопътен транспорт на Европейския съюз за финансовата 2022 година,</w:t>
      </w:r>
    </w:p>
    <w:p w:rsidR="0017711C" w:rsidRPr="00FE3DC5" w:rsidRDefault="0017711C" w:rsidP="0017711C">
      <w:pPr>
        <w:pStyle w:val="NormalHanging12a"/>
      </w:pPr>
      <w:r w:rsidRPr="00FE3DC5">
        <w:t>–</w:t>
      </w:r>
      <w:r w:rsidRPr="00FE3DC5">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FE3DC5">
        <w:rPr>
          <w:rStyle w:val="FootnoteReference"/>
        </w:rPr>
        <w:footnoteReference w:id="6"/>
      </w:r>
      <w:r w:rsidRPr="00FE3DC5">
        <w:t>,</w:t>
      </w:r>
    </w:p>
    <w:p w:rsidR="0017711C" w:rsidRPr="00FE3DC5" w:rsidRDefault="0017711C" w:rsidP="0017711C">
      <w:pPr>
        <w:pStyle w:val="NormalHanging12a"/>
      </w:pPr>
      <w:r w:rsidRPr="00FE3DC5">
        <w:t>–</w:t>
      </w:r>
      <w:r w:rsidRPr="00FE3DC5">
        <w:tab/>
        <w:t>като взе предвид декларацията за достоверност</w:t>
      </w:r>
      <w:r w:rsidRPr="00FE3DC5">
        <w:rPr>
          <w:rStyle w:val="FootnoteReference"/>
        </w:rPr>
        <w:footnoteReference w:id="7"/>
      </w:r>
      <w:r w:rsidRPr="00FE3DC5">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17711C" w:rsidRPr="00FE3DC5" w:rsidRDefault="0017711C" w:rsidP="00380DFB">
      <w:pPr>
        <w:pStyle w:val="NormalHanging12a"/>
      </w:pPr>
      <w:r w:rsidRPr="00FE3DC5">
        <w:t>–</w:t>
      </w:r>
      <w:r w:rsidRPr="00FE3DC5">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380DFB">
        <w:rPr>
          <w:lang w:val="en-GB"/>
        </w:rPr>
        <w:t>06180</w:t>
      </w:r>
      <w:r w:rsidRPr="00FE3DC5">
        <w:t>/2024 – C9-00</w:t>
      </w:r>
      <w:r w:rsidR="00380DFB">
        <w:rPr>
          <w:lang w:val="en-GB"/>
        </w:rPr>
        <w:t>98</w:t>
      </w:r>
      <w:r w:rsidRPr="00FE3DC5">
        <w:t>/2024),</w:t>
      </w:r>
    </w:p>
    <w:p w:rsidR="0017711C" w:rsidRPr="00FE3DC5" w:rsidRDefault="0017711C" w:rsidP="0017711C">
      <w:pPr>
        <w:pStyle w:val="NormalHanging12a"/>
      </w:pPr>
      <w:r w:rsidRPr="00FE3DC5">
        <w:t>–</w:t>
      </w:r>
      <w:r w:rsidRPr="00FE3DC5">
        <w:tab/>
        <w:t>като взе предвид член 319 от Договора за функционирането на Европейския съюз,</w:t>
      </w:r>
    </w:p>
    <w:p w:rsidR="0017711C" w:rsidRPr="00FE3DC5" w:rsidRDefault="0017711C" w:rsidP="0017711C">
      <w:pPr>
        <w:pStyle w:val="NormalHanging12a"/>
      </w:pPr>
      <w:r w:rsidRPr="00FE3DC5">
        <w:t>–</w:t>
      </w:r>
      <w:r w:rsidRPr="00FE3DC5">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FE3DC5">
        <w:rPr>
          <w:rStyle w:val="FootnoteReference"/>
        </w:rPr>
        <w:footnoteReference w:id="8"/>
      </w:r>
      <w:r w:rsidRPr="00FE3DC5">
        <w:t>, и по-специално член 70 от него,</w:t>
      </w:r>
    </w:p>
    <w:p w:rsidR="0017711C" w:rsidRPr="00FE3DC5" w:rsidRDefault="0017711C" w:rsidP="0017711C">
      <w:pPr>
        <w:pStyle w:val="NormalHanging12a"/>
      </w:pPr>
      <w:r w:rsidRPr="00FE3DC5">
        <w:t>–</w:t>
      </w:r>
      <w:r w:rsidRPr="00FE3DC5">
        <w:tab/>
        <w:t>като взе предвид Регламент (ЕС) 2016/796 на Европейския парламент и на Съвета от 11 май 2016 г. относно Агенцията за железопътен транспорт на Европейския съюз и за отмяна на Регламент (ЕО) № 881/2004</w:t>
      </w:r>
      <w:r w:rsidRPr="00FE3DC5">
        <w:rPr>
          <w:rStyle w:val="FootnoteReference"/>
        </w:rPr>
        <w:footnoteReference w:id="9"/>
      </w:r>
      <w:r w:rsidRPr="00FE3DC5">
        <w:t>, и по-специално член 65 от него,</w:t>
      </w:r>
    </w:p>
    <w:p w:rsidR="0017711C" w:rsidRPr="00FE3DC5" w:rsidRDefault="0017711C" w:rsidP="0017711C">
      <w:pPr>
        <w:pStyle w:val="NormalHanging12a"/>
      </w:pPr>
      <w:r w:rsidRPr="00FE3DC5">
        <w:t>–</w:t>
      </w:r>
      <w:r w:rsidRPr="00FE3DC5">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FE3DC5">
        <w:rPr>
          <w:rStyle w:val="FootnoteReference"/>
        </w:rPr>
        <w:footnoteReference w:id="10"/>
      </w:r>
      <w:r w:rsidRPr="00FE3DC5">
        <w:t>, и по-специално член 105 от него,</w:t>
      </w:r>
    </w:p>
    <w:p w:rsidR="0017711C" w:rsidRPr="00FE3DC5" w:rsidRDefault="0017711C" w:rsidP="0017711C">
      <w:pPr>
        <w:pStyle w:val="NormalHanging12a"/>
      </w:pPr>
      <w:r w:rsidRPr="00FE3DC5">
        <w:t>–</w:t>
      </w:r>
      <w:r w:rsidRPr="00FE3DC5">
        <w:tab/>
        <w:t>като взе предвид член 100 и приложение V към своя Правилник за дейността,</w:t>
      </w:r>
    </w:p>
    <w:p w:rsidR="0017711C" w:rsidRPr="00FE3DC5" w:rsidRDefault="0017711C" w:rsidP="0017711C">
      <w:pPr>
        <w:pStyle w:val="NormalHanging12a"/>
      </w:pPr>
      <w:r w:rsidRPr="00FE3DC5">
        <w:t>–</w:t>
      </w:r>
      <w:r w:rsidRPr="00FE3DC5">
        <w:tab/>
        <w:t>като взе предвид становището на комисията по транспорт и туризъм,</w:t>
      </w:r>
    </w:p>
    <w:p w:rsidR="0017711C" w:rsidRPr="00FE3DC5" w:rsidRDefault="0017711C" w:rsidP="0017711C">
      <w:pPr>
        <w:pStyle w:val="NormalHanging12a"/>
      </w:pPr>
      <w:r w:rsidRPr="00FE3DC5">
        <w:t>–</w:t>
      </w:r>
      <w:r w:rsidRPr="00FE3DC5">
        <w:tab/>
        <w:t>като взе предвид доклада на комисията по бюджетен контрол (A9-0092/2024),</w:t>
      </w:r>
    </w:p>
    <w:p w:rsidR="0017711C" w:rsidRPr="00FE3DC5" w:rsidRDefault="0017711C" w:rsidP="0017711C">
      <w:pPr>
        <w:pStyle w:val="NormalHanging12a"/>
      </w:pPr>
      <w:r w:rsidRPr="00FE3DC5">
        <w:lastRenderedPageBreak/>
        <w:t>1.</w:t>
      </w:r>
      <w:r w:rsidRPr="00FE3DC5">
        <w:tab/>
        <w:t>одобрява приключването на сметките на Агенцията за железопътен транспорт на Европейския съюз за финансовата 2022 година;</w:t>
      </w:r>
    </w:p>
    <w:p w:rsidR="0017711C" w:rsidRPr="00FE3DC5" w:rsidRDefault="0017711C" w:rsidP="0017711C">
      <w:pPr>
        <w:pStyle w:val="NormalHanging12a"/>
      </w:pPr>
      <w:r w:rsidRPr="00FE3DC5">
        <w:t>2.</w:t>
      </w:r>
      <w:r w:rsidRPr="00FE3DC5">
        <w:tab/>
        <w:t xml:space="preserve">възлага на своя председател да предаде настоящото решение на изпълнителния директор на Агенцията за железопътен транспорт на Европейския съюз, на Съвета, Комисията и Сметната палата и да осигури публикуването му в </w:t>
      </w:r>
      <w:r w:rsidRPr="00FE3DC5">
        <w:rPr>
          <w:i/>
        </w:rPr>
        <w:t>Официален вестник на Европейския съюз</w:t>
      </w:r>
      <w:r w:rsidRPr="00FE3DC5">
        <w:t xml:space="preserve"> (серия L).</w:t>
      </w:r>
    </w:p>
    <w:p w:rsidR="0017711C" w:rsidRPr="00FE3DC5" w:rsidRDefault="0017711C" w:rsidP="0017711C"/>
    <w:p w:rsidR="0017711C" w:rsidRPr="00FE3DC5" w:rsidRDefault="0017711C" w:rsidP="0017711C">
      <w:pPr>
        <w:widowControl/>
        <w:rPr>
          <w:rFonts w:ascii="Arial" w:hAnsi="Arial" w:cs="Arial"/>
          <w:b/>
        </w:rPr>
        <w:sectPr w:rsidR="0017711C" w:rsidRPr="00FE3DC5" w:rsidSect="00FE3DC5">
          <w:footnotePr>
            <w:numRestart w:val="eachPage"/>
          </w:footnotePr>
          <w:endnotePr>
            <w:numFmt w:val="decimal"/>
          </w:endnotePr>
          <w:pgSz w:w="11906" w:h="16838"/>
          <w:pgMar w:top="1134" w:right="1418" w:bottom="1418" w:left="1418" w:header="567" w:footer="567" w:gutter="0"/>
          <w:cols w:space="720"/>
          <w:docGrid w:linePitch="326"/>
        </w:sectPr>
      </w:pPr>
    </w:p>
    <w:p w:rsidR="0017711C" w:rsidRPr="00FE3DC5" w:rsidRDefault="0017711C" w:rsidP="00C46C0F">
      <w:pPr>
        <w:pStyle w:val="ATHeading3"/>
      </w:pPr>
      <w:bookmarkStart w:id="10" w:name="_Toc146791292"/>
      <w:bookmarkStart w:id="11" w:name="_Toc161673317"/>
      <w:r w:rsidRPr="00FE3DC5">
        <w:lastRenderedPageBreak/>
        <w:t xml:space="preserve">3. </w:t>
      </w:r>
      <w:r w:rsidR="00C46C0F" w:rsidRPr="00FE3DC5">
        <w:t>Резолюция на Европейския парламент</w:t>
      </w:r>
      <w:r w:rsidR="00C46C0F">
        <w:t xml:space="preserve"> от 11 април 2024 г.</w:t>
      </w:r>
      <w:r w:rsidRPr="00FE3DC5">
        <w:t>,</w:t>
      </w:r>
      <w:bookmarkEnd w:id="10"/>
      <w:bookmarkEnd w:id="11"/>
      <w:r w:rsidR="00C46C0F">
        <w:t xml:space="preserve"> </w:t>
      </w:r>
      <w:r w:rsidRPr="00FE3DC5">
        <w:t>съдържащ</w:t>
      </w:r>
      <w:r w:rsidR="00C46C0F">
        <w:t>а</w:t>
      </w:r>
      <w:r w:rsidRPr="00FE3DC5">
        <w:t xml:space="preserve"> забележките, които са неразделна част от решението за освобождаване от отговорност във връзка с изпълнението на бюджета на Агенцията за железопътен транспорт на Европейския съюз за финансовата 2022 година</w:t>
      </w:r>
      <w:r w:rsidR="00C46C0F">
        <w:t xml:space="preserve"> </w:t>
      </w:r>
      <w:r w:rsidRPr="00FE3DC5">
        <w:t>(2023/2160(DEC))</w:t>
      </w:r>
    </w:p>
    <w:p w:rsidR="0017711C" w:rsidRPr="00FE3DC5" w:rsidRDefault="0017711C" w:rsidP="0017711C">
      <w:pPr>
        <w:pStyle w:val="EPComma"/>
      </w:pPr>
      <w:r w:rsidRPr="00FE3DC5">
        <w:rPr>
          <w:i/>
        </w:rPr>
        <w:t>Европейският парламент</w:t>
      </w:r>
      <w:r w:rsidRPr="00FE3DC5">
        <w:t>,</w:t>
      </w:r>
    </w:p>
    <w:p w:rsidR="0017711C" w:rsidRPr="00FE3DC5" w:rsidRDefault="0017711C" w:rsidP="0017711C">
      <w:pPr>
        <w:pStyle w:val="NormalHanging12a"/>
      </w:pPr>
      <w:r w:rsidRPr="00FE3DC5">
        <w:t>–</w:t>
      </w:r>
      <w:r w:rsidRPr="00FE3DC5">
        <w:tab/>
        <w:t>като взе предвид своето решение за освобождаване от отговорност във връзка с изпълнението на бюджета на Агенцията за железопътен транспорт на Европейския съюз за финансовата 2022 година,</w:t>
      </w:r>
    </w:p>
    <w:p w:rsidR="0017711C" w:rsidRPr="00FE3DC5" w:rsidRDefault="0017711C" w:rsidP="0017711C">
      <w:pPr>
        <w:pStyle w:val="NormalHanging12a"/>
      </w:pPr>
      <w:r w:rsidRPr="00FE3DC5">
        <w:t>–</w:t>
      </w:r>
      <w:r w:rsidRPr="00FE3DC5">
        <w:tab/>
        <w:t>като взе предвид член 100 и приложение V към своя Правилник за дейността,</w:t>
      </w:r>
    </w:p>
    <w:p w:rsidR="0017711C" w:rsidRPr="00FE3DC5" w:rsidRDefault="0017711C" w:rsidP="0017711C">
      <w:pPr>
        <w:pStyle w:val="NormalHanging12a"/>
      </w:pPr>
      <w:r w:rsidRPr="00FE3DC5">
        <w:t>–</w:t>
      </w:r>
      <w:r w:rsidRPr="00FE3DC5">
        <w:tab/>
        <w:t>като взе предвид становището на комисията по транспорт и туризъм,</w:t>
      </w:r>
    </w:p>
    <w:p w:rsidR="0017711C" w:rsidRPr="00FE3DC5" w:rsidRDefault="0017711C" w:rsidP="0017711C">
      <w:pPr>
        <w:pStyle w:val="NormalHanging12a"/>
      </w:pPr>
      <w:r w:rsidRPr="00FE3DC5">
        <w:t>–</w:t>
      </w:r>
      <w:r w:rsidRPr="00FE3DC5">
        <w:tab/>
        <w:t>като взе предвид доклада на комисията по бюджетен контрол (A9-0092/2024),</w:t>
      </w:r>
    </w:p>
    <w:p w:rsidR="0017711C" w:rsidRPr="00FE3DC5" w:rsidRDefault="0017711C" w:rsidP="0017711C">
      <w:pPr>
        <w:spacing w:after="240"/>
        <w:ind w:left="567" w:hanging="567"/>
        <w:rPr>
          <w:szCs w:val="24"/>
        </w:rPr>
      </w:pPr>
      <w:r w:rsidRPr="00FE3DC5">
        <w:t>А.</w:t>
      </w:r>
      <w:r w:rsidRPr="00FE3DC5">
        <w:tab/>
        <w:t>като има предвид, че според отчета за приходите и разходите</w:t>
      </w:r>
      <w:r w:rsidRPr="00FE3DC5">
        <w:rPr>
          <w:rStyle w:val="FootnoteReference"/>
          <w:szCs w:val="24"/>
        </w:rPr>
        <w:footnoteReference w:id="11"/>
      </w:r>
      <w:r w:rsidRPr="00FE3DC5">
        <w:t xml:space="preserve"> на Агенцията за железопътен транспорт на Европейския съюз („Агенцията“) нейният окончателен бюджет за финансовата 2022 година възлиза на 34 814 691 EUR, което представлява увеличение с 9,38% спрямо 2021 г.; като има предвид, че бюджетът на Агенцията се осигурява основно от бюджета на Съюза;</w:t>
      </w:r>
    </w:p>
    <w:p w:rsidR="0017711C" w:rsidRPr="00FE3DC5" w:rsidRDefault="0017711C" w:rsidP="0017711C">
      <w:pPr>
        <w:spacing w:after="240"/>
        <w:ind w:left="567" w:hanging="567"/>
        <w:rPr>
          <w:szCs w:val="24"/>
        </w:rPr>
      </w:pPr>
      <w:r w:rsidRPr="00FE3DC5">
        <w:t>Б.</w:t>
      </w:r>
      <w:r w:rsidRPr="00FE3DC5">
        <w:tab/>
        <w:t>като има предвид, че Сметната палата („Палатата“), в своя доклад относно годишните отчети на Агенцията за финансовата 2022 година („доклада на Палатата“), заявява, че е получила достатъчна увереност, че годишните отчети на Агенцията са надеждни и че свързаните с тях операции са законосъобразни и редовни;</w:t>
      </w:r>
    </w:p>
    <w:p w:rsidR="0017711C" w:rsidRPr="00FE3DC5" w:rsidRDefault="0017711C" w:rsidP="0017711C">
      <w:pPr>
        <w:spacing w:after="240"/>
        <w:ind w:left="567" w:hanging="567"/>
        <w:rPr>
          <w:b/>
          <w:i/>
          <w:szCs w:val="24"/>
        </w:rPr>
      </w:pPr>
      <w:r w:rsidRPr="00FE3DC5">
        <w:rPr>
          <w:b/>
          <w:i/>
        </w:rPr>
        <w:t>Бюджетно и финансово управление</w:t>
      </w:r>
    </w:p>
    <w:p w:rsidR="0017711C" w:rsidRPr="00FE3DC5" w:rsidRDefault="0017711C" w:rsidP="0017711C">
      <w:pPr>
        <w:spacing w:after="240"/>
        <w:ind w:left="567" w:hanging="567"/>
        <w:rPr>
          <w:szCs w:val="24"/>
        </w:rPr>
      </w:pPr>
      <w:r w:rsidRPr="00FE3DC5">
        <w:t>1.</w:t>
      </w:r>
      <w:r w:rsidRPr="00FE3DC5">
        <w:tab/>
        <w:t>отбелязва със задоволство, че усилията за контрол на бюджета през финансовата 2022 година са довели до степен на изпълнение на бюджетните кредити за текущата година от 99,95%, което представлява леко увеличение с 0,13% спрямо 2021 г.; отбелязва също така, че степента на изпълнение на бюджетните кредити за плащания за текущата година е била 94,97%, което представлява увеличение с 1,43% спрямо 2021 г.; отбелязва, че резултатът от изпълнението на бюджета през 2022 г. е 81 821 EUR – повече, отколкото е бил през 2021 г., а именно 69 638 EUR;</w:t>
      </w:r>
    </w:p>
    <w:p w:rsidR="0017711C" w:rsidRPr="00FE3DC5" w:rsidRDefault="0017711C" w:rsidP="0017711C">
      <w:pPr>
        <w:spacing w:after="240"/>
        <w:ind w:left="567" w:hanging="567"/>
        <w:rPr>
          <w:szCs w:val="24"/>
        </w:rPr>
      </w:pPr>
      <w:r w:rsidRPr="00FE3DC5">
        <w:t>2.</w:t>
      </w:r>
      <w:r w:rsidRPr="00FE3DC5">
        <w:tab/>
        <w:t xml:space="preserve">признава, че основното въздействие върху изпълнението на бюджета през 2022 г. се дължи на глобални външни фактори, като например нестабилния геополитически контекст и енергийната криза, които доведоха до голяма нестабилност, водеща до непредсказуемо увеличение на разходите на Агенцията; отбелязва, че Агенцията е приложила строги мерки за контрол на своите разходи, коригирала е равнището на таксите и възнагражденията (почасовата ставка се увеличава и редовно се коригира в съответствие с процента на инфлация) и е въвела редовен процес на мониторинг на изпълнението на бюджета с няколко </w:t>
      </w:r>
      <w:r w:rsidRPr="00FE3DC5">
        <w:lastRenderedPageBreak/>
        <w:t>инструмента за планиране и мониторинг с цел автоматизиране на този процес;</w:t>
      </w:r>
    </w:p>
    <w:p w:rsidR="0017711C" w:rsidRPr="00FE3DC5" w:rsidRDefault="0017711C" w:rsidP="0017711C">
      <w:pPr>
        <w:spacing w:after="240"/>
        <w:ind w:left="567" w:hanging="567"/>
        <w:rPr>
          <w:szCs w:val="24"/>
        </w:rPr>
      </w:pPr>
      <w:r w:rsidRPr="00FE3DC5">
        <w:t>3.</w:t>
      </w:r>
      <w:r w:rsidRPr="00FE3DC5">
        <w:tab/>
        <w:t>отбелязва, че Агенцията се е присъединила към пилотната фаза на Комисията за замяна на бюджетната и счетоводна система с нова система – SUMMA; отбелязва в този контекст, въз основа на доклада на Палатата, забележките относно недостатъците и слабостите на Агенцията, а именно липсата на стратегия за управление и контрол на риска при прилагането на новата система, неактуализирането на финансовите потоци и на стратегията за предварителни и последващи проверки, както и липсата на проверка на правата, предоставени на потребителите; отбелязва въз основа на отговорите на Агенцията на констатациите на Палатата, че проактивно са били предприети мерки за смекчаване на последиците въз основа на съответния натрупан опит, включително чрез започване през втората половина на 2022 г. на актуализация на финансовите потоци на Агенцията и стратегията за предварителни и последващи проверки, като се очаква съответните документи да бъдат актуализирани през 2023 г.; призовава Агенцията да разгледа изцяло забележките на Палатата и да информира органа по освобождаване от отговорност за напредъка, постигнат по този въпрос;</w:t>
      </w:r>
    </w:p>
    <w:p w:rsidR="0017711C" w:rsidRPr="00FE3DC5" w:rsidRDefault="0017711C" w:rsidP="0017711C">
      <w:pPr>
        <w:spacing w:after="240"/>
        <w:ind w:left="567" w:hanging="567"/>
        <w:rPr>
          <w:szCs w:val="24"/>
        </w:rPr>
      </w:pPr>
      <w:r w:rsidRPr="00FE3DC5">
        <w:t>4.</w:t>
      </w:r>
      <w:r w:rsidRPr="00FE3DC5">
        <w:tab/>
        <w:t>отбелязва забележката на Палатата относно неспазването от Агенцията на срока, предвиден във Финансовия регламент по отношение на плащанията, като през 2022 г. 12,2% от плащанията са закъснели с над 30 дни; отбелязва позицията на Агенцията, че подобни забавяния са свързани с прилагането на новата система SUMMA и че междувременно са въведени мерки за избягване на забавяне на плащанията;</w:t>
      </w:r>
    </w:p>
    <w:p w:rsidR="0017711C" w:rsidRPr="00FE3DC5" w:rsidRDefault="0017711C" w:rsidP="0017711C">
      <w:pPr>
        <w:spacing w:after="240"/>
        <w:ind w:left="567" w:hanging="567"/>
        <w:rPr>
          <w:szCs w:val="24"/>
        </w:rPr>
      </w:pPr>
      <w:r w:rsidRPr="00FE3DC5">
        <w:t>5.</w:t>
      </w:r>
      <w:r w:rsidRPr="00FE3DC5">
        <w:tab/>
        <w:t>отбелязва освен това, че Агенцията е имала забавяния и при издаването на фактури (или „дебитни известия“) за съответните такси и плащания, като има предвид, че такива закъснения също се дължат на прилагането на новата система SUMMA, както и при получаването на декларации за разходи от националните органи по безопасността, като по този начин са били нарушени съответните членове от Фина</w:t>
      </w:r>
      <w:r w:rsidR="009F57AC">
        <w:t>нсовия регламент и Регламент (ЕС</w:t>
      </w:r>
      <w:bookmarkStart w:id="12" w:name="_GoBack"/>
      <w:bookmarkEnd w:id="12"/>
      <w:r w:rsidRPr="00FE3DC5">
        <w:t>) 2018/764 относно таксите и възнагражденията на Агенцията; отчита въз основа на отговорите на Агенцията на констатациите на Палатата, че избягването или намаляването на подобни забавяния би било възможно, ако националните органи по безопасността представят своевременно на Агенцията своите отчети за разходите, но че Агенцията няма как да гарантира, че националните органи по безопасността спазват крайните срокове;</w:t>
      </w:r>
    </w:p>
    <w:p w:rsidR="0017711C" w:rsidRPr="00FE3DC5" w:rsidRDefault="0017711C" w:rsidP="00682877">
      <w:pPr>
        <w:pStyle w:val="NormalHanging12a"/>
      </w:pPr>
      <w:r w:rsidRPr="00FE3DC5">
        <w:t>6.</w:t>
      </w:r>
      <w:r w:rsidRPr="00FE3DC5">
        <w:tab/>
        <w:t>припомня, че Агенцията разполага с най-малкия бюджет сред транспортните агенции въпреки изключителните екологични ползи на железопътния транспорт, който е приоритет на Комисията; приветства увеличението на бюджета за финансовата 2022 година, придружено от различни усилия за повишаване на конкурентоспособността, подобряване на безопасността и насърчаване на трансграничната оперативна съвместимост; при все това призовава за увеличаване на бюджета, за да се гарантира, че Агенцията разполага със съществените ресурси да функционира като ефикасен орган и ефективно да изпълнява своите задачи;</w:t>
      </w:r>
    </w:p>
    <w:p w:rsidR="0017711C" w:rsidRPr="00FE3DC5" w:rsidRDefault="0017711C" w:rsidP="0017711C">
      <w:pPr>
        <w:spacing w:after="240"/>
        <w:ind w:left="567" w:hanging="567"/>
        <w:rPr>
          <w:b/>
          <w:i/>
          <w:szCs w:val="24"/>
        </w:rPr>
      </w:pPr>
      <w:r w:rsidRPr="00FE3DC5">
        <w:rPr>
          <w:b/>
          <w:i/>
        </w:rPr>
        <w:t>Резултати от изпълнението</w:t>
      </w:r>
    </w:p>
    <w:p w:rsidR="0017711C" w:rsidRPr="00FE3DC5" w:rsidRDefault="0017711C" w:rsidP="0017711C">
      <w:pPr>
        <w:spacing w:after="240"/>
        <w:ind w:left="567" w:hanging="567"/>
        <w:rPr>
          <w:szCs w:val="24"/>
        </w:rPr>
      </w:pPr>
      <w:r w:rsidRPr="00FE3DC5">
        <w:t>7.</w:t>
      </w:r>
      <w:r w:rsidRPr="00FE3DC5">
        <w:tab/>
        <w:t xml:space="preserve">отбелязва, че Агенцията е докладвала за 81,13% изпълнение на годишната си работна програма за 2022 г. в сравнение със 76,41% през 2021 г., което е похвално </w:t>
      </w:r>
      <w:r w:rsidRPr="00FE3DC5">
        <w:lastRenderedPageBreak/>
        <w:t>увеличение за втора поредна година; отбелязва, че през 2022 г. Агенцията е приела нова структура на своята работна програма, като е преминавала от работна програма, основана на дейности, към работна програма, основана на стратегически декларации, и е стартирала нова платформа за ежемесечно докладване на всички проекти и услуги и ново табло за мониторинг; отбелязва, че годишната работна програма включва 9 стратегически декларации, които са изготвени съобразно въздействието, което Агенцията се стреми да окаже върху обществото; отчита, че през 2022 г. Агенцията е изпълнила успешно своите стратегически декларации с висока степен на постигане на целите си за различните крайни продукти и услуги и определените от нея КПЕ; отбелязва обаче, че някои КПЕ не са постигнати, като например свързаните със стартирането на „проучвателна фаза 3“за новата сграда на Агенцията във Валансиен, въвеждането на нова система (ARES) за управление на документи, плащанията, извършени в рамките на договорни срокове, свързани с приемането в пилотната фаза на нова финансова система (SUMMA) и инициативата „Жените в транспорта“;</w:t>
      </w:r>
    </w:p>
    <w:p w:rsidR="0017711C" w:rsidRPr="00FE3DC5" w:rsidRDefault="0017711C" w:rsidP="0017711C">
      <w:pPr>
        <w:spacing w:after="240"/>
        <w:ind w:left="567" w:hanging="567"/>
      </w:pPr>
      <w:r w:rsidRPr="00FE3DC5">
        <w:t>8.</w:t>
      </w:r>
      <w:r w:rsidRPr="00FE3DC5">
        <w:tab/>
        <w:t>отбелязва някои от основните постижения на Агенцията през 2022 г., като например приемането на Плана за действие за укрепване за периода 2023 – 2027 г., навременното издаване на значително нарастващ брой разрешения за пускане на пазара на железопътни превозни средства (1861) и единни сертификати за безопасност (66), финализирането на препоръката на Агенцията относно преразглеждането на пакета за ТСОС до 2022 г., който ще подкрепи укрепването на оперативната съвместимост на железопътния транспорт в целия Съюз, стартирането на втория одитен цикъл на националните органи по безопасността, обхващащ всички задачи, възложени им от законодателството на Съюза, изготвянето на изключително голям брой доклади (осем вместо очакваните три) в областта на мониторинга на нотифицираните органи и работата по първия доклад на Агенцията въз основа на резултатите от проучването на климата на безопасност (започнало през 2021 г. и получило 46 500 отговора); приветства Агенцията за разработването на модули за обучение по безопасност относно културата на справедливост, които биха повишили безопасността в целия сектор, както и за нейните постижения (набор от инструменти, насоки и материали за обучение, действия за повишаване на осведомеността, модули за обучение) по отношение на интегрирането на човешките и организационните фактори, което ще спомогне за подобряване на безопасността и ефективността на железопътния транспорт;</w:t>
      </w:r>
    </w:p>
    <w:p w:rsidR="0017711C" w:rsidRPr="00FE3DC5" w:rsidRDefault="0017711C" w:rsidP="0017711C">
      <w:pPr>
        <w:pStyle w:val="NormalHanging12a"/>
      </w:pPr>
      <w:r w:rsidRPr="00FE3DC5">
        <w:t>9.</w:t>
      </w:r>
      <w:r w:rsidRPr="00FE3DC5">
        <w:tab/>
        <w:t>подчертава, че е важно да продължи подкрепата за всички инициативи за по-добро общо разбиране на техническите спецификации за оперативна съвместимост (ТСОС), което допринася за развитието на силен и конкурентоспособен европейски железопътен сектор; настоява за по-голяма подкрепа за иновациите в товарния железопътен транспорт и интермодалните транспортни услуги, за да се постигне конкурентоспособно интегриране в логистичната верига за създаване на стойност с автоматизация и цифровизация на товарния железопътен транспорт;</w:t>
      </w:r>
    </w:p>
    <w:p w:rsidR="0017711C" w:rsidRPr="00FE3DC5" w:rsidRDefault="0017711C" w:rsidP="0017711C">
      <w:pPr>
        <w:spacing w:after="240"/>
        <w:ind w:left="567" w:hanging="567"/>
      </w:pPr>
      <w:r w:rsidRPr="00FE3DC5">
        <w:t>10.</w:t>
      </w:r>
      <w:r w:rsidRPr="00FE3DC5">
        <w:tab/>
        <w:t xml:space="preserve">приветства доклада относно безопасността и оперативната съвместимост на железопътния транспорт в ЕС; отчита трайния ангажимент на Агенцията към целта за създаване на единно европейско железопътно пространство и нейната постоянна работа в ключови области, като намаляване на националните правила и </w:t>
      </w:r>
      <w:r w:rsidRPr="00FE3DC5">
        <w:lastRenderedPageBreak/>
        <w:t>гарантиране на зрелостта на техническите спецификации за оперативна съвместимост; отбелязва, че тази важна работа ще подкрепи засилването на оперативната съвместимост на железопътния транспорт в цяла Европа в съответствие с политическите очаквания на Комисията; приветства продължаващия принос на Агенцията в областта на националните правила, с рационализирането през 2022 г. на останалите национални технически правила (за Чехия и Нидерландия), които представляват пречка за гладкото функциониране на железопътните операции;</w:t>
      </w:r>
    </w:p>
    <w:p w:rsidR="0017711C" w:rsidRPr="00FE3DC5" w:rsidRDefault="0017711C" w:rsidP="00682877">
      <w:pPr>
        <w:pStyle w:val="NormalHanging12a"/>
      </w:pPr>
      <w:r w:rsidRPr="00FE3DC5">
        <w:t>11.</w:t>
      </w:r>
      <w:r w:rsidRPr="00FE3DC5">
        <w:tab/>
        <w:t>приветства проактивния отговор на Агенцията на препоръките, отправени в забележката от предходната година, която призовава настоятелно Агенцията да въведе ефективни проверки на статута на МСП на кандидатите; приветства прилагането на засилен контрол за проверка на статута на МСП по отношение на единните сертификати за безопасност и заявленията за разрешения за превозни средства; отбелязва, че на Агенцията се дължат няколко инициативи, насочени към стимулиране на железопътния трафик (както пътнически, така и товарен), включително мерки за координиране на международното железопътно движение и разработване на нови технологии, като например автоматизация на влаковете, които допринасят за сближаването, стимулират икономиката на ЕС и зеления и цифровия преход; приветства факта, че ръководната група за пакета в областта на железопътния транспорт е продължила успешно своите дейности за оценка на готовността на Агенцията за 4-ия железопътен пакет;</w:t>
      </w:r>
    </w:p>
    <w:p w:rsidR="0017711C" w:rsidRPr="00FE3DC5" w:rsidRDefault="0017711C" w:rsidP="00682877">
      <w:pPr>
        <w:pStyle w:val="NormalHanging12a"/>
      </w:pPr>
      <w:r w:rsidRPr="00FE3DC5">
        <w:t>12.</w:t>
      </w:r>
      <w:r w:rsidRPr="00FE3DC5">
        <w:tab/>
        <w:t>подчертава, че незаконната и необоснована агресивна война на Русия срещу Украйна показа решаващата роля, която може да играе железопътният транспорт; отбелязва, че от нахлуването в Украйна досега железопътният транспорт е значителен актив за движението на хора и стоки, особено със затварянето на въздушното пространство на Украйна за гражданското въздухоплаване; посочва, че украинските железници са превозили войници, работници от първа необходимост, жители и многобройни жизненоважни стоки, като например селскостопански стоки; отчита, че Агенцията допринесе за сътрудничеството на ЕС с Украйна по отношение на издръжливостта и развитието на железопътните връзки, подкрепи Украйна и хората по света, като намери допълнителни начини за увеличаване на обема на транспортираните украински хранителни продукти с железници;</w:t>
      </w:r>
    </w:p>
    <w:p w:rsidR="0017711C" w:rsidRPr="00FE3DC5" w:rsidRDefault="0017711C" w:rsidP="0017711C">
      <w:pPr>
        <w:spacing w:after="240"/>
        <w:ind w:left="567" w:hanging="567"/>
        <w:rPr>
          <w:b/>
          <w:i/>
          <w:szCs w:val="24"/>
        </w:rPr>
      </w:pPr>
      <w:r w:rsidRPr="00FE3DC5">
        <w:rPr>
          <w:b/>
          <w:i/>
        </w:rPr>
        <w:t>Ефикасност и ползи</w:t>
      </w:r>
    </w:p>
    <w:p w:rsidR="0017711C" w:rsidRPr="00FE3DC5" w:rsidRDefault="0017711C" w:rsidP="0017711C">
      <w:pPr>
        <w:spacing w:after="240"/>
        <w:ind w:left="567" w:hanging="567"/>
        <w:rPr>
          <w:szCs w:val="24"/>
        </w:rPr>
      </w:pPr>
      <w:r w:rsidRPr="00FE3DC5">
        <w:t>13.</w:t>
      </w:r>
      <w:r w:rsidRPr="00FE3DC5">
        <w:tab/>
        <w:t>приветства Агенцията за това, че през 2022 г. е приела Плана за укрепване и Плана за действие за укрепване за периода 2023 – 2027 г.; отбелязва, че Планът за действие за укрепване е организиран по компоненти и цели и е в основата на стратегията на Агенцията за повишаване на ефективността през следващите пет години; отбелязва, че в рамките на Агенцията е създадена вътрешна работна група за Плана за действие за укрепване и неговите основни етапи и че ще бъде назначен докладчик, който да подпомага, насочва и наблюдава изпълнението му;</w:t>
      </w:r>
    </w:p>
    <w:p w:rsidR="0017711C" w:rsidRPr="00FE3DC5" w:rsidRDefault="0017711C" w:rsidP="0017711C">
      <w:pPr>
        <w:spacing w:after="240"/>
        <w:ind w:left="567" w:hanging="567"/>
      </w:pPr>
      <w:r w:rsidRPr="00FE3DC5">
        <w:t>14.</w:t>
      </w:r>
      <w:r w:rsidRPr="00FE3DC5">
        <w:tab/>
        <w:t xml:space="preserve">отбелязва, че благодарение на своя План за действие за укрепване през 2022 г. Агенцията е получила 12 допълнителни срочно наети служители, като това увеличение може да предостави добра основа на Агенцията да пристъпи към изпълнението на Плана за укрепване; изразява съжаление, че разпределението на длъжностите не е било придружено от съответно разпределение на субсидии, </w:t>
      </w:r>
      <w:r w:rsidRPr="00FE3DC5">
        <w:lastRenderedPageBreak/>
        <w:t>което, заедно с извънредната индексация на заплатите и общото увеличение на цените за комунални услуги, е поставило допълнителни ограничения върху планирането на работата и ресурсите на Агенцията; през 2022 г. няколко приоритета са били засегнати отрицателно, като например работата по годишния преглед на изпълнението на националните органи по безопасността или разработването на система за обмен на информация за събития, свързани с безопасността в Европа;</w:t>
      </w:r>
    </w:p>
    <w:p w:rsidR="0017711C" w:rsidRPr="00FE3DC5" w:rsidRDefault="0017711C" w:rsidP="0017711C">
      <w:pPr>
        <w:spacing w:after="240"/>
        <w:ind w:left="567" w:hanging="567"/>
        <w:rPr>
          <w:szCs w:val="24"/>
        </w:rPr>
      </w:pPr>
      <w:r w:rsidRPr="00FE3DC5">
        <w:t>15.</w:t>
      </w:r>
      <w:r w:rsidRPr="00FE3DC5">
        <w:tab/>
        <w:t>отбелязва, че въз основа на непрекъснатия преглед на услугите, предоставяни от агенциите и службите на Комисията, е идентифициран „капацитет за споделяне“, като Агенцията постепенно прилага елементи на сътрудничество в областта на организацията на заседания, сигурността на информационните технологии, човешките ресурси (напр. заплати и управление на индивидуалните права на служителите, разследвания, свързани със случаи на тормоз), възлагането на обществени поръчки (напр. междуведомствени търгове, общи рамкови договори), превода и счетоводството; отбелязва, че през 2022 г. Агенцията е сключила Меморандум за сътрудничество с Агенцията за авиационна безопасност на Европейския съюз (ЕААБ), с който се установява редовен структуриран диалог между тези две агенции и се подобрява обменът на информация, знания и опит в различни области на сътрудничество, включително относно проучването на възможността за адаптиране на едно от съществуващите ИТ решения в сектора на въздухоплаването (Европейски координационен център за докладване на инциденти с въздухоплавателни средства), така че системата за обмен на информация за железопътния транспорт да бъде пригодена за събиране и анализ на докладването на събития, свързани с безопасността на железопътния транспорт; призовава Агенцията да докладва на органа по освобождаване от отговорност относно резултата от тази фаза на проучване;</w:t>
      </w:r>
    </w:p>
    <w:p w:rsidR="0017711C" w:rsidRPr="00FE3DC5" w:rsidRDefault="0017711C" w:rsidP="0017711C">
      <w:pPr>
        <w:spacing w:after="240"/>
        <w:ind w:left="567" w:hanging="567"/>
        <w:rPr>
          <w:szCs w:val="24"/>
        </w:rPr>
      </w:pPr>
      <w:r w:rsidRPr="00FE3DC5">
        <w:t>16.</w:t>
      </w:r>
      <w:r w:rsidRPr="00FE3DC5">
        <w:tab/>
        <w:t>отбелязва, че през 2022 г. е била изготвена и публикувана първата стратегия на Агенцията за управление на околната среда като част от единния програмен документ на Агенцията за периода 2023 – 2025 г.; приветства Агенцията за това, че вече е предвидила и изпълнила някои инициативи и действия до края на 2022 г., като например намаляване на температурата в сградата, ремонт/замяна на дефектни датчици за решаване на проблема с лампите, които винаги са включени в някои офиси, регулиране на настройките за автоматично изключване на лампите и създаване на (доброволческа) група на ERA за околната среда, която да стимулира действия за разпространение, да събира идеи и да настоява за напредък на действията в областта на околната среда; отбелязва със задоволство въз основа на доклада на Палата, че Агенцията е сред агенциите, които планират да подобрят енергийната ефективност и неутралността по отношение на климата на своите операции; насърчава Агенцията да включи в този план количествени базови стойности и цели за намаляване на въглеродния отпечатък и потреблението на енергия, както и да гарантира, че новата ѝ сграда във Валансиен ще бъде сертифицирана по EMAS;</w:t>
      </w:r>
    </w:p>
    <w:p w:rsidR="0017711C" w:rsidRPr="00FE3DC5" w:rsidRDefault="0017711C" w:rsidP="0017711C">
      <w:pPr>
        <w:pStyle w:val="NormalHanging12a"/>
      </w:pPr>
      <w:r w:rsidRPr="00FE3DC5">
        <w:t>17.</w:t>
      </w:r>
      <w:r w:rsidRPr="00FE3DC5">
        <w:tab/>
        <w:t xml:space="preserve">отчита, че Агенцията е постигнала много висока степен на цифровизация, за да повиши своята ефективност, като е премахнала хартиените процеси и е предложила онлайн решения, като например електронни обществени поръчки, електронно фактуриране, електронни резервации за пътувания, включително чрез въвеждането през 2022 г. на системата на Комисията за управление на човешките ресурси (SYSPER) и миграцията, в пилотна фаза, към новата бюджетна, </w:t>
      </w:r>
      <w:r w:rsidRPr="00FE3DC5">
        <w:lastRenderedPageBreak/>
        <w:t>счетоводна и финансова система SUMMA; приветства факта, че единният програмен документ на Агенцията за периода 2023 – 2025 г. предвижда по-нататъшно цифровизиране на нейните работни процеси;</w:t>
      </w:r>
    </w:p>
    <w:p w:rsidR="0017711C" w:rsidRPr="00FE3DC5" w:rsidRDefault="0017711C" w:rsidP="0017711C">
      <w:pPr>
        <w:pStyle w:val="NormalHanging12a"/>
      </w:pPr>
      <w:r w:rsidRPr="00FE3DC5">
        <w:t>18.</w:t>
      </w:r>
      <w:r w:rsidRPr="00FE3DC5">
        <w:tab/>
        <w:t>отбелязва въз основа на становището на Агенцията по отношение на последващите мерки, предприети във връзка с освобождаването от отговорност за изпълнението на бюджета на Агенцията за финансовата 2021 година (наричано по-долу „становището на Агенцията“), че Агенцията е приложила няколко мерки за намаляване на разходите за операции в Лил (напр. командировъчните и пътните разходи на служителите и външните заинтересовани страни са намалели значително) и е прекратила настоящия договор за наем на помещенията в Лил; отбелязва, че намерението на Агенцията е да организира само задължителните заседания в Лил, за да спази решението на Европейския съвет относно двойното седалище „Лил-Валансиен“; приветства факта, че през 2022 г. Агенцията е одобрила своята стратегия за човешките ресурси (2023 – 2027 г.) въз основа на забележката на Парламента, с акцент върху подобряването на нейната ефективност и ефикасност; отбелязва във връзка с това положителния опит и развитието в Агенцията по отношение на използването на режима на дистанционна работа по време на пандемията от COVID-19, в резултат на което Агенцията стига до заключението, че новата нормална практика е дистанционната работа да се приема за равностойна на работата в офиса за повечето служители, като физическото присъствие продължава да бъде от ключово значение за някои конкретни длъжности;</w:t>
      </w:r>
    </w:p>
    <w:p w:rsidR="0017711C" w:rsidRPr="00FE3DC5" w:rsidRDefault="0017711C" w:rsidP="0017711C">
      <w:pPr>
        <w:spacing w:after="240"/>
        <w:ind w:left="567" w:hanging="567"/>
        <w:rPr>
          <w:b/>
          <w:i/>
          <w:szCs w:val="24"/>
        </w:rPr>
      </w:pPr>
      <w:r w:rsidRPr="00FE3DC5">
        <w:rPr>
          <w:b/>
          <w:i/>
        </w:rPr>
        <w:t>Политика относно персонала</w:t>
      </w:r>
    </w:p>
    <w:p w:rsidR="0017711C" w:rsidRPr="00FE3DC5" w:rsidRDefault="0017711C" w:rsidP="0017711C">
      <w:pPr>
        <w:spacing w:after="240"/>
        <w:ind w:left="567" w:hanging="567"/>
        <w:rPr>
          <w:szCs w:val="24"/>
        </w:rPr>
      </w:pPr>
      <w:r w:rsidRPr="00FE3DC5">
        <w:t>19.</w:t>
      </w:r>
      <w:r w:rsidRPr="00FE3DC5">
        <w:tab/>
        <w:t>отбелязва, че към 31 декември 2022 г. щатното разписание е било изпълнено на 97,40%, като са били запълнени 150 от общо 154-те щатни длъжности, разрешени в бюджета на Съюза за срочно наети служители (спрямо 151 разрешени длъжности през 2021 г.); отбелязва, че освен това през 2022 г. за Агенцията са работили 36 договорно наети служители (от общо 36 разрешени длъжности) и 2 командировани национални експерти (от общо 4 разрешени длъжности);</w:t>
      </w:r>
    </w:p>
    <w:p w:rsidR="0017711C" w:rsidRPr="00FE3DC5" w:rsidRDefault="0017711C" w:rsidP="0017711C">
      <w:pPr>
        <w:pStyle w:val="NormalHanging12a"/>
      </w:pPr>
      <w:r w:rsidRPr="00FE3DC5">
        <w:t>20.</w:t>
      </w:r>
      <w:r w:rsidRPr="00FE3DC5">
        <w:tab/>
        <w:t>отбелязва със загриженост липсата на баланс между половете във висшето ръководство на Агенцията, където 8 от общо 10 членове са мъже (80%); отбелязва разпределението по пол в управителния съвет на Агенцията, където 34 от общо 64 членове са мъже (53%); отбелязва разпределението по пол сред служителите на Агенцията със 120 от общо 188 служители мъже (64%); припомня, че е важно да се гарантира баланс между половете, и призовава Агенцията да вземе това предвид при бъдещото набиране на служители и при назначаването на членове на висшето ръководство; отбелязва непрекъснатата работа на Агенцията за преодоляване на неравнопоставеността между половете с конкретни проекти като „Жените в транспорта“ с цел укрепване на заетостта и равните възможности на жените в транспортния сектор; отбелязва в този контекст усилията на Агенцията да увеличи броя на жените в транспортния сектор чрез инициативи като организиране през 2022 г. на събития за бързо изграждане на мрежи и уебинари с акцент върху многообразието и приобщаването;</w:t>
      </w:r>
    </w:p>
    <w:p w:rsidR="0017711C" w:rsidRPr="00FE3DC5" w:rsidRDefault="0017711C" w:rsidP="0017711C">
      <w:pPr>
        <w:spacing w:after="240"/>
        <w:ind w:left="567" w:hanging="567"/>
        <w:rPr>
          <w:szCs w:val="24"/>
        </w:rPr>
      </w:pPr>
      <w:r w:rsidRPr="00FE3DC5">
        <w:t>21.</w:t>
      </w:r>
      <w:r w:rsidRPr="00FE3DC5">
        <w:tab/>
        <w:t xml:space="preserve">отбелязва въз основа на становището на Агенцията, че през втората половина на 2022 г. Агенцията е извършила активен одит по пол, констатациите от който след това са били използвани, за да се подпомогне приоритизирането на целите на </w:t>
      </w:r>
      <w:r w:rsidRPr="00FE3DC5">
        <w:lastRenderedPageBreak/>
        <w:t>стратегията на Агенцията в областта на човешките ресурси за периода 2023 – 2027 г., и са послужили за принос към документ, описващ ангажиментите на ръководния екип на Агенцията по отношение на многообразието и приобщаването; отбелязва освен това, че са определени конкретни краткосрочни действия за подобряване на многообразието и приобщаването в Агенцията на всички равнища, например извършената работа по назначаването и наемането на работа (използване на списъците с резерви, въвеждане, наставничество);</w:t>
      </w:r>
    </w:p>
    <w:p w:rsidR="0017711C" w:rsidRPr="00FE3DC5" w:rsidRDefault="0017711C" w:rsidP="0017711C">
      <w:pPr>
        <w:pStyle w:val="NormalHanging12a"/>
      </w:pPr>
      <w:r w:rsidRPr="00FE3DC5">
        <w:t>22.</w:t>
      </w:r>
      <w:r w:rsidRPr="00FE3DC5">
        <w:tab/>
        <w:t>приветства факта, че Агенцията се стреми да осигури географски баланс между своите служители, като насърчава кандидати от всички държави членки да кандидатстват за нейните позиции; отбелязва, че временните длъжности се публикуват на всички езици на ЕС и че поканите за кандидатстване се публикуват не само на уебсайта на Агенцията, но и се разпространяват на равнището на постоянните представителства на държавите членки;</w:t>
      </w:r>
    </w:p>
    <w:p w:rsidR="0017711C" w:rsidRPr="00FE3DC5" w:rsidRDefault="0017711C" w:rsidP="0017711C">
      <w:pPr>
        <w:spacing w:after="240"/>
        <w:ind w:left="567" w:hanging="567"/>
        <w:rPr>
          <w:szCs w:val="24"/>
        </w:rPr>
      </w:pPr>
      <w:r w:rsidRPr="00FE3DC5">
        <w:t>23.</w:t>
      </w:r>
      <w:r w:rsidRPr="00FE3DC5">
        <w:tab/>
        <w:t>отбелязва въз основа на отговорите на Агенцията на въпросите на Парламента с искане за писмен отговор, че що се отнася до докладваните случаи на тормоз в Агенцията, които се разглеждат от вътрешните доверени съветници, четирима служители са били вписани в регистъра, двама от които са били извадени от регистъра в края на 2022 г., без да е проведено разследване или да са направени заключения; насърчава Агенцията да продължи да развива своите политики и методи за по-ефикасно предотвратяване на такива случаи в бъдеще;</w:t>
      </w:r>
    </w:p>
    <w:p w:rsidR="0017711C" w:rsidRPr="00FE3DC5" w:rsidRDefault="0017711C" w:rsidP="0017711C">
      <w:pPr>
        <w:spacing w:after="240"/>
        <w:ind w:left="567" w:hanging="567"/>
        <w:rPr>
          <w:b/>
          <w:i/>
          <w:szCs w:val="24"/>
        </w:rPr>
      </w:pPr>
      <w:r w:rsidRPr="00FE3DC5">
        <w:rPr>
          <w:b/>
          <w:i/>
        </w:rPr>
        <w:t>Обществени поръчки</w:t>
      </w:r>
    </w:p>
    <w:p w:rsidR="0017711C" w:rsidRPr="00FE3DC5" w:rsidRDefault="0017711C" w:rsidP="0017711C">
      <w:pPr>
        <w:spacing w:after="240"/>
        <w:ind w:left="567" w:hanging="567"/>
        <w:rPr>
          <w:szCs w:val="24"/>
        </w:rPr>
      </w:pPr>
      <w:r w:rsidRPr="00FE3DC5">
        <w:t>24.</w:t>
      </w:r>
      <w:r w:rsidRPr="00FE3DC5">
        <w:tab/>
        <w:t>отбелязва, че през 2022 г. Агенцията е провела 2 открити процедури за възлагане на обществени поръчки, 3 процедури на договаряне и едно подновяване на състезателна процедура, както и 2 открити тръжни процедури и 3 процедури на договаряне, финансирани с бюджетни кредити за административни разходи;</w:t>
      </w:r>
    </w:p>
    <w:p w:rsidR="0017711C" w:rsidRPr="00FE3DC5" w:rsidRDefault="0017711C" w:rsidP="0017711C">
      <w:pPr>
        <w:spacing w:after="240"/>
        <w:ind w:left="567" w:hanging="567"/>
      </w:pPr>
      <w:r w:rsidRPr="00FE3DC5">
        <w:t>25.</w:t>
      </w:r>
      <w:r w:rsidRPr="00FE3DC5">
        <w:tab/>
        <w:t>отбелязва въз основа на отговорите на Агенцията на въпросите на Парламента с искане за писмен отговор, че изпълнението на екологосъобразните обществени поръчки е в ход и е една от инициативите/действията на стратегията на Агенцията за управление на околната среда;</w:t>
      </w:r>
    </w:p>
    <w:p w:rsidR="0017711C" w:rsidRPr="00FE3DC5" w:rsidRDefault="0017711C" w:rsidP="0017711C">
      <w:pPr>
        <w:spacing w:after="240"/>
        <w:ind w:left="567" w:hanging="567"/>
        <w:rPr>
          <w:szCs w:val="24"/>
        </w:rPr>
      </w:pPr>
      <w:r w:rsidRPr="00FE3DC5">
        <w:t>26.</w:t>
      </w:r>
      <w:r w:rsidRPr="00FE3DC5">
        <w:tab/>
        <w:t>отбелязва въз основа на отговорите на Агенцията на въпросите на органа по освобождаване от отговорност, че през 2022 г. процедурите за възлагане на обществени поръчки на Агенцията са били вече напълно цифровизирани; приветства факта, че през юли 2023 г. Агенцията е започнала да въвежда инструмента за управление на обществените поръчки;</w:t>
      </w:r>
    </w:p>
    <w:p w:rsidR="0017711C" w:rsidRPr="00FE3DC5" w:rsidRDefault="0017711C" w:rsidP="0017711C">
      <w:pPr>
        <w:spacing w:after="240"/>
        <w:ind w:left="567" w:hanging="567"/>
        <w:rPr>
          <w:b/>
          <w:i/>
          <w:szCs w:val="24"/>
        </w:rPr>
      </w:pPr>
      <w:r w:rsidRPr="00FE3DC5">
        <w:rPr>
          <w:b/>
          <w:i/>
        </w:rPr>
        <w:t>Предотвратяване и управление на конфликти на интереси и прозрачност</w:t>
      </w:r>
    </w:p>
    <w:p w:rsidR="0017711C" w:rsidRPr="00FE3DC5" w:rsidRDefault="0017711C" w:rsidP="0017711C">
      <w:pPr>
        <w:spacing w:after="240"/>
        <w:ind w:left="567" w:hanging="567"/>
        <w:rPr>
          <w:szCs w:val="24"/>
        </w:rPr>
      </w:pPr>
      <w:r w:rsidRPr="00FE3DC5">
        <w:t>27.</w:t>
      </w:r>
      <w:r w:rsidRPr="00FE3DC5">
        <w:tab/>
        <w:t>отбелязва, че Агенцията е публикувала автобиографиите и декларациите за интереси на членовете на управителния съвет и на висшето си ръководство на уебсайта на Агенцията; отбелязва, че Агенцията не публикува автобиографиите на външните и вътрешните експерти;</w:t>
      </w:r>
    </w:p>
    <w:p w:rsidR="0017711C" w:rsidRPr="00FE3DC5" w:rsidRDefault="0017711C" w:rsidP="0017711C">
      <w:pPr>
        <w:spacing w:after="240"/>
        <w:ind w:left="567" w:hanging="567"/>
        <w:rPr>
          <w:bCs/>
          <w:szCs w:val="24"/>
        </w:rPr>
      </w:pPr>
      <w:r w:rsidRPr="00FE3DC5">
        <w:t>28.</w:t>
      </w:r>
      <w:r w:rsidRPr="00FE3DC5">
        <w:tab/>
        <w:t xml:space="preserve">приветства усилията на Агенцията за повишаване на прозрачността на дейностите си чрез редовно публикуване на нейния уебсайт на информация за всички срещи, проведени от изпълнителния директор с организации или самостоятелно заети </w:t>
      </w:r>
      <w:r w:rsidRPr="00FE3DC5">
        <w:lastRenderedPageBreak/>
        <w:t>лица; отбелязва, че Агенцията използва няколко механизма за установяване и избягване на конфликти на интереси чрез списъци с интереси, принадлежащи към конкретни категории (напр. професионални, семейни), преглед на декларациите за интереси, изискване на спонтанни декларации за липса на конфликти на интереси и редовно обучение;</w:t>
      </w:r>
    </w:p>
    <w:p w:rsidR="0017711C" w:rsidRPr="00FE3DC5" w:rsidRDefault="0017711C" w:rsidP="0017711C">
      <w:pPr>
        <w:spacing w:after="240"/>
        <w:ind w:left="567" w:hanging="567"/>
      </w:pPr>
      <w:r w:rsidRPr="00FE3DC5">
        <w:t>29.</w:t>
      </w:r>
      <w:r w:rsidRPr="00FE3DC5">
        <w:tab/>
        <w:t>приветства Агенцията за нейните процедури за подаване на сигнали за нередности, чрез които служителите могат да докладват за потенциални конфликти без страх от ответни мерки; отбелязва в този контекст, че през 2022 г. са докладвани потенциални ситуации на конфликт на интереси на равнището на членовете на управителния съвет на Агенцията и членовете на персонала, като са взети смекчаващи мерки и те са протоколирани на заседанията на управителния съвет или са документирани в декларациите за интереси на съответните служители;</w:t>
      </w:r>
    </w:p>
    <w:p w:rsidR="0017711C" w:rsidRPr="00FE3DC5" w:rsidRDefault="0017711C" w:rsidP="0017711C">
      <w:pPr>
        <w:spacing w:after="240"/>
        <w:ind w:left="567" w:hanging="567"/>
      </w:pPr>
      <w:r w:rsidRPr="00FE3DC5">
        <w:t>30.</w:t>
      </w:r>
      <w:r w:rsidRPr="00FE3DC5">
        <w:tab/>
        <w:t>отбелязва въз основа на отговорите на Агенцията на въпросите на Парламента с искане за писмен отговор, че Агенцията е въвела процедури за справяне с потенциални ситуации на кадрова въртележка между държавния и частния сектор в случаи на бивши служители; в този контекст изразява съжаление, че Агенцията не извършва систематичен мониторинг на спазването на приложимите правила, вследствие на което могат да останат неоткрити недекларирани ситуации на кадрова въртележка между държавния и частния сектор или да не се гарантира спазването на инструкциите, наложени преди това на служителите, напуснали Агенцията;</w:t>
      </w:r>
    </w:p>
    <w:p w:rsidR="0017711C" w:rsidRPr="00FE3DC5" w:rsidRDefault="0017711C" w:rsidP="0017711C">
      <w:pPr>
        <w:spacing w:after="240"/>
        <w:ind w:left="567" w:hanging="567"/>
        <w:rPr>
          <w:szCs w:val="24"/>
        </w:rPr>
      </w:pPr>
      <w:r w:rsidRPr="00FE3DC5">
        <w:t>31.</w:t>
      </w:r>
      <w:r w:rsidRPr="00FE3DC5">
        <w:tab/>
        <w:t>отбелязва, че Агенцията е продължила обучителните сесии по етика и борба с измамите, които са задължителни за всички служители и са част от 4-годишен непрекъснат цикъл на обучения с цел достигане на 100% участие в края на цикъла; отбелязва, че общият процент на участие през 2022 г. е бил 22,1% за обучението по борба с измамите и 31,11% за обучението по етика и че и двете обучения са съобразени с рисковите условия на Агенцията;</w:t>
      </w:r>
    </w:p>
    <w:p w:rsidR="0017711C" w:rsidRPr="00FE3DC5" w:rsidRDefault="0017711C" w:rsidP="0017711C">
      <w:pPr>
        <w:spacing w:after="240"/>
        <w:ind w:left="567" w:hanging="567"/>
        <w:rPr>
          <w:szCs w:val="24"/>
        </w:rPr>
      </w:pPr>
      <w:r w:rsidRPr="00FE3DC5">
        <w:rPr>
          <w:b/>
          <w:i/>
        </w:rPr>
        <w:t>Вътрешен контрол</w:t>
      </w:r>
    </w:p>
    <w:p w:rsidR="0017711C" w:rsidRPr="00FE3DC5" w:rsidRDefault="0017711C" w:rsidP="0017711C">
      <w:pPr>
        <w:spacing w:after="240"/>
        <w:ind w:left="567" w:hanging="567"/>
        <w:rPr>
          <w:szCs w:val="24"/>
        </w:rPr>
      </w:pPr>
      <w:r w:rsidRPr="00FE3DC5">
        <w:t>32.</w:t>
      </w:r>
      <w:r w:rsidRPr="00FE3DC5">
        <w:tab/>
        <w:t>отбелязва със загриженост въз основа на доклада на Палатата констатациите относно някои недостатъци в системите за управление и контрол на Агенцията, а именно липсата на политика за класифициране и защита на чувствителна информация и използването на невалидни методи за одобрение, различни от физически или квалифицирани електронни подписи, в областта на процедурите за възлагане на обществени поръчки; отбелязва въз основа на отговорите на Агенцията на констатациите на Палатата, че междувременно тези недостатъци са били преодолени чрез различни действия и мерки; призовава Палатата да включи тези действия и мерки в своите последващи одити;</w:t>
      </w:r>
    </w:p>
    <w:p w:rsidR="0017711C" w:rsidRPr="00FE3DC5" w:rsidRDefault="0017711C" w:rsidP="0017711C">
      <w:pPr>
        <w:spacing w:after="240"/>
        <w:ind w:left="567" w:hanging="567"/>
      </w:pPr>
      <w:r w:rsidRPr="00FE3DC5">
        <w:t>33.</w:t>
      </w:r>
      <w:r w:rsidRPr="00FE3DC5">
        <w:tab/>
        <w:t xml:space="preserve">отбелязва въз основа на становището на Агенцията, че по отношение на препоръките, отправени от Службата за вътрешен одит (IAS) след одита, извършен през 2019 г. на управлението на информацията и информационната сигурност, Агенцията е изпълнила много важната препоръка относно рамката за управление на данните и важната препоръка относно данните и ИТ операциите (вече приключени от IAS), като същевременно продължава работата по изпълнението на останалите три препоръки през 2023 г. (относно оперативната </w:t>
      </w:r>
      <w:r w:rsidRPr="00FE3DC5">
        <w:lastRenderedPageBreak/>
        <w:t>съвместимост и качеството на данните, сигурността на данните и сигурността на информационните технологии, както и непрекъснатостта на информационните технологии и физическата сигурност); призовава Агенцията да докладва на бюджетния орган за постигнатия в това отношение напредък;</w:t>
      </w:r>
    </w:p>
    <w:p w:rsidR="0017711C" w:rsidRPr="00FE3DC5" w:rsidRDefault="0017711C" w:rsidP="0017711C">
      <w:pPr>
        <w:spacing w:after="240"/>
        <w:ind w:left="567" w:hanging="567"/>
        <w:rPr>
          <w:szCs w:val="24"/>
        </w:rPr>
      </w:pPr>
      <w:r w:rsidRPr="00FE3DC5">
        <w:t>34.</w:t>
      </w:r>
      <w:r w:rsidRPr="00FE3DC5">
        <w:tab/>
        <w:t>отбелязва, че в Агенцията всяко отклонение от установен процес или процедура се документира, обоснова и одобрява на подходящо управленско равнище; отбелязва със задоволство намаляването на броя на регистрираните несъответствия от 35 през 2021 г. на 28 през 2022 г.; отбелязва, че през 2022 г. са регистрирани 28 несъответствия във връзка със спазването например на административните правила (отклонение от правилата за дистанционна работа), процедурите/правилата за възлагане на обществени поръчки (неправомерно използване на процедурата на договаряне), правилата за командировките (командировки без разрешена командировъчна заповед), както и правилата в области като управлението на договорите, ангажиментите и подбора на персонал; отбелязва, че 13 от 28-те несъответствия са били извънредни (предварителни несъответствия) и прозрачно документирани и обосновани, например за осигуряване на непрекъснатост на дейността или икономически причини; приветства факта, че Агенцията е въвела смекчаващи или мониторингови действия за справяне с всяко несъответствие; приканва Агенцията да продължи да извършва основани на риска и периодични оценки на функционирането на основните области на вътрешния контрол, които подпомагат процеса на получаване на увереност;</w:t>
      </w:r>
    </w:p>
    <w:p w:rsidR="0017711C" w:rsidRPr="00FE3DC5" w:rsidRDefault="0017711C" w:rsidP="0017711C">
      <w:pPr>
        <w:spacing w:after="240"/>
        <w:ind w:left="567" w:hanging="567"/>
        <w:rPr>
          <w:szCs w:val="24"/>
        </w:rPr>
      </w:pPr>
      <w:r w:rsidRPr="00FE3DC5">
        <w:t>35.</w:t>
      </w:r>
      <w:r w:rsidRPr="00FE3DC5">
        <w:tab/>
        <w:t>отбелязва, че през 2022 г. Агенцията е извършила оценка на риска в съответствие със своето годишно стратегическо планиране и през цялата година непрекъснато е преразглеждала значимостта на рисковете и свързаните с тях мерки за смекчаване; отбелязва идентифицираните основни предизвикателства/рискове, свързани с изпълнението на бюджета, прилагането на нов ИТ корпоративен финансов инструмент (SUMMA), ограниченията на персонала, въпросите, свързани със сигурността на информационните технологии, и последиците от COVID;</w:t>
      </w:r>
    </w:p>
    <w:p w:rsidR="0017711C" w:rsidRPr="00FE3DC5" w:rsidRDefault="0017711C" w:rsidP="0017711C">
      <w:pPr>
        <w:spacing w:after="240"/>
        <w:ind w:left="567" w:hanging="567"/>
        <w:rPr>
          <w:szCs w:val="24"/>
        </w:rPr>
      </w:pPr>
      <w:r w:rsidRPr="00FE3DC5">
        <w:t>36.</w:t>
      </w:r>
      <w:r w:rsidRPr="00FE3DC5">
        <w:tab/>
        <w:t>отбелязва, че разследването на OLAF е приключило през декември 2022 г. без констатации или допълнителни препоръки;</w:t>
      </w:r>
    </w:p>
    <w:p w:rsidR="0017711C" w:rsidRPr="00FE3DC5" w:rsidRDefault="0017711C" w:rsidP="0017711C">
      <w:pPr>
        <w:spacing w:after="240"/>
        <w:ind w:left="567" w:hanging="567"/>
        <w:rPr>
          <w:szCs w:val="24"/>
        </w:rPr>
      </w:pPr>
      <w:r w:rsidRPr="00FE3DC5">
        <w:rPr>
          <w:b/>
          <w:i/>
        </w:rPr>
        <w:t>Други коментари</w:t>
      </w:r>
    </w:p>
    <w:p w:rsidR="0017711C" w:rsidRPr="00FE3DC5" w:rsidRDefault="0017711C" w:rsidP="0017711C">
      <w:pPr>
        <w:tabs>
          <w:tab w:val="left" w:pos="567"/>
        </w:tabs>
        <w:spacing w:after="240"/>
        <w:ind w:left="567" w:hanging="567"/>
        <w:rPr>
          <w:szCs w:val="24"/>
        </w:rPr>
      </w:pPr>
      <w:r w:rsidRPr="00FE3DC5">
        <w:t>37.</w:t>
      </w:r>
      <w:r w:rsidRPr="00FE3DC5">
        <w:tab/>
        <w:t>отбелязва, че след стъпките, предприети съвместно с Европейския парламент и Съвета във връзка с новата сграда на Агенцията, изпълнителният директор е информирал управителния съвет относно няколкото срещи с град Валансиен през 2023 г.; отбелязва освен това, че разрешителното за строеж следва да бъде готово през март 2024 г. и че строителството би могло да започне през лятото на 2024 г., като сградата ще бъде готова през 2026 г.;</w:t>
      </w:r>
    </w:p>
    <w:p w:rsidR="0017711C" w:rsidRPr="00FE3DC5" w:rsidRDefault="0017711C" w:rsidP="0017711C">
      <w:pPr>
        <w:pStyle w:val="NormalHanging12a"/>
      </w:pPr>
      <w:r w:rsidRPr="00FE3DC5">
        <w:t>38.</w:t>
      </w:r>
      <w:r w:rsidRPr="00FE3DC5">
        <w:tab/>
        <w:t xml:space="preserve">приветства продължаващите усилия на Агенцията да засили своята комуникация, осъществявана чрез различни канали за достигане до възможно най-широката общественост; отбелязва разработването и стартирането през ноември 2022 г. на новия уебсайт на ERA, който предоставя по-ясен, рационализиран и съвременен инструмент за представяне на приноса на Агенцията за железопътния сектор и гражданите на ЕС като цяло; отбелязва усилията на Агенцията за организиране на </w:t>
      </w:r>
      <w:r w:rsidRPr="00FE3DC5">
        <w:lastRenderedPageBreak/>
        <w:t>9 уебинара и изготвяне на няколко публикации и видеоматериала през 2022 г.; приветства факта, че Агенцията е поддържала силно присъствие в медиите и през 2022 г. е увеличила броя на последователите си в социалните медии;</w:t>
      </w:r>
    </w:p>
    <w:p w:rsidR="0017711C" w:rsidRPr="00FE3DC5" w:rsidRDefault="0017711C" w:rsidP="00682877">
      <w:pPr>
        <w:pStyle w:val="NormalHanging12a"/>
      </w:pPr>
      <w:r w:rsidRPr="00FE3DC5">
        <w:t>39.</w:t>
      </w:r>
      <w:r w:rsidRPr="00FE3DC5">
        <w:tab/>
        <w:t>подчертава, че през 2022 г. европейските железопътни дружества продължиха да се възстановяват от пандемията от COVID-19; непрекъснатата устойчивост на железопътния сектор, заедно с неговите ниски въглеродни емисии, са два основни фактора, допринасящи за връщане към равнищата отпреди пандемията в бъдеще;</w:t>
      </w:r>
    </w:p>
    <w:p w:rsidR="0017711C" w:rsidRPr="00FE3DC5" w:rsidRDefault="0017711C" w:rsidP="00682877">
      <w:pPr>
        <w:pStyle w:val="NormalHanging12a"/>
      </w:pPr>
      <w:r w:rsidRPr="00FE3DC5">
        <w:t>40.</w:t>
      </w:r>
      <w:r w:rsidRPr="00FE3DC5">
        <w:tab/>
        <w:t>изразява съжаление, че настоящите изисквания за докладване на произшествия и инциденти, свързани с безопасността на железопътния транспорт, са фрагментирани на територията на Европа, ограничени са само до функция за надзор и не са подкрепени от подходящ инструмент за подпомагане, и поради това призовава Комисията да преодолее този недостиг и да предостави необходимото финансиране за тази цел;</w:t>
      </w:r>
    </w:p>
    <w:p w:rsidR="0017711C" w:rsidRPr="00FE3DC5" w:rsidRDefault="0017711C" w:rsidP="00682877">
      <w:pPr>
        <w:pStyle w:val="NormalHanging12a"/>
      </w:pPr>
      <w:r w:rsidRPr="00FE3DC5">
        <w:t>41.</w:t>
      </w:r>
      <w:r w:rsidRPr="00FE3DC5">
        <w:tab/>
        <w:t>отбелязва, че когато страните кандидатки за членство в ЕС се присъединят към Съюза, те ще са приложили рамката и достиженията на правото на ЕС; посочва, че това ще позволи на гражданите на ЕС да използват железниците като екологосъобразен и безопасен вид транспорт и да превозват стоките си от и до Югоизточна Европа, тъй като коридори за железопътен товарен превоз днес свързват Западните Балкани с ЕС; подчертава ролята на ИПП и на проекта за Западните Балкани за подкрепата на прилагането на Директивата за оперативната съвместимост и Директивата за безопасността сред бенефициентите по проекта; отбелязва също така, че това ще осигури основата за отваряне на пазара на железопътни услуги и безпрепятствено пътуване с влак от и към този съседен регион;</w:t>
      </w:r>
    </w:p>
    <w:p w:rsidR="0017711C" w:rsidRPr="00FE3DC5" w:rsidRDefault="0017711C" w:rsidP="0017711C">
      <w:pPr>
        <w:pStyle w:val="NormalCenter12a"/>
      </w:pPr>
      <w:r w:rsidRPr="00FE3DC5">
        <w:t>°</w:t>
      </w:r>
    </w:p>
    <w:p w:rsidR="0017711C" w:rsidRPr="00FE3DC5" w:rsidRDefault="0017711C" w:rsidP="0017711C">
      <w:pPr>
        <w:pStyle w:val="NormalCenter12a"/>
      </w:pPr>
      <w:r w:rsidRPr="00FE3DC5">
        <w:t>°</w:t>
      </w:r>
      <w:r w:rsidRPr="00FE3DC5">
        <w:tab/>
        <w:t>°</w:t>
      </w:r>
    </w:p>
    <w:p w:rsidR="0017711C" w:rsidRPr="00FE3DC5" w:rsidRDefault="0017711C" w:rsidP="0017711C">
      <w:pPr>
        <w:pStyle w:val="NormalHanging12a"/>
      </w:pPr>
      <w:r w:rsidRPr="00FE3DC5">
        <w:t>42.</w:t>
      </w:r>
      <w:r w:rsidRPr="00FE3DC5">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380DFB">
        <w:rPr>
          <w:lang w:val="en-GB"/>
        </w:rPr>
        <w:t xml:space="preserve">11 </w:t>
      </w:r>
      <w:r w:rsidR="00380DFB">
        <w:t>април</w:t>
      </w:r>
      <w:r w:rsidRPr="00FE3DC5">
        <w:t xml:space="preserve"> 2024 г.</w:t>
      </w:r>
      <w:r w:rsidRPr="00FE3DC5">
        <w:rPr>
          <w:rStyle w:val="FootnoteReference"/>
        </w:rPr>
        <w:footnoteReference w:id="12"/>
      </w:r>
      <w:r w:rsidRPr="00FE3DC5">
        <w:t xml:space="preserve"> относно резултатите от дейността, финансовото управление и контрола на агенциите.</w:t>
      </w:r>
    </w:p>
    <w:p w:rsidR="0017711C" w:rsidRPr="00FE3DC5" w:rsidRDefault="0017711C" w:rsidP="0017711C"/>
    <w:p w:rsidR="00E365E1" w:rsidRPr="00FE3DC5" w:rsidRDefault="00E365E1" w:rsidP="0017711C">
      <w:bookmarkStart w:id="13" w:name="TextBodyEnd"/>
      <w:bookmarkEnd w:id="13"/>
    </w:p>
    <w:sectPr w:rsidR="00E365E1" w:rsidRPr="00FE3DC5" w:rsidSect="00FE3DC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E55" w:rsidRPr="00FE3DC5" w:rsidRDefault="006E1E55">
      <w:r w:rsidRPr="00FE3DC5">
        <w:separator/>
      </w:r>
    </w:p>
  </w:endnote>
  <w:endnote w:type="continuationSeparator" w:id="0">
    <w:p w:rsidR="006E1E55" w:rsidRPr="00FE3DC5" w:rsidRDefault="006E1E55">
      <w:r w:rsidRPr="00FE3D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11C" w:rsidRPr="00FE3DC5" w:rsidRDefault="0017711C" w:rsidP="00643C11">
    <w:pPr>
      <w:pStyle w:val="EPFooter"/>
    </w:pPr>
    <w:r w:rsidRPr="00FE3DC5">
      <w:t>PE</w:t>
    </w:r>
    <w:r w:rsidRPr="00FE3DC5">
      <w:rPr>
        <w:rStyle w:val="HideTWBExt"/>
      </w:rPr>
      <w:t>&lt;NoPE&gt;</w:t>
    </w:r>
    <w:r w:rsidRPr="00FE3DC5">
      <w:t>753.528</w:t>
    </w:r>
    <w:r w:rsidRPr="00FE3DC5">
      <w:rPr>
        <w:rStyle w:val="HideTWBExt"/>
      </w:rPr>
      <w:t>&lt;/NoPE&gt;&lt;Version&gt;</w:t>
    </w:r>
    <w:r w:rsidRPr="00FE3DC5">
      <w:t>v02-00</w:t>
    </w:r>
    <w:r w:rsidRPr="00FE3DC5">
      <w:rPr>
        <w:rStyle w:val="HideTWBExt"/>
      </w:rPr>
      <w:t>&lt;/Version&gt;</w:t>
    </w:r>
    <w:r w:rsidRPr="00FE3DC5">
      <w:tab/>
    </w:r>
    <w:r w:rsidRPr="00FE3DC5">
      <w:fldChar w:fldCharType="begin"/>
    </w:r>
    <w:r w:rsidRPr="00FE3DC5">
      <w:instrText xml:space="preserve"> PAGE  \* MERGEFORMAT </w:instrText>
    </w:r>
    <w:r w:rsidRPr="00FE3DC5">
      <w:fldChar w:fldCharType="separate"/>
    </w:r>
    <w:r w:rsidR="00FE3DC5" w:rsidRPr="00FE3DC5">
      <w:rPr>
        <w:noProof/>
      </w:rPr>
      <w:t>4</w:t>
    </w:r>
    <w:r w:rsidRPr="00FE3DC5">
      <w:fldChar w:fldCharType="end"/>
    </w:r>
    <w:r w:rsidRPr="00FE3DC5">
      <w:t>/</w:t>
    </w:r>
    <w:fldSimple w:instr=" NUMPAGES  \* MERGEFORMAT ">
      <w:r w:rsidR="00FE3DC5" w:rsidRPr="00FE3DC5">
        <w:rPr>
          <w:noProof/>
        </w:rPr>
        <w:t>8</w:t>
      </w:r>
    </w:fldSimple>
    <w:r w:rsidRPr="00FE3DC5">
      <w:tab/>
    </w:r>
    <w:r w:rsidRPr="00FE3DC5">
      <w:rPr>
        <w:rStyle w:val="HideTWBExt"/>
      </w:rPr>
      <w:t>&lt;PathFdR&gt;</w:t>
    </w:r>
    <w:r w:rsidRPr="00FE3DC5">
      <w:t>RR\1298731BG.docx</w:t>
    </w:r>
    <w:r w:rsidRPr="00FE3DC5">
      <w:rPr>
        <w:rStyle w:val="HideTWBExt"/>
      </w:rPr>
      <w:t>&lt;/PathFdR&gt;</w:t>
    </w:r>
  </w:p>
  <w:p w:rsidR="0017711C" w:rsidRPr="00FE3DC5" w:rsidRDefault="0017711C" w:rsidP="00643C11">
    <w:pPr>
      <w:pStyle w:val="EPFooter2"/>
    </w:pPr>
    <w:r w:rsidRPr="00FE3DC5">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11C" w:rsidRPr="00FE3DC5" w:rsidRDefault="0017711C" w:rsidP="00643C11">
    <w:pPr>
      <w:pStyle w:val="EPFooter"/>
    </w:pPr>
    <w:r w:rsidRPr="00FE3DC5">
      <w:rPr>
        <w:rStyle w:val="HideTWBExt"/>
      </w:rPr>
      <w:t>&lt;PathFdR&gt;</w:t>
    </w:r>
    <w:r w:rsidRPr="00FE3DC5">
      <w:t>RR\1298731BG.docx</w:t>
    </w:r>
    <w:r w:rsidRPr="00FE3DC5">
      <w:rPr>
        <w:rStyle w:val="HideTWBExt"/>
      </w:rPr>
      <w:t>&lt;/PathFdR&gt;</w:t>
    </w:r>
    <w:r w:rsidRPr="00FE3DC5">
      <w:tab/>
    </w:r>
    <w:r w:rsidRPr="00FE3DC5">
      <w:tab/>
      <w:t>PE</w:t>
    </w:r>
    <w:r w:rsidRPr="00FE3DC5">
      <w:rPr>
        <w:rStyle w:val="HideTWBExt"/>
      </w:rPr>
      <w:t>&lt;NoPE&gt;</w:t>
    </w:r>
    <w:r w:rsidRPr="00FE3DC5">
      <w:t>753.528</w:t>
    </w:r>
    <w:r w:rsidRPr="00FE3DC5">
      <w:rPr>
        <w:rStyle w:val="HideTWBExt"/>
      </w:rPr>
      <w:t>&lt;/NoPE&gt;&lt;Version&gt;</w:t>
    </w:r>
    <w:r w:rsidRPr="00FE3DC5">
      <w:t>v02-00</w:t>
    </w:r>
    <w:r w:rsidRPr="00FE3DC5">
      <w:rPr>
        <w:rStyle w:val="HideTWBExt"/>
      </w:rPr>
      <w:t>&lt;/Version&gt;</w:t>
    </w:r>
  </w:p>
  <w:p w:rsidR="0017711C" w:rsidRPr="00FE3DC5" w:rsidRDefault="0017711C" w:rsidP="00643C11">
    <w:pPr>
      <w:pStyle w:val="EPFooter2"/>
    </w:pPr>
    <w:r w:rsidRPr="00FE3DC5">
      <w:t>BG</w:t>
    </w:r>
    <w:r w:rsidRPr="00FE3DC5">
      <w:tab/>
    </w:r>
    <w:r w:rsidRPr="00FE3DC5">
      <w:rPr>
        <w:b w:val="0"/>
        <w:i/>
        <w:color w:val="C0C0C0"/>
        <w:sz w:val="22"/>
      </w:rPr>
      <w:t>Единство в многообразието</w:t>
    </w:r>
    <w:r w:rsidRPr="00FE3DC5">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3DC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3DC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3D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E55" w:rsidRPr="00FE3DC5" w:rsidRDefault="006E1E55">
      <w:r w:rsidRPr="00FE3DC5">
        <w:separator/>
      </w:r>
    </w:p>
  </w:footnote>
  <w:footnote w:type="continuationSeparator" w:id="0">
    <w:p w:rsidR="006E1E55" w:rsidRPr="00FE3DC5" w:rsidRDefault="006E1E55">
      <w:r w:rsidRPr="00FE3DC5">
        <w:continuationSeparator/>
      </w:r>
    </w:p>
  </w:footnote>
  <w:footnote w:id="1">
    <w:p w:rsidR="0017711C" w:rsidRPr="00FE3DC5" w:rsidRDefault="0017711C" w:rsidP="00FE3DC5">
      <w:pPr>
        <w:pStyle w:val="FootnoteText"/>
        <w:ind w:left="567" w:hanging="567"/>
        <w:rPr>
          <w:sz w:val="24"/>
          <w:lang w:val="bg-BG"/>
        </w:rPr>
      </w:pPr>
      <w:r w:rsidRPr="00FE3DC5">
        <w:rPr>
          <w:rStyle w:val="FootnoteReference"/>
          <w:sz w:val="24"/>
          <w:lang w:val="bg-BG"/>
        </w:rPr>
        <w:footnoteRef/>
      </w:r>
      <w:r w:rsidR="00FE3DC5" w:rsidRPr="00FE3DC5">
        <w:rPr>
          <w:sz w:val="24"/>
          <w:lang w:val="bg-BG"/>
        </w:rPr>
        <w:t xml:space="preserve"> </w:t>
      </w:r>
      <w:r w:rsidR="00FE3DC5" w:rsidRPr="00FE3DC5">
        <w:rPr>
          <w:sz w:val="24"/>
          <w:lang w:val="bg-BG"/>
        </w:rPr>
        <w:tab/>
      </w:r>
      <w:r w:rsidRPr="00FE3DC5">
        <w:rPr>
          <w:sz w:val="24"/>
          <w:lang w:val="bg-BG"/>
        </w:rPr>
        <w:t>ОВ C, C/2023/594, 27.10.2023 г.</w:t>
      </w:r>
    </w:p>
  </w:footnote>
  <w:footnote w:id="2">
    <w:p w:rsidR="0017711C" w:rsidRPr="00FE3DC5" w:rsidRDefault="0017711C" w:rsidP="00FE3DC5">
      <w:pPr>
        <w:pStyle w:val="FootnoteText"/>
        <w:ind w:left="567" w:hanging="567"/>
        <w:rPr>
          <w:sz w:val="24"/>
          <w:lang w:val="bg-BG"/>
        </w:rPr>
      </w:pPr>
      <w:r w:rsidRPr="00FE3DC5">
        <w:rPr>
          <w:rStyle w:val="FootnoteReference"/>
          <w:sz w:val="24"/>
          <w:lang w:val="bg-BG"/>
        </w:rPr>
        <w:footnoteRef/>
      </w:r>
      <w:r w:rsidR="00FE3DC5" w:rsidRPr="00FE3DC5">
        <w:rPr>
          <w:sz w:val="24"/>
          <w:lang w:val="bg-BG"/>
        </w:rPr>
        <w:t xml:space="preserve"> </w:t>
      </w:r>
      <w:r w:rsidR="00FE3DC5" w:rsidRPr="00FE3DC5">
        <w:rPr>
          <w:sz w:val="24"/>
          <w:lang w:val="bg-BG"/>
        </w:rPr>
        <w:tab/>
      </w:r>
      <w:r w:rsidRPr="00FE3DC5">
        <w:rPr>
          <w:sz w:val="24"/>
          <w:lang w:val="bg-BG"/>
        </w:rPr>
        <w:t>ОВ C, C/2023/112, 12.10.2023 г.</w:t>
      </w:r>
    </w:p>
  </w:footnote>
  <w:footnote w:id="3">
    <w:p w:rsidR="0017711C" w:rsidRPr="00FE3DC5" w:rsidRDefault="0017711C" w:rsidP="00FE3DC5">
      <w:pPr>
        <w:pStyle w:val="FootnoteText"/>
        <w:ind w:left="567" w:hanging="567"/>
        <w:rPr>
          <w:sz w:val="24"/>
          <w:lang w:val="bg-BG"/>
        </w:rPr>
      </w:pPr>
      <w:r w:rsidRPr="00FE3DC5">
        <w:rPr>
          <w:rStyle w:val="FootnoteReference"/>
          <w:sz w:val="24"/>
          <w:lang w:val="bg-BG"/>
        </w:rPr>
        <w:footnoteRef/>
      </w:r>
      <w:r w:rsidR="00FE3DC5" w:rsidRPr="00FE3DC5">
        <w:rPr>
          <w:sz w:val="24"/>
          <w:lang w:val="bg-BG"/>
        </w:rPr>
        <w:t xml:space="preserve"> </w:t>
      </w:r>
      <w:r w:rsidR="00FE3DC5" w:rsidRPr="00FE3DC5">
        <w:rPr>
          <w:sz w:val="24"/>
          <w:lang w:val="bg-BG"/>
        </w:rPr>
        <w:tab/>
      </w:r>
      <w:r w:rsidRPr="00FE3DC5">
        <w:rPr>
          <w:sz w:val="24"/>
          <w:lang w:val="bg-BG"/>
        </w:rPr>
        <w:t>OВ L 193, 30.7.2018 г., стр. 1.</w:t>
      </w:r>
    </w:p>
  </w:footnote>
  <w:footnote w:id="4">
    <w:p w:rsidR="0017711C" w:rsidRPr="00FE3DC5" w:rsidRDefault="0017711C" w:rsidP="00FE3DC5">
      <w:pPr>
        <w:pStyle w:val="FootnoteText"/>
        <w:ind w:left="567" w:hanging="567"/>
        <w:rPr>
          <w:sz w:val="24"/>
          <w:lang w:val="bg-BG"/>
        </w:rPr>
      </w:pPr>
      <w:r w:rsidRPr="00FE3DC5">
        <w:rPr>
          <w:rStyle w:val="FootnoteReference"/>
          <w:sz w:val="24"/>
          <w:lang w:val="bg-BG"/>
        </w:rPr>
        <w:footnoteRef/>
      </w:r>
      <w:r w:rsidR="00FE3DC5" w:rsidRPr="00FE3DC5">
        <w:rPr>
          <w:sz w:val="24"/>
          <w:lang w:val="bg-BG"/>
        </w:rPr>
        <w:t xml:space="preserve"> </w:t>
      </w:r>
      <w:r w:rsidR="00FE3DC5" w:rsidRPr="00FE3DC5">
        <w:rPr>
          <w:sz w:val="24"/>
          <w:lang w:val="bg-BG"/>
        </w:rPr>
        <w:tab/>
      </w:r>
      <w:r w:rsidRPr="00FE3DC5">
        <w:rPr>
          <w:sz w:val="24"/>
          <w:lang w:val="bg-BG"/>
        </w:rPr>
        <w:t>ОВ L 138, 26.5.2016 г., стр. 1.</w:t>
      </w:r>
    </w:p>
  </w:footnote>
  <w:footnote w:id="5">
    <w:p w:rsidR="0017711C" w:rsidRPr="00FE3DC5" w:rsidRDefault="0017711C" w:rsidP="00FE3DC5">
      <w:pPr>
        <w:pStyle w:val="FootnoteText"/>
        <w:ind w:left="567" w:hanging="567"/>
        <w:rPr>
          <w:sz w:val="24"/>
          <w:lang w:val="bg-BG"/>
        </w:rPr>
      </w:pPr>
      <w:r w:rsidRPr="00FE3DC5">
        <w:rPr>
          <w:rStyle w:val="FootnoteReference"/>
          <w:sz w:val="24"/>
          <w:lang w:val="bg-BG"/>
        </w:rPr>
        <w:footnoteRef/>
      </w:r>
      <w:r w:rsidR="00FE3DC5" w:rsidRPr="00FE3DC5">
        <w:rPr>
          <w:sz w:val="24"/>
          <w:lang w:val="bg-BG"/>
        </w:rPr>
        <w:t xml:space="preserve"> </w:t>
      </w:r>
      <w:r w:rsidR="00FE3DC5" w:rsidRPr="00FE3DC5">
        <w:rPr>
          <w:sz w:val="24"/>
          <w:lang w:val="bg-BG"/>
        </w:rPr>
        <w:tab/>
      </w:r>
      <w:r w:rsidRPr="00FE3DC5">
        <w:rPr>
          <w:sz w:val="24"/>
          <w:lang w:val="bg-BG"/>
        </w:rPr>
        <w:t>ОВ L 122, 10.5.2019 г., стр. 1.</w:t>
      </w:r>
    </w:p>
  </w:footnote>
  <w:footnote w:id="6">
    <w:p w:rsidR="0017711C" w:rsidRPr="00FE3DC5" w:rsidRDefault="0017711C" w:rsidP="00FE3DC5">
      <w:pPr>
        <w:pStyle w:val="FootnoteText"/>
        <w:ind w:left="567" w:hanging="567"/>
        <w:rPr>
          <w:sz w:val="24"/>
          <w:lang w:val="bg-BG"/>
        </w:rPr>
      </w:pPr>
      <w:r w:rsidRPr="00FE3DC5">
        <w:rPr>
          <w:rStyle w:val="FootnoteReference"/>
          <w:sz w:val="24"/>
          <w:lang w:val="bg-BG"/>
        </w:rPr>
        <w:footnoteRef/>
      </w:r>
      <w:r w:rsidR="00FE3DC5" w:rsidRPr="00FE3DC5">
        <w:rPr>
          <w:sz w:val="24"/>
          <w:lang w:val="bg-BG"/>
        </w:rPr>
        <w:t xml:space="preserve"> </w:t>
      </w:r>
      <w:r w:rsidR="00FE3DC5" w:rsidRPr="00FE3DC5">
        <w:rPr>
          <w:sz w:val="24"/>
          <w:lang w:val="bg-BG"/>
        </w:rPr>
        <w:tab/>
      </w:r>
      <w:r w:rsidRPr="00FE3DC5">
        <w:rPr>
          <w:sz w:val="24"/>
          <w:lang w:val="bg-BG"/>
        </w:rPr>
        <w:t>ОВ C, C/2023/594, 27.10.2023 г.</w:t>
      </w:r>
    </w:p>
  </w:footnote>
  <w:footnote w:id="7">
    <w:p w:rsidR="0017711C" w:rsidRPr="00FE3DC5" w:rsidRDefault="0017711C" w:rsidP="00FE3DC5">
      <w:pPr>
        <w:pStyle w:val="FootnoteText"/>
        <w:ind w:left="567" w:hanging="567"/>
        <w:rPr>
          <w:sz w:val="24"/>
          <w:lang w:val="bg-BG"/>
        </w:rPr>
      </w:pPr>
      <w:r w:rsidRPr="00FE3DC5">
        <w:rPr>
          <w:rStyle w:val="FootnoteReference"/>
          <w:sz w:val="24"/>
          <w:lang w:val="bg-BG"/>
        </w:rPr>
        <w:footnoteRef/>
      </w:r>
      <w:r w:rsidR="00FE3DC5" w:rsidRPr="00FE3DC5">
        <w:rPr>
          <w:sz w:val="24"/>
          <w:lang w:val="bg-BG"/>
        </w:rPr>
        <w:t xml:space="preserve"> </w:t>
      </w:r>
      <w:r w:rsidR="00FE3DC5" w:rsidRPr="00FE3DC5">
        <w:rPr>
          <w:sz w:val="24"/>
          <w:lang w:val="bg-BG"/>
        </w:rPr>
        <w:tab/>
      </w:r>
      <w:r w:rsidRPr="00FE3DC5">
        <w:rPr>
          <w:sz w:val="24"/>
          <w:lang w:val="bg-BG"/>
        </w:rPr>
        <w:t>ОВ C, C/2023/112, 12.10.2023 г.</w:t>
      </w:r>
    </w:p>
  </w:footnote>
  <w:footnote w:id="8">
    <w:p w:rsidR="0017711C" w:rsidRPr="00FE3DC5" w:rsidRDefault="0017711C" w:rsidP="00FE3DC5">
      <w:pPr>
        <w:pStyle w:val="FootnoteText"/>
        <w:ind w:left="567" w:hanging="567"/>
        <w:rPr>
          <w:sz w:val="24"/>
          <w:lang w:val="bg-BG"/>
        </w:rPr>
      </w:pPr>
      <w:r w:rsidRPr="00FE3DC5">
        <w:rPr>
          <w:rStyle w:val="FootnoteReference"/>
          <w:sz w:val="24"/>
          <w:lang w:val="bg-BG"/>
        </w:rPr>
        <w:footnoteRef/>
      </w:r>
      <w:r w:rsidR="00FE3DC5" w:rsidRPr="00FE3DC5">
        <w:rPr>
          <w:sz w:val="24"/>
          <w:lang w:val="bg-BG"/>
        </w:rPr>
        <w:t xml:space="preserve"> </w:t>
      </w:r>
      <w:r w:rsidR="00FE3DC5" w:rsidRPr="00FE3DC5">
        <w:rPr>
          <w:sz w:val="24"/>
          <w:lang w:val="bg-BG"/>
        </w:rPr>
        <w:tab/>
      </w:r>
      <w:r w:rsidRPr="00FE3DC5">
        <w:rPr>
          <w:sz w:val="24"/>
          <w:lang w:val="bg-BG"/>
        </w:rPr>
        <w:t>OВ L 193, 30.7.2018 г., стр. 1.</w:t>
      </w:r>
    </w:p>
  </w:footnote>
  <w:footnote w:id="9">
    <w:p w:rsidR="0017711C" w:rsidRPr="00FE3DC5" w:rsidRDefault="0017711C" w:rsidP="00FE3DC5">
      <w:pPr>
        <w:pStyle w:val="FootnoteText"/>
        <w:ind w:left="567" w:hanging="567"/>
        <w:rPr>
          <w:sz w:val="24"/>
          <w:lang w:val="bg-BG"/>
        </w:rPr>
      </w:pPr>
      <w:r w:rsidRPr="00FE3DC5">
        <w:rPr>
          <w:rStyle w:val="FootnoteReference"/>
          <w:sz w:val="24"/>
          <w:lang w:val="bg-BG"/>
        </w:rPr>
        <w:footnoteRef/>
      </w:r>
      <w:r w:rsidR="00FE3DC5" w:rsidRPr="00FE3DC5">
        <w:rPr>
          <w:sz w:val="24"/>
          <w:lang w:val="bg-BG"/>
        </w:rPr>
        <w:t xml:space="preserve"> </w:t>
      </w:r>
      <w:r w:rsidR="00FE3DC5" w:rsidRPr="00FE3DC5">
        <w:rPr>
          <w:sz w:val="24"/>
          <w:lang w:val="bg-BG"/>
        </w:rPr>
        <w:tab/>
      </w:r>
      <w:r w:rsidRPr="00FE3DC5">
        <w:rPr>
          <w:sz w:val="24"/>
          <w:lang w:val="bg-BG"/>
        </w:rPr>
        <w:t>ОВ L 138, 26.5.2016 г., стр. 1.</w:t>
      </w:r>
    </w:p>
  </w:footnote>
  <w:footnote w:id="10">
    <w:p w:rsidR="0017711C" w:rsidRPr="00FE3DC5" w:rsidRDefault="0017711C" w:rsidP="00FE3DC5">
      <w:pPr>
        <w:pStyle w:val="FootnoteText"/>
        <w:ind w:left="567" w:hanging="567"/>
        <w:rPr>
          <w:sz w:val="24"/>
          <w:lang w:val="bg-BG"/>
        </w:rPr>
      </w:pPr>
      <w:r w:rsidRPr="00FE3DC5">
        <w:rPr>
          <w:rStyle w:val="FootnoteReference"/>
          <w:sz w:val="24"/>
          <w:lang w:val="bg-BG"/>
        </w:rPr>
        <w:footnoteRef/>
      </w:r>
      <w:r w:rsidR="00FE3DC5" w:rsidRPr="00FE3DC5">
        <w:rPr>
          <w:sz w:val="24"/>
          <w:lang w:val="bg-BG"/>
        </w:rPr>
        <w:t xml:space="preserve"> </w:t>
      </w:r>
      <w:r w:rsidR="00FE3DC5" w:rsidRPr="00FE3DC5">
        <w:rPr>
          <w:sz w:val="24"/>
          <w:lang w:val="bg-BG"/>
        </w:rPr>
        <w:tab/>
      </w:r>
      <w:r w:rsidRPr="00FE3DC5">
        <w:rPr>
          <w:sz w:val="24"/>
          <w:lang w:val="bg-BG"/>
        </w:rPr>
        <w:t>ОВ L 122, 10.5.2019 г., стр. 1.</w:t>
      </w:r>
    </w:p>
  </w:footnote>
  <w:footnote w:id="11">
    <w:p w:rsidR="0017711C" w:rsidRPr="00FE3DC5" w:rsidRDefault="0017711C" w:rsidP="00FE3DC5">
      <w:pPr>
        <w:pStyle w:val="FootnoteText"/>
        <w:ind w:left="567" w:hanging="567"/>
        <w:rPr>
          <w:sz w:val="24"/>
          <w:lang w:val="bg-BG"/>
        </w:rPr>
      </w:pPr>
      <w:r w:rsidRPr="00FE3DC5">
        <w:rPr>
          <w:rStyle w:val="FootnoteReference"/>
          <w:sz w:val="24"/>
          <w:lang w:val="bg-BG"/>
        </w:rPr>
        <w:footnoteRef/>
      </w:r>
      <w:r w:rsidR="00FE3DC5" w:rsidRPr="00FE3DC5">
        <w:rPr>
          <w:sz w:val="24"/>
          <w:lang w:val="bg-BG"/>
        </w:rPr>
        <w:t xml:space="preserve"> </w:t>
      </w:r>
      <w:r w:rsidR="00FE3DC5" w:rsidRPr="00FE3DC5">
        <w:rPr>
          <w:sz w:val="24"/>
          <w:lang w:val="bg-BG"/>
        </w:rPr>
        <w:tab/>
      </w:r>
      <w:r w:rsidRPr="00FE3DC5">
        <w:rPr>
          <w:sz w:val="24"/>
          <w:lang w:val="bg-BG"/>
        </w:rPr>
        <w:t>ОВ C 38, 31.1.2023 г</w:t>
      </w:r>
      <w:r w:rsidR="00B7333F">
        <w:rPr>
          <w:sz w:val="24"/>
          <w:lang w:val="bg-BG"/>
        </w:rPr>
        <w:t>.</w:t>
      </w:r>
      <w:r w:rsidRPr="00FE3DC5">
        <w:rPr>
          <w:sz w:val="24"/>
          <w:lang w:val="bg-BG"/>
        </w:rPr>
        <w:t>, стр. 51.</w:t>
      </w:r>
    </w:p>
  </w:footnote>
  <w:footnote w:id="12">
    <w:p w:rsidR="0017711C" w:rsidRPr="00FE3DC5" w:rsidRDefault="0017711C" w:rsidP="00FE3DC5">
      <w:pPr>
        <w:pStyle w:val="FootnoteText"/>
        <w:ind w:left="567" w:hanging="567"/>
        <w:rPr>
          <w:sz w:val="24"/>
          <w:lang w:val="bg-BG"/>
        </w:rPr>
      </w:pPr>
      <w:r w:rsidRPr="00FE3DC5">
        <w:rPr>
          <w:rStyle w:val="FootnoteReference"/>
          <w:sz w:val="24"/>
          <w:lang w:val="bg-BG"/>
        </w:rPr>
        <w:footnoteRef/>
      </w:r>
      <w:r w:rsidR="00FE3DC5" w:rsidRPr="00FE3DC5">
        <w:rPr>
          <w:sz w:val="24"/>
          <w:lang w:val="bg-BG"/>
        </w:rPr>
        <w:t xml:space="preserve"> </w:t>
      </w:r>
      <w:r w:rsidR="00FE3DC5" w:rsidRPr="00FE3DC5">
        <w:rPr>
          <w:sz w:val="24"/>
          <w:lang w:val="bg-BG"/>
        </w:rPr>
        <w:tab/>
      </w:r>
      <w:r w:rsidRPr="00FE3DC5">
        <w:rPr>
          <w:sz w:val="24"/>
          <w:lang w:val="bg-BG"/>
        </w:rPr>
        <w:t>Приети текстове, P9_TA(2024)</w:t>
      </w:r>
      <w:r w:rsidR="00D00781" w:rsidRPr="00635445">
        <w:rPr>
          <w:sz w:val="24"/>
          <w:lang w:val="bg-BG"/>
        </w:rPr>
        <w:t>0</w:t>
      </w:r>
      <w:r w:rsidR="00D00781">
        <w:rPr>
          <w:sz w:val="24"/>
          <w:lang w:val="en-GB"/>
        </w:rPr>
        <w:t>28</w:t>
      </w:r>
      <w:r w:rsidR="00D00781" w:rsidRPr="00635445">
        <w:rPr>
          <w:sz w:val="24"/>
          <w:lang w:val="bg-BG"/>
        </w:rPr>
        <w:t>0</w:t>
      </w:r>
      <w:r w:rsidRPr="00FE3DC5">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3D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3D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3D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BG"/>
    <w:docVar w:name="dvnumam" w:val="0"/>
    <w:docVar w:name="dvpe" w:val="753.528"/>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Агенцията за железопътен транспорт на Европейския съюз за финансовата 2022 година(2023/2160(DEC))"/>
  </w:docVars>
  <w:rsids>
    <w:rsidRoot w:val="006E1E55"/>
    <w:rsid w:val="00002272"/>
    <w:rsid w:val="00064002"/>
    <w:rsid w:val="000677B9"/>
    <w:rsid w:val="000831BA"/>
    <w:rsid w:val="000A42CC"/>
    <w:rsid w:val="000E7DD9"/>
    <w:rsid w:val="0010095E"/>
    <w:rsid w:val="00125B37"/>
    <w:rsid w:val="0017711C"/>
    <w:rsid w:val="00187494"/>
    <w:rsid w:val="001F32AE"/>
    <w:rsid w:val="002767FF"/>
    <w:rsid w:val="002B18FE"/>
    <w:rsid w:val="002B5493"/>
    <w:rsid w:val="00343214"/>
    <w:rsid w:val="00361C00"/>
    <w:rsid w:val="00380DF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2877"/>
    <w:rsid w:val="006E1E5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57AC"/>
    <w:rsid w:val="00A1687D"/>
    <w:rsid w:val="00A43E52"/>
    <w:rsid w:val="00A4678D"/>
    <w:rsid w:val="00A778C7"/>
    <w:rsid w:val="00AB441E"/>
    <w:rsid w:val="00AB6293"/>
    <w:rsid w:val="00AE0928"/>
    <w:rsid w:val="00AF3B82"/>
    <w:rsid w:val="00B12E95"/>
    <w:rsid w:val="00B22876"/>
    <w:rsid w:val="00B558F0"/>
    <w:rsid w:val="00B7333F"/>
    <w:rsid w:val="00BD48FE"/>
    <w:rsid w:val="00BD7BD8"/>
    <w:rsid w:val="00BE6ADC"/>
    <w:rsid w:val="00C05BFE"/>
    <w:rsid w:val="00C23CD4"/>
    <w:rsid w:val="00C46C0F"/>
    <w:rsid w:val="00C61C0C"/>
    <w:rsid w:val="00C941CB"/>
    <w:rsid w:val="00CC2357"/>
    <w:rsid w:val="00CF071A"/>
    <w:rsid w:val="00D00781"/>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3DC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3A636F"/>
  <w15:chartTrackingRefBased/>
  <w15:docId w15:val="{2920361C-6B83-4F30-8823-D66A5EC1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7711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7711C"/>
    <w:pPr>
      <w:spacing w:before="480" w:after="240"/>
    </w:pPr>
  </w:style>
  <w:style w:type="paragraph" w:customStyle="1" w:styleId="PageHeading">
    <w:name w:val="PageHeading"/>
    <w:basedOn w:val="Normal"/>
    <w:rsid w:val="0017711C"/>
    <w:pPr>
      <w:keepNext/>
      <w:spacing w:after="480"/>
      <w:jc w:val="center"/>
    </w:pPr>
    <w:rPr>
      <w:rFonts w:ascii="Arial" w:hAnsi="Arial" w:cs="Arial"/>
      <w:b/>
    </w:rPr>
  </w:style>
  <w:style w:type="paragraph" w:customStyle="1" w:styleId="NormalBold">
    <w:name w:val="NormalBold"/>
    <w:basedOn w:val="Normal"/>
    <w:rsid w:val="0017711C"/>
    <w:rPr>
      <w:b/>
    </w:rPr>
  </w:style>
  <w:style w:type="paragraph" w:customStyle="1" w:styleId="NormalHanging12a">
    <w:name w:val="NormalHanging12a"/>
    <w:basedOn w:val="Normal"/>
    <w:link w:val="NormalHanging12aChar"/>
    <w:rsid w:val="0017711C"/>
    <w:pPr>
      <w:spacing w:after="240"/>
      <w:ind w:left="567" w:hanging="567"/>
    </w:pPr>
  </w:style>
  <w:style w:type="paragraph" w:customStyle="1" w:styleId="NormalCenter12a">
    <w:name w:val="NormalCenter12a"/>
    <w:basedOn w:val="Normal"/>
    <w:rsid w:val="0017711C"/>
    <w:pPr>
      <w:spacing w:after="240"/>
      <w:jc w:val="center"/>
    </w:pPr>
  </w:style>
  <w:style w:type="paragraph" w:styleId="Header">
    <w:name w:val="header"/>
    <w:basedOn w:val="Normal"/>
    <w:link w:val="HeaderChar"/>
    <w:rsid w:val="0017711C"/>
    <w:pPr>
      <w:tabs>
        <w:tab w:val="center" w:pos="4513"/>
        <w:tab w:val="right" w:pos="9026"/>
      </w:tabs>
    </w:pPr>
  </w:style>
  <w:style w:type="character" w:customStyle="1" w:styleId="HeaderChar">
    <w:name w:val="Header Char"/>
    <w:basedOn w:val="DefaultParagraphFont"/>
    <w:link w:val="Header"/>
    <w:rsid w:val="0017711C"/>
    <w:rPr>
      <w:sz w:val="24"/>
      <w:lang w:val="bg-BG"/>
    </w:rPr>
  </w:style>
  <w:style w:type="paragraph" w:customStyle="1" w:styleId="EPFooter">
    <w:name w:val="EPFooter"/>
    <w:basedOn w:val="Normal"/>
    <w:rsid w:val="0017711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17711C"/>
    <w:rPr>
      <w:sz w:val="24"/>
      <w:lang w:val="bg-BG"/>
    </w:rPr>
  </w:style>
  <w:style w:type="paragraph" w:styleId="BalloonText">
    <w:name w:val="Balloon Text"/>
    <w:basedOn w:val="Normal"/>
    <w:link w:val="BalloonTextChar"/>
    <w:rsid w:val="00C46C0F"/>
    <w:rPr>
      <w:rFonts w:ascii="Segoe UI" w:hAnsi="Segoe UI" w:cs="Segoe UI"/>
      <w:sz w:val="18"/>
      <w:szCs w:val="18"/>
    </w:rPr>
  </w:style>
  <w:style w:type="character" w:customStyle="1" w:styleId="BalloonTextChar">
    <w:name w:val="Balloon Text Char"/>
    <w:basedOn w:val="DefaultParagraphFont"/>
    <w:link w:val="BalloonText"/>
    <w:rsid w:val="00C46C0F"/>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D4483-007C-45B2-A122-0D3D1CD10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5393</Words>
  <Characters>30744</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2024-05-21T12:28:00Z</dcterms:created>
  <dcterms:modified xsi:type="dcterms:W3CDTF">2024-05-21T12:28:00Z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P9_TA(2024)0253_</vt:lpwstr>
  </property>
  <property fmtid="{D5CDD505-2E9C-101B-9397-08002B2CF9AE}" pid="4" name="&lt;Type&gt;">
    <vt:lpwstr>RR</vt:lpwstr>
  </property>
</Properties>
</file>