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0B8" w:rsidTr="0010095E">
        <w:trPr>
          <w:trHeight w:hRule="exact" w:val="1418"/>
        </w:trPr>
        <w:tc>
          <w:tcPr>
            <w:tcW w:w="6804" w:type="dxa"/>
            <w:shd w:val="clear" w:color="auto" w:fill="auto"/>
            <w:vAlign w:val="center"/>
          </w:tcPr>
          <w:p w:rsidR="00751A4A" w:rsidRPr="00C020B8" w:rsidRDefault="008F3EF4" w:rsidP="0010095E">
            <w:pPr>
              <w:pStyle w:val="EPName"/>
            </w:pPr>
            <w:r w:rsidRPr="00C020B8">
              <w:t>Evropský parlament</w:t>
            </w:r>
          </w:p>
          <w:p w:rsidR="00751A4A" w:rsidRPr="00C020B8" w:rsidRDefault="00817416" w:rsidP="00756632">
            <w:pPr>
              <w:pStyle w:val="EPTerm"/>
              <w:rPr>
                <w:rStyle w:val="HideTWBExt"/>
                <w:noProof w:val="0"/>
                <w:vanish w:val="0"/>
                <w:color w:val="auto"/>
              </w:rPr>
            </w:pPr>
            <w:r w:rsidRPr="00C020B8">
              <w:t>2019-2024</w:t>
            </w:r>
          </w:p>
        </w:tc>
        <w:tc>
          <w:tcPr>
            <w:tcW w:w="2268" w:type="dxa"/>
            <w:shd w:val="clear" w:color="auto" w:fill="auto"/>
          </w:tcPr>
          <w:p w:rsidR="00751A4A" w:rsidRPr="00C020B8" w:rsidRDefault="00187494" w:rsidP="0010095E">
            <w:pPr>
              <w:pStyle w:val="EPLogo"/>
            </w:pPr>
            <w:r w:rsidRPr="00C020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20B8" w:rsidRDefault="00D058B8" w:rsidP="004C5D52">
      <w:pPr>
        <w:pStyle w:val="LineTop"/>
      </w:pPr>
    </w:p>
    <w:p w:rsidR="00680577" w:rsidRPr="00C020B8" w:rsidRDefault="008F3EF4" w:rsidP="00680577">
      <w:pPr>
        <w:pStyle w:val="EPBodyTA1"/>
      </w:pPr>
      <w:r w:rsidRPr="00C020B8">
        <w:t>PŘIJATÉ TEXTY</w:t>
      </w:r>
    </w:p>
    <w:p w:rsidR="00D058B8" w:rsidRPr="00C020B8" w:rsidRDefault="00D058B8" w:rsidP="00D058B8">
      <w:pPr>
        <w:pStyle w:val="LineBottom"/>
      </w:pPr>
    </w:p>
    <w:p w:rsidR="008F3EF4" w:rsidRPr="00C020B8" w:rsidRDefault="008F3EF4" w:rsidP="008F3EF4">
      <w:pPr>
        <w:pStyle w:val="ATHeading1"/>
      </w:pPr>
      <w:bookmarkStart w:id="0" w:name="TANumber"/>
      <w:r w:rsidRPr="00C020B8">
        <w:t>P9_TA(2024)0</w:t>
      </w:r>
      <w:r w:rsidR="00F31343">
        <w:t>253</w:t>
      </w:r>
      <w:bookmarkEnd w:id="0"/>
    </w:p>
    <w:p w:rsidR="008F3EF4" w:rsidRPr="00C020B8" w:rsidRDefault="008F3EF4" w:rsidP="008F3EF4">
      <w:pPr>
        <w:pStyle w:val="ATHeading2"/>
      </w:pPr>
      <w:bookmarkStart w:id="1" w:name="title"/>
      <w:r w:rsidRPr="00C020B8">
        <w:t>Udělení absolutoria za rok 2022: Agentura Evropské unie pro železnice</w:t>
      </w:r>
      <w:bookmarkEnd w:id="1"/>
    </w:p>
    <w:p w:rsidR="008F3EF4" w:rsidRPr="00C020B8" w:rsidRDefault="008F3EF4" w:rsidP="008F3EF4">
      <w:pPr>
        <w:rPr>
          <w:i/>
          <w:vanish/>
        </w:rPr>
      </w:pPr>
      <w:r w:rsidRPr="00C020B8">
        <w:rPr>
          <w:i/>
        </w:rPr>
        <w:fldChar w:fldCharType="begin"/>
      </w:r>
      <w:r w:rsidRPr="00C020B8">
        <w:rPr>
          <w:i/>
        </w:rPr>
        <w:instrText xml:space="preserve"> TC"(</w:instrText>
      </w:r>
      <w:bookmarkStart w:id="2" w:name="DocNumber"/>
      <w:r w:rsidRPr="00C020B8">
        <w:rPr>
          <w:i/>
        </w:rPr>
        <w:instrText>A9-0092/2024</w:instrText>
      </w:r>
      <w:bookmarkEnd w:id="2"/>
      <w:r w:rsidRPr="00C020B8">
        <w:rPr>
          <w:i/>
        </w:rPr>
        <w:instrText xml:space="preserve"> - Zpravodaj: </w:instrText>
      </w:r>
      <w:proofErr w:type="spellStart"/>
      <w:r w:rsidRPr="00C020B8">
        <w:rPr>
          <w:i/>
        </w:rPr>
        <w:instrText>Petri</w:instrText>
      </w:r>
      <w:proofErr w:type="spellEnd"/>
      <w:r w:rsidRPr="00C020B8">
        <w:rPr>
          <w:i/>
        </w:rPr>
        <w:instrText xml:space="preserve"> </w:instrText>
      </w:r>
      <w:proofErr w:type="spellStart"/>
      <w:r w:rsidRPr="00C020B8">
        <w:rPr>
          <w:i/>
        </w:rPr>
        <w:instrText>Sarvamaa</w:instrText>
      </w:r>
      <w:proofErr w:type="spellEnd"/>
      <w:r w:rsidRPr="00C020B8">
        <w:rPr>
          <w:i/>
        </w:rPr>
        <w:instrText xml:space="preserve">)"\l3 \n&gt; \* MERGEFORMAT </w:instrText>
      </w:r>
      <w:r w:rsidRPr="00C020B8">
        <w:rPr>
          <w:i/>
        </w:rPr>
        <w:fldChar w:fldCharType="end"/>
      </w:r>
    </w:p>
    <w:p w:rsidR="008F3EF4" w:rsidRPr="00C020B8" w:rsidRDefault="008F3EF4" w:rsidP="008F3EF4">
      <w:pPr>
        <w:rPr>
          <w:vanish/>
        </w:rPr>
      </w:pPr>
      <w:bookmarkStart w:id="3" w:name="Commission"/>
      <w:r w:rsidRPr="00C020B8">
        <w:rPr>
          <w:vanish/>
        </w:rPr>
        <w:t>Výbor pro rozpočtovou kontrolu</w:t>
      </w:r>
      <w:bookmarkEnd w:id="3"/>
    </w:p>
    <w:p w:rsidR="008F3EF4" w:rsidRPr="00C020B8" w:rsidRDefault="008F3EF4" w:rsidP="008F3EF4">
      <w:pPr>
        <w:rPr>
          <w:vanish/>
        </w:rPr>
      </w:pPr>
      <w:bookmarkStart w:id="4" w:name="PE"/>
      <w:r w:rsidRPr="00C020B8">
        <w:rPr>
          <w:vanish/>
        </w:rPr>
        <w:t>PE753.528</w:t>
      </w:r>
      <w:bookmarkEnd w:id="4"/>
    </w:p>
    <w:p w:rsidR="008F3EF4" w:rsidRPr="00C020B8" w:rsidRDefault="008F3EF4" w:rsidP="008F3EF4">
      <w:pPr>
        <w:pStyle w:val="ATHeading3"/>
      </w:pPr>
      <w:bookmarkStart w:id="5" w:name="Sujet"/>
      <w:r w:rsidRPr="00C020B8">
        <w:t>1. Rozhodnutí Evropského parlamentu ze dne 11. dubna 2024 o udělení absolutoria za plnění rozpočtu Agentury Evropské unie pro železnice na rozpočtový rok 2022</w:t>
      </w:r>
      <w:bookmarkEnd w:id="5"/>
      <w:r w:rsidRPr="00C020B8">
        <w:t xml:space="preserve"> </w:t>
      </w:r>
      <w:bookmarkStart w:id="6" w:name="References"/>
      <w:r w:rsidRPr="00C020B8">
        <w:t>(2023/2160(DEC))</w:t>
      </w:r>
      <w:bookmarkEnd w:id="6"/>
    </w:p>
    <w:p w:rsidR="000945E7" w:rsidRPr="00C020B8" w:rsidRDefault="000945E7" w:rsidP="000945E7">
      <w:pPr>
        <w:pStyle w:val="EPComma"/>
      </w:pPr>
      <w:bookmarkStart w:id="7" w:name="TextBodyBegin"/>
      <w:bookmarkEnd w:id="7"/>
      <w:r w:rsidRPr="00C020B8">
        <w:rPr>
          <w:i/>
        </w:rPr>
        <w:t>Evropský parlament</w:t>
      </w:r>
      <w:r w:rsidRPr="00C020B8">
        <w:t>,</w:t>
      </w:r>
    </w:p>
    <w:p w:rsidR="000945E7" w:rsidRPr="00C020B8" w:rsidRDefault="000945E7" w:rsidP="005269A6">
      <w:pPr>
        <w:pStyle w:val="NormalHanging12a"/>
      </w:pPr>
      <w:r w:rsidRPr="00C020B8">
        <w:t>–</w:t>
      </w:r>
      <w:r w:rsidRPr="00C020B8">
        <w:tab/>
        <w:t>s ohledem na konečnou roční účetní závěrku Agentury Evropské unie pro železnice za rozpočtový rok 2022,</w:t>
      </w:r>
    </w:p>
    <w:p w:rsidR="000945E7" w:rsidRPr="00C020B8" w:rsidRDefault="000945E7" w:rsidP="005269A6">
      <w:pPr>
        <w:pStyle w:val="NormalHanging12a"/>
      </w:pPr>
      <w:r w:rsidRPr="00C020B8">
        <w:t>–</w:t>
      </w:r>
      <w:r w:rsidRPr="00C020B8">
        <w:tab/>
        <w:t>s ohledem na výroční zprávu Účetního dvora o agenturách EU za rozpočtový rok 2022 spolu s odpověďmi agentur</w:t>
      </w:r>
      <w:r w:rsidRPr="00C020B8">
        <w:rPr>
          <w:rStyle w:val="FootnoteReference"/>
        </w:rPr>
        <w:footnoteReference w:id="1"/>
      </w:r>
      <w:r w:rsidRPr="00C020B8">
        <w:t>,</w:t>
      </w:r>
    </w:p>
    <w:p w:rsidR="000945E7" w:rsidRPr="00C020B8" w:rsidRDefault="000945E7" w:rsidP="005269A6">
      <w:pPr>
        <w:pStyle w:val="NormalHanging12a"/>
      </w:pPr>
      <w:r w:rsidRPr="00C020B8">
        <w:t>–</w:t>
      </w:r>
      <w:r w:rsidRPr="00C020B8">
        <w:tab/>
        <w:t>s ohledem na prohlášení o věrohodnosti</w:t>
      </w:r>
      <w:r w:rsidRPr="00C020B8">
        <w:rPr>
          <w:rStyle w:val="FootnoteReference"/>
        </w:rPr>
        <w:footnoteReference w:id="2"/>
      </w:r>
      <w:r w:rsidRPr="00C020B8">
        <w:t xml:space="preserve"> </w:t>
      </w:r>
      <w:r w:rsidR="005269A6" w:rsidRPr="00C020B8">
        <w:t>účetnictví</w:t>
      </w:r>
      <w:r w:rsidR="005269A6">
        <w:t xml:space="preserve"> </w:t>
      </w:r>
      <w:r w:rsidRPr="00C020B8">
        <w:t>a o legalitě a správnosti uskutečněných operací, které předložil Účetní dvůr za rozpočtový rok 2022 podle článku 287 Smlouvy o fungování Evropské unie,</w:t>
      </w:r>
    </w:p>
    <w:p w:rsidR="000945E7" w:rsidRPr="00C020B8" w:rsidRDefault="000945E7" w:rsidP="005269A6">
      <w:pPr>
        <w:pStyle w:val="NormalHanging12a"/>
      </w:pPr>
      <w:r w:rsidRPr="00C020B8">
        <w:t>–</w:t>
      </w:r>
      <w:r w:rsidRPr="00C020B8">
        <w:tab/>
        <w:t>s ohledem na doporučení Rady ze dne 22. února 2024 o udělení absolutoria agentuře za plnění rozpočtu na rozpočtový rok 2022 (0</w:t>
      </w:r>
      <w:r w:rsidR="00C75E03">
        <w:t>618</w:t>
      </w:r>
      <w:r w:rsidR="00F22F86">
        <w:t>0</w:t>
      </w:r>
      <w:r w:rsidRPr="00C020B8">
        <w:t>/2024 – C9</w:t>
      </w:r>
      <w:r w:rsidRPr="00C020B8">
        <w:noBreakHyphen/>
        <w:t>00</w:t>
      </w:r>
      <w:r w:rsidR="00C75E03">
        <w:t>98</w:t>
      </w:r>
      <w:r w:rsidRPr="00C020B8">
        <w:t>/2024),</w:t>
      </w:r>
    </w:p>
    <w:p w:rsidR="000945E7" w:rsidRPr="00C020B8" w:rsidRDefault="000945E7" w:rsidP="005269A6">
      <w:pPr>
        <w:pStyle w:val="NormalHanging12a"/>
      </w:pPr>
      <w:r w:rsidRPr="00C020B8">
        <w:t>–</w:t>
      </w:r>
      <w:r w:rsidRPr="00C020B8">
        <w:tab/>
        <w:t>s ohledem na článek 319 Smlouvy o fungování Evropské unie,</w:t>
      </w:r>
    </w:p>
    <w:p w:rsidR="000945E7" w:rsidRPr="00C020B8" w:rsidRDefault="000945E7" w:rsidP="005269A6">
      <w:pPr>
        <w:pStyle w:val="NormalHanging12a"/>
      </w:pPr>
      <w:r w:rsidRPr="00C020B8">
        <w:t>–</w:t>
      </w:r>
      <w:r w:rsidRPr="00C020B8">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020B8">
        <w:rPr>
          <w:rStyle w:val="FootnoteReference"/>
        </w:rPr>
        <w:footnoteReference w:id="3"/>
      </w:r>
      <w:r w:rsidRPr="00C020B8">
        <w:t>, a zejména článek 70 tohoto nařízení,</w:t>
      </w:r>
    </w:p>
    <w:p w:rsidR="000945E7" w:rsidRPr="00C020B8" w:rsidRDefault="000945E7" w:rsidP="005269A6">
      <w:pPr>
        <w:pStyle w:val="NormalHanging12a"/>
      </w:pPr>
      <w:r w:rsidRPr="00C020B8">
        <w:t>–</w:t>
      </w:r>
      <w:r w:rsidRPr="00C020B8">
        <w:tab/>
        <w:t>s ohledem na nařízení Evropského parlamentu a Rady (EU) 2016/796 ze dne 11. května 2016 o Agentuře Evropské unie pro železnice a o zrušení nařízení (ES) č. 881/2004</w:t>
      </w:r>
      <w:r w:rsidRPr="00C020B8">
        <w:rPr>
          <w:rStyle w:val="FootnoteReference"/>
        </w:rPr>
        <w:footnoteReference w:id="4"/>
      </w:r>
      <w:r w:rsidRPr="00C020B8">
        <w:t xml:space="preserve">, a </w:t>
      </w:r>
      <w:r w:rsidRPr="00C020B8">
        <w:lastRenderedPageBreak/>
        <w:t>zejména na článek 65 tohoto nařízení,</w:t>
      </w:r>
    </w:p>
    <w:p w:rsidR="000945E7" w:rsidRPr="00C020B8" w:rsidRDefault="000945E7">
      <w:pPr>
        <w:pStyle w:val="NormalHanging12a"/>
      </w:pPr>
      <w:r w:rsidRPr="00C020B8">
        <w:t>–</w:t>
      </w:r>
      <w:r w:rsidRPr="00C020B8">
        <w:tab/>
        <w:t>s ohledem na nařízení Komise v přenesené pravomoci (EU) 2019/715 ze dne 18. prosince 2018 o rámcovém finančním nařízení pro subjekty zřízené podle S</w:t>
      </w:r>
      <w:r w:rsidR="00691DC7">
        <w:t xml:space="preserve">mlouvy o fungování </w:t>
      </w:r>
      <w:r w:rsidRPr="00C020B8">
        <w:t>E</w:t>
      </w:r>
      <w:r w:rsidR="00691DC7">
        <w:t>vropské unie</w:t>
      </w:r>
      <w:r w:rsidRPr="00C020B8">
        <w:t xml:space="preserve"> a Smlouvy o Euratomu a uvedené v článku 70 nařízení Evropského parlamentu a Rady (EU, Euratom) 2018/1046</w:t>
      </w:r>
      <w:r w:rsidRPr="00C020B8">
        <w:rPr>
          <w:rStyle w:val="FootnoteReference"/>
        </w:rPr>
        <w:footnoteReference w:id="5"/>
      </w:r>
      <w:r w:rsidRPr="00C020B8">
        <w:t>, a zejména na jeho článek 105,</w:t>
      </w:r>
    </w:p>
    <w:p w:rsidR="000945E7" w:rsidRPr="00C020B8" w:rsidRDefault="000945E7">
      <w:pPr>
        <w:pStyle w:val="NormalHanging12a"/>
      </w:pPr>
      <w:r w:rsidRPr="00C020B8">
        <w:t>–</w:t>
      </w:r>
      <w:r w:rsidRPr="00C020B8">
        <w:tab/>
        <w:t>s ohledem na článek 100 a přílohu V jednacího řádu,</w:t>
      </w:r>
    </w:p>
    <w:p w:rsidR="000945E7" w:rsidRPr="00C020B8" w:rsidRDefault="000945E7">
      <w:pPr>
        <w:pStyle w:val="NormalHanging12a"/>
      </w:pPr>
      <w:r w:rsidRPr="00C020B8">
        <w:t>–</w:t>
      </w:r>
      <w:r w:rsidRPr="00C020B8">
        <w:tab/>
        <w:t>s ohledem na stanovisko Výboru pro dopravu a cestovní ruch,</w:t>
      </w:r>
    </w:p>
    <w:p w:rsidR="000945E7" w:rsidRPr="00C020B8" w:rsidRDefault="000945E7">
      <w:pPr>
        <w:pStyle w:val="NormalHanging12a"/>
      </w:pPr>
      <w:r w:rsidRPr="00C020B8">
        <w:t>–</w:t>
      </w:r>
      <w:r w:rsidRPr="00C020B8">
        <w:tab/>
        <w:t>s ohledem na zprávu Výboru pro rozpočtovou kontrolu (A9</w:t>
      </w:r>
      <w:r w:rsidRPr="00C020B8">
        <w:noBreakHyphen/>
        <w:t>0092/2024),</w:t>
      </w:r>
    </w:p>
    <w:p w:rsidR="000945E7" w:rsidRPr="00C020B8" w:rsidRDefault="000945E7">
      <w:pPr>
        <w:pStyle w:val="NormalHanging12a"/>
      </w:pPr>
      <w:r w:rsidRPr="00C020B8">
        <w:t>1.</w:t>
      </w:r>
      <w:r w:rsidRPr="00C020B8">
        <w:tab/>
        <w:t>uděluje absolutorium výkonnému řediteli Agentury Evropské unie pro železnice za plnění rozpočtu agentury na rozpočtový rok 2022;</w:t>
      </w:r>
    </w:p>
    <w:p w:rsidR="000945E7" w:rsidRPr="00C020B8" w:rsidRDefault="000945E7">
      <w:pPr>
        <w:pStyle w:val="NormalHanging12a"/>
      </w:pPr>
      <w:r w:rsidRPr="00C020B8">
        <w:t>2.</w:t>
      </w:r>
      <w:r w:rsidRPr="00C020B8">
        <w:tab/>
        <w:t>předkládá své připomínky v dále uvedeném usnesení;</w:t>
      </w:r>
    </w:p>
    <w:p w:rsidR="000945E7" w:rsidRPr="00C020B8" w:rsidRDefault="000945E7">
      <w:pPr>
        <w:pStyle w:val="NormalHanging12a"/>
      </w:pPr>
      <w:r w:rsidRPr="00C020B8">
        <w:t>3.</w:t>
      </w:r>
      <w:r w:rsidRPr="00C020B8">
        <w:tab/>
        <w:t>pověřuje svou předsedkyni, aby předala toto rozhodnutí a usnesení, které je jeho nedílnou součástí, výkonnému řediteli Agentury Evropské unie pro železnice, Radě, Komisi a Účetnímu dvoru a aby zajistila jejich zveřejnění v </w:t>
      </w:r>
      <w:r w:rsidRPr="00C020B8">
        <w:rPr>
          <w:i/>
        </w:rPr>
        <w:t>Úředním věstníku Evropské unie</w:t>
      </w:r>
      <w:r w:rsidRPr="00C020B8">
        <w:t xml:space="preserve"> (řada L).</w:t>
      </w:r>
    </w:p>
    <w:p w:rsidR="000945E7" w:rsidRPr="00C020B8" w:rsidRDefault="000945E7"/>
    <w:p w:rsidR="000945E7" w:rsidRPr="00C020B8" w:rsidRDefault="000945E7">
      <w:pPr>
        <w:widowControl/>
        <w:rPr>
          <w:rFonts w:ascii="Arial" w:hAnsi="Arial" w:cs="Arial"/>
          <w:b/>
        </w:rPr>
        <w:sectPr w:rsidR="000945E7" w:rsidRPr="00C020B8" w:rsidSect="00C020B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945E7" w:rsidRPr="00C020B8" w:rsidRDefault="000945E7">
      <w:pPr>
        <w:pStyle w:val="ATHeading3"/>
      </w:pPr>
      <w:bookmarkStart w:id="8" w:name="_Toc146791291"/>
      <w:bookmarkStart w:id="9" w:name="_Toc161846197"/>
      <w:r w:rsidRPr="00C020B8">
        <w:lastRenderedPageBreak/>
        <w:t xml:space="preserve">2. </w:t>
      </w:r>
      <w:r w:rsidR="00691DC7" w:rsidRPr="00C020B8">
        <w:t>Rozhodnutí Evropského parlamentu</w:t>
      </w:r>
      <w:bookmarkEnd w:id="8"/>
      <w:bookmarkEnd w:id="9"/>
      <w:r w:rsidR="00691DC7">
        <w:t xml:space="preserve"> </w:t>
      </w:r>
      <w:r w:rsidR="00691DC7" w:rsidRPr="00C020B8">
        <w:t xml:space="preserve">ze dne 11. dubna 2024 </w:t>
      </w:r>
      <w:r w:rsidRPr="00C020B8">
        <w:t>o uzavření účtů Agentury Evropské unie pro železnice za rozpočtový rok 2022</w:t>
      </w:r>
      <w:r w:rsidR="00691DC7">
        <w:t xml:space="preserve"> </w:t>
      </w:r>
      <w:r w:rsidRPr="00C020B8">
        <w:t>(2023/2160(DEC))</w:t>
      </w:r>
    </w:p>
    <w:p w:rsidR="000945E7" w:rsidRPr="00C020B8" w:rsidRDefault="000945E7">
      <w:pPr>
        <w:pStyle w:val="EPComma"/>
      </w:pPr>
      <w:r w:rsidRPr="00C020B8">
        <w:rPr>
          <w:i/>
        </w:rPr>
        <w:t>Evropský parlament</w:t>
      </w:r>
      <w:r w:rsidRPr="00C020B8">
        <w:t>,</w:t>
      </w:r>
    </w:p>
    <w:p w:rsidR="000945E7" w:rsidRPr="00C020B8" w:rsidRDefault="000945E7">
      <w:pPr>
        <w:pStyle w:val="NormalHanging12a"/>
      </w:pPr>
      <w:r w:rsidRPr="00C020B8">
        <w:t>–</w:t>
      </w:r>
      <w:r w:rsidRPr="00C020B8">
        <w:tab/>
        <w:t>s ohledem na konečnou roční účetní závěrku Agentury Evropské unie pro železnice za rozpočtový rok 2022,</w:t>
      </w:r>
    </w:p>
    <w:p w:rsidR="000945E7" w:rsidRPr="00C020B8" w:rsidRDefault="000945E7">
      <w:pPr>
        <w:pStyle w:val="NormalHanging12a"/>
      </w:pPr>
      <w:r w:rsidRPr="00C020B8">
        <w:t>–</w:t>
      </w:r>
      <w:r w:rsidRPr="00C020B8">
        <w:tab/>
        <w:t>s ohledem na výroční zprávu Účetního dvora o agenturách EU za rozpočtový rok 2022 spolu s odpověďmi agentur</w:t>
      </w:r>
      <w:r w:rsidRPr="00C020B8">
        <w:rPr>
          <w:rStyle w:val="FootnoteReference"/>
        </w:rPr>
        <w:footnoteReference w:id="6"/>
      </w:r>
      <w:r w:rsidRPr="00C020B8">
        <w:t>,</w:t>
      </w:r>
    </w:p>
    <w:p w:rsidR="000945E7" w:rsidRPr="00C020B8" w:rsidRDefault="000945E7">
      <w:pPr>
        <w:pStyle w:val="NormalHanging12a"/>
      </w:pPr>
      <w:r w:rsidRPr="00C020B8">
        <w:t>–</w:t>
      </w:r>
      <w:r w:rsidRPr="00C020B8">
        <w:tab/>
        <w:t>s ohledem na prohlášení o věrohodnosti</w:t>
      </w:r>
      <w:r w:rsidRPr="00C020B8">
        <w:rPr>
          <w:rStyle w:val="FootnoteReference"/>
        </w:rPr>
        <w:footnoteReference w:id="7"/>
      </w:r>
      <w:r w:rsidR="005269A6">
        <w:t xml:space="preserve"> </w:t>
      </w:r>
      <w:r w:rsidR="005269A6" w:rsidRPr="00C020B8">
        <w:t>účetnictví</w:t>
      </w:r>
      <w:r w:rsidRPr="00C020B8">
        <w:t xml:space="preserve"> a o legalitě a správnosti uskutečněných operací, které předložil Účetní dvůr za rozpočtový rok 2022 podle článku 287 Smlouvy o fungování Evropské unie,</w:t>
      </w:r>
    </w:p>
    <w:p w:rsidR="000945E7" w:rsidRPr="00C020B8" w:rsidRDefault="000945E7">
      <w:pPr>
        <w:pStyle w:val="NormalHanging12a"/>
      </w:pPr>
      <w:r w:rsidRPr="00C020B8">
        <w:t>–</w:t>
      </w:r>
      <w:r w:rsidRPr="00C020B8">
        <w:tab/>
        <w:t>s ohledem na doporučení Rady ze dne 22. února 2024 o udělení absolutoria agentuře za plnění rozpočtu na rozpočtový rok 2022 (0</w:t>
      </w:r>
      <w:r w:rsidR="00C75E03">
        <w:t>618</w:t>
      </w:r>
      <w:r w:rsidR="00F22F86">
        <w:t>0</w:t>
      </w:r>
      <w:r w:rsidRPr="00C020B8">
        <w:t>/2024 – C9</w:t>
      </w:r>
      <w:r w:rsidRPr="00C020B8">
        <w:noBreakHyphen/>
        <w:t>00</w:t>
      </w:r>
      <w:r w:rsidR="00C75E03">
        <w:t>98</w:t>
      </w:r>
      <w:r w:rsidRPr="00C020B8">
        <w:t>/2024),</w:t>
      </w:r>
    </w:p>
    <w:p w:rsidR="000945E7" w:rsidRPr="00C020B8" w:rsidRDefault="000945E7">
      <w:pPr>
        <w:pStyle w:val="NormalHanging12a"/>
      </w:pPr>
      <w:r w:rsidRPr="00C020B8">
        <w:t>–</w:t>
      </w:r>
      <w:r w:rsidRPr="00C020B8">
        <w:tab/>
        <w:t>s ohledem na článek 319 Smlouvy o fungování Evropské unie,</w:t>
      </w:r>
    </w:p>
    <w:p w:rsidR="000945E7" w:rsidRPr="00C020B8" w:rsidRDefault="000945E7">
      <w:pPr>
        <w:pStyle w:val="NormalHanging12a"/>
      </w:pPr>
      <w:r w:rsidRPr="00C020B8">
        <w:t>–</w:t>
      </w:r>
      <w:r w:rsidRPr="00C020B8">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020B8">
        <w:rPr>
          <w:rStyle w:val="FootnoteReference"/>
        </w:rPr>
        <w:footnoteReference w:id="8"/>
      </w:r>
      <w:r w:rsidRPr="00C020B8">
        <w:t>, a zejména článek 70 tohoto nařízení,</w:t>
      </w:r>
    </w:p>
    <w:p w:rsidR="000945E7" w:rsidRPr="00C020B8" w:rsidRDefault="000945E7">
      <w:pPr>
        <w:pStyle w:val="NormalHanging12a"/>
      </w:pPr>
      <w:r w:rsidRPr="00C020B8">
        <w:t>–</w:t>
      </w:r>
      <w:r w:rsidRPr="00C020B8">
        <w:tab/>
        <w:t>s ohledem na nařízení Evropského parlamentu a Rady (EU) 2016/796 ze dne 11. května 2016 o Agentuře Evropské unie pro železnice a o zrušení nařízení (ES) č. 881/2004</w:t>
      </w:r>
      <w:r w:rsidRPr="00C020B8">
        <w:rPr>
          <w:rStyle w:val="FootnoteReference"/>
        </w:rPr>
        <w:footnoteReference w:id="9"/>
      </w:r>
      <w:r w:rsidRPr="00C020B8">
        <w:t>, a zejména na článek 65 tohoto nařízení,</w:t>
      </w:r>
    </w:p>
    <w:p w:rsidR="000945E7" w:rsidRPr="00C020B8" w:rsidRDefault="000945E7">
      <w:pPr>
        <w:pStyle w:val="NormalHanging12a"/>
      </w:pPr>
      <w:r w:rsidRPr="00C020B8">
        <w:t>–</w:t>
      </w:r>
      <w:r w:rsidRPr="00C020B8">
        <w:tab/>
        <w:t>s ohledem na nařízení Komise v přenesené pravomoci (EU) 2019/715 ze dne 18. prosince 2018 o rámcovém finančním nařízení pro subjekty zřízené podle S</w:t>
      </w:r>
      <w:r w:rsidR="008719B7">
        <w:t xml:space="preserve">mlouvy o fungování </w:t>
      </w:r>
      <w:r w:rsidRPr="00C020B8">
        <w:t>E</w:t>
      </w:r>
      <w:r w:rsidR="008719B7">
        <w:t>vropské unie</w:t>
      </w:r>
      <w:r w:rsidRPr="00C020B8">
        <w:t xml:space="preserve"> a Smlouvy o Euratomu a uvedené v článku 70 nařízení Evropského parlamentu a Rady (EU, Euratom) 2018/1046</w:t>
      </w:r>
      <w:r w:rsidRPr="00C020B8">
        <w:rPr>
          <w:rStyle w:val="FootnoteReference"/>
        </w:rPr>
        <w:footnoteReference w:id="10"/>
      </w:r>
      <w:r w:rsidRPr="00C020B8">
        <w:t>, a zejména na jeho článek 105,</w:t>
      </w:r>
    </w:p>
    <w:p w:rsidR="000945E7" w:rsidRPr="00C020B8" w:rsidRDefault="000945E7">
      <w:pPr>
        <w:pStyle w:val="NormalHanging12a"/>
      </w:pPr>
      <w:r w:rsidRPr="00C020B8">
        <w:t>–</w:t>
      </w:r>
      <w:r w:rsidRPr="00C020B8">
        <w:tab/>
        <w:t>s ohledem na článek 100 a přílohu V jednacího řádu,</w:t>
      </w:r>
    </w:p>
    <w:p w:rsidR="000945E7" w:rsidRPr="00C020B8" w:rsidRDefault="000945E7">
      <w:pPr>
        <w:pStyle w:val="NormalHanging12a"/>
      </w:pPr>
      <w:r w:rsidRPr="00C020B8">
        <w:t>–</w:t>
      </w:r>
      <w:r w:rsidRPr="00C020B8">
        <w:tab/>
        <w:t>s ohledem na stanovisko Výboru pro dopravu a cestovní ruch,</w:t>
      </w:r>
    </w:p>
    <w:p w:rsidR="000945E7" w:rsidRPr="00C020B8" w:rsidRDefault="000945E7">
      <w:pPr>
        <w:pStyle w:val="NormalHanging12a"/>
      </w:pPr>
      <w:r w:rsidRPr="00C020B8">
        <w:t>–</w:t>
      </w:r>
      <w:r w:rsidRPr="00C020B8">
        <w:tab/>
        <w:t>s ohledem na zprávu Výboru pro rozpočtovou kontrolu (A9</w:t>
      </w:r>
      <w:r w:rsidRPr="00C020B8">
        <w:noBreakHyphen/>
        <w:t>0092/2024),</w:t>
      </w:r>
    </w:p>
    <w:p w:rsidR="000945E7" w:rsidRPr="00C020B8" w:rsidRDefault="000945E7">
      <w:pPr>
        <w:pStyle w:val="NormalHanging12a"/>
      </w:pPr>
      <w:r w:rsidRPr="00C020B8">
        <w:t>1.</w:t>
      </w:r>
      <w:r w:rsidRPr="00C020B8">
        <w:tab/>
        <w:t>schvaluje uzavření účtů Agentury Evropské unie pro železnice za rozpočtový rok 2022;</w:t>
      </w:r>
    </w:p>
    <w:p w:rsidR="000945E7" w:rsidRPr="00C020B8" w:rsidRDefault="000945E7">
      <w:pPr>
        <w:pStyle w:val="NormalHanging12a"/>
      </w:pPr>
      <w:r w:rsidRPr="00C020B8">
        <w:t>2.</w:t>
      </w:r>
      <w:r w:rsidRPr="00C020B8">
        <w:tab/>
        <w:t xml:space="preserve">pověřuje svou předsedkyni, aby předala toto rozhodnutí výkonnému řediteli Agentury </w:t>
      </w:r>
      <w:r w:rsidRPr="00C020B8">
        <w:lastRenderedPageBreak/>
        <w:t>Evropské unie pro železnice, Radě, Komisi a Účetnímu dvoru a aby zajistila jeho zveřejnění v </w:t>
      </w:r>
      <w:r w:rsidRPr="00C020B8">
        <w:rPr>
          <w:i/>
        </w:rPr>
        <w:t>Úředním věstníku Evropské unie</w:t>
      </w:r>
      <w:r w:rsidRPr="00C020B8">
        <w:t xml:space="preserve"> (řada L).</w:t>
      </w:r>
    </w:p>
    <w:p w:rsidR="000945E7" w:rsidRPr="00C020B8" w:rsidRDefault="000945E7"/>
    <w:p w:rsidR="000945E7" w:rsidRPr="00C020B8" w:rsidRDefault="000945E7">
      <w:pPr>
        <w:widowControl/>
        <w:rPr>
          <w:rFonts w:ascii="Arial" w:hAnsi="Arial" w:cs="Arial"/>
          <w:b/>
        </w:rPr>
        <w:sectPr w:rsidR="000945E7" w:rsidRPr="00C020B8" w:rsidSect="00C020B8">
          <w:footnotePr>
            <w:numRestart w:val="eachPage"/>
          </w:footnotePr>
          <w:endnotePr>
            <w:numFmt w:val="decimal"/>
          </w:endnotePr>
          <w:pgSz w:w="11906" w:h="16838"/>
          <w:pgMar w:top="1134" w:right="1418" w:bottom="1418" w:left="1418" w:header="567" w:footer="567" w:gutter="0"/>
          <w:cols w:space="720"/>
          <w:docGrid w:linePitch="326"/>
        </w:sectPr>
      </w:pPr>
    </w:p>
    <w:p w:rsidR="000945E7" w:rsidRPr="00C020B8" w:rsidRDefault="000945E7">
      <w:pPr>
        <w:pStyle w:val="ATHeading3"/>
      </w:pPr>
      <w:bookmarkStart w:id="10" w:name="_Toc146791292"/>
      <w:bookmarkStart w:id="11" w:name="_Toc161846198"/>
      <w:r w:rsidRPr="00C020B8">
        <w:lastRenderedPageBreak/>
        <w:t xml:space="preserve">3. </w:t>
      </w:r>
      <w:r w:rsidR="00691DC7" w:rsidRPr="00C020B8">
        <w:t>Usnesení Evropského parlamentu</w:t>
      </w:r>
      <w:bookmarkEnd w:id="10"/>
      <w:bookmarkEnd w:id="11"/>
      <w:r w:rsidR="00691DC7">
        <w:t xml:space="preserve"> </w:t>
      </w:r>
      <w:r w:rsidR="00691DC7" w:rsidRPr="00C020B8">
        <w:t xml:space="preserve">ze dne 11. dubna 2024 </w:t>
      </w:r>
      <w:r w:rsidRPr="00C020B8">
        <w:t>obsahující připomínky, které jsou nedílnou součástí rozhodnutí o udělení absolutoria za plnění rozpočtu Agentury Evropské unie pro železnice na rozpočtový rok 2022</w:t>
      </w:r>
      <w:r w:rsidR="00691DC7">
        <w:t xml:space="preserve"> </w:t>
      </w:r>
      <w:r w:rsidRPr="00C020B8">
        <w:t>(2023/2160(DEC))</w:t>
      </w:r>
    </w:p>
    <w:p w:rsidR="000945E7" w:rsidRPr="00C020B8" w:rsidRDefault="000945E7">
      <w:pPr>
        <w:pStyle w:val="EPComma"/>
      </w:pPr>
      <w:r w:rsidRPr="00C020B8">
        <w:rPr>
          <w:i/>
        </w:rPr>
        <w:t>Evropský parlament</w:t>
      </w:r>
      <w:r w:rsidRPr="00C020B8">
        <w:t>,</w:t>
      </w:r>
    </w:p>
    <w:p w:rsidR="000945E7" w:rsidRPr="00C020B8" w:rsidRDefault="000945E7">
      <w:pPr>
        <w:pStyle w:val="NormalHanging12a"/>
      </w:pPr>
      <w:r w:rsidRPr="00C020B8">
        <w:t>–</w:t>
      </w:r>
      <w:r w:rsidRPr="00C020B8">
        <w:tab/>
        <w:t>s ohledem na své rozhodnutí o udělení absolutoria za plnění rozpočtu Agentury Evropské unie pro železnice na rozpočtový rok 2022,</w:t>
      </w:r>
    </w:p>
    <w:p w:rsidR="000945E7" w:rsidRPr="00C020B8" w:rsidRDefault="000945E7">
      <w:pPr>
        <w:pStyle w:val="NormalHanging12a"/>
      </w:pPr>
      <w:r w:rsidRPr="00C020B8">
        <w:t>–</w:t>
      </w:r>
      <w:r w:rsidRPr="00C020B8">
        <w:tab/>
        <w:t>s ohledem na článek 100 a přílohu V jednacího řádu,</w:t>
      </w:r>
    </w:p>
    <w:p w:rsidR="000945E7" w:rsidRPr="00C020B8" w:rsidRDefault="000945E7">
      <w:pPr>
        <w:pStyle w:val="NormalHanging12a"/>
      </w:pPr>
      <w:r w:rsidRPr="00C020B8">
        <w:t>–</w:t>
      </w:r>
      <w:r w:rsidRPr="00C020B8">
        <w:tab/>
        <w:t>s ohledem na stanovisko Výboru pro dopravu a cestovní ruch,</w:t>
      </w:r>
    </w:p>
    <w:p w:rsidR="000945E7" w:rsidRPr="00C020B8" w:rsidRDefault="000945E7">
      <w:pPr>
        <w:pStyle w:val="NormalHanging12a"/>
      </w:pPr>
      <w:r w:rsidRPr="00C020B8">
        <w:t>–</w:t>
      </w:r>
      <w:r w:rsidRPr="00C020B8">
        <w:tab/>
        <w:t>s ohledem na zprávu Výboru pro rozpočtovou kontrolu (A9</w:t>
      </w:r>
      <w:r w:rsidRPr="00C020B8">
        <w:noBreakHyphen/>
        <w:t>0092/2024),</w:t>
      </w:r>
    </w:p>
    <w:p w:rsidR="000945E7" w:rsidRPr="00C020B8" w:rsidRDefault="000945E7">
      <w:pPr>
        <w:spacing w:after="240"/>
        <w:ind w:left="567" w:hanging="567"/>
        <w:rPr>
          <w:szCs w:val="24"/>
        </w:rPr>
      </w:pPr>
      <w:r w:rsidRPr="00C020B8">
        <w:t>A.</w:t>
      </w:r>
      <w:r w:rsidRPr="00C020B8">
        <w:tab/>
        <w:t>vzhledem k tomu, že podle výkazu příjmů a výdajů</w:t>
      </w:r>
      <w:r w:rsidRPr="00C020B8">
        <w:rPr>
          <w:rStyle w:val="FootnoteReference"/>
          <w:szCs w:val="24"/>
        </w:rPr>
        <w:footnoteReference w:id="11"/>
      </w:r>
      <w:r w:rsidRPr="00C020B8">
        <w:t xml:space="preserve"> Evropské agentury pro železnice (dále jen „agentura“) dosahoval její konečný rozpočet na rozpočtový rok 2022 výše 34 814 691 EUR, což ve srovnání s rokem 2021 představuje nárůst o 9,38 %; vzhledem k tomu, že rozpočet agentury pochází převážně z rozpočtu Unie;</w:t>
      </w:r>
    </w:p>
    <w:p w:rsidR="000945E7" w:rsidRPr="00C020B8" w:rsidRDefault="000945E7">
      <w:pPr>
        <w:spacing w:after="240"/>
        <w:ind w:left="567" w:hanging="567"/>
        <w:rPr>
          <w:szCs w:val="24"/>
        </w:rPr>
      </w:pPr>
      <w:r w:rsidRPr="00C020B8">
        <w:t>B.</w:t>
      </w:r>
      <w:r w:rsidRPr="00C020B8">
        <w:tab/>
        <w:t>vzhledem k tomu, že Účetní dvůr ve své zprávě o roční účetní závěrce agentury za rozpočtový rok 2022 (dále jen „zpráva Účetního dvora“) prohlásil, že získal přiměřenou jistotu, že účetní závěrka agentury je spolehlivá a uskutečněné operace jsou legální a správné;</w:t>
      </w:r>
    </w:p>
    <w:p w:rsidR="000945E7" w:rsidRPr="00C020B8" w:rsidRDefault="000945E7">
      <w:pPr>
        <w:spacing w:after="240"/>
        <w:ind w:left="567" w:hanging="567"/>
        <w:rPr>
          <w:b/>
          <w:i/>
          <w:szCs w:val="24"/>
        </w:rPr>
      </w:pPr>
      <w:r w:rsidRPr="00C020B8">
        <w:rPr>
          <w:b/>
          <w:i/>
        </w:rPr>
        <w:t>Rozpočtové a finanční řízení</w:t>
      </w:r>
    </w:p>
    <w:p w:rsidR="000945E7" w:rsidRPr="00C020B8" w:rsidRDefault="000945E7">
      <w:pPr>
        <w:spacing w:after="240"/>
        <w:ind w:left="567" w:hanging="567"/>
        <w:rPr>
          <w:szCs w:val="24"/>
        </w:rPr>
      </w:pPr>
      <w:r w:rsidRPr="00C020B8">
        <w:t>1.</w:t>
      </w:r>
      <w:r w:rsidRPr="00C020B8">
        <w:tab/>
        <w:t>s uznáním konstatuje, že díky úsilí v oblasti monitorování rozpočtu v rozpočtovém roce 2022 dosáhla míra plnění rozpočtu v běžném roce 99,95 %, což oproti roku 2021 představuje mírný nárůst o 0,13 %; dále konstatuje, že míra čerpání prostředků na platby na běžný rok dosáhla 94,97 %, což ve srovnání s rokem 2021 představuje nárůst o 1,43 %; konstatuje, že výsledek plnění rozpočtu v roce 2022 činil 81 821 EUR v porovnání s výsledkem z roku 2021 ve výši 69 638 EUR;</w:t>
      </w:r>
    </w:p>
    <w:p w:rsidR="000945E7" w:rsidRPr="00C020B8" w:rsidRDefault="000945E7">
      <w:pPr>
        <w:spacing w:after="240"/>
        <w:ind w:left="567" w:hanging="567"/>
        <w:rPr>
          <w:szCs w:val="24"/>
        </w:rPr>
      </w:pPr>
      <w:r w:rsidRPr="00C020B8">
        <w:t>2.</w:t>
      </w:r>
      <w:r w:rsidRPr="00C020B8">
        <w:tab/>
        <w:t>uznává, že hlavní dopad na plnění rozpočtu v roce 2022 měly globální vnější faktory, jako je nestálý geopolitický kontext a energetická krize, jejichž důsledkem byla vysoká míra nestability, která vedla k nepředvídatelnému zvýšení nákladů agentury; konstatuje, že agentura zavedla přísná opatření ke kontrole výdajů, upravila výši poplatků a plateb (tj. hodinová sazba byla zvýšena a pravidelně upravována podle míry inflace) a zavedla pravidelné monitorování plnění rozpočtu a spolu s tím i několik nástrojů pro plánování a monitorování, které umožňují tento proces automatizovat;</w:t>
      </w:r>
    </w:p>
    <w:p w:rsidR="000945E7" w:rsidRPr="00C020B8" w:rsidRDefault="000945E7">
      <w:pPr>
        <w:spacing w:after="240"/>
        <w:ind w:left="567" w:hanging="567"/>
        <w:rPr>
          <w:szCs w:val="24"/>
        </w:rPr>
      </w:pPr>
      <w:r w:rsidRPr="00C020B8">
        <w:t>3.</w:t>
      </w:r>
      <w:r w:rsidRPr="00C020B8">
        <w:tab/>
        <w:t xml:space="preserve">konstatuje, že agentura se spolu s Komisí účastní pilotní fáze zavádění nového systému SUMMA, který má nahradit její rozpočtový a účetní systém; na základě zprávy Účetního dvora v této souvislosti poukazuje na vady a nedostatky na straně agentury, jako je zejména chybějící strategie řízení rizik a kontroly zavádění nového systému, neaktualizované finanční okruhy a strategie kontrol </w:t>
      </w:r>
      <w:r w:rsidRPr="00DB712C">
        <w:rPr>
          <w:i/>
        </w:rPr>
        <w:t xml:space="preserve">ex ante </w:t>
      </w:r>
      <w:r w:rsidRPr="00D60E36">
        <w:t xml:space="preserve">a </w:t>
      </w:r>
      <w:r w:rsidRPr="00DB712C">
        <w:rPr>
          <w:i/>
        </w:rPr>
        <w:t>ex post</w:t>
      </w:r>
      <w:r w:rsidRPr="00C020B8">
        <w:t xml:space="preserve"> a neprověřování oprávnění k přiřazování uživatelských rolí; na základě odpovědí agentury na </w:t>
      </w:r>
      <w:r w:rsidRPr="00C020B8">
        <w:lastRenderedPageBreak/>
        <w:t xml:space="preserve">připomínky Účetního dvora bere na vědomí, že v souladu s přirozenou křivkou učení byla proaktivně přijata zmírňující opatření, jako je mimo jiné ve druhé polovině roku 2022 zahájená aktualizace finančních okruhů agentury a strategií kontrol </w:t>
      </w:r>
      <w:r w:rsidRPr="00DB712C">
        <w:rPr>
          <w:i/>
        </w:rPr>
        <w:t xml:space="preserve">ex ante </w:t>
      </w:r>
      <w:r w:rsidRPr="00D60E36">
        <w:t>a</w:t>
      </w:r>
      <w:r w:rsidRPr="00DB712C">
        <w:rPr>
          <w:i/>
        </w:rPr>
        <w:t xml:space="preserve"> ex pos</w:t>
      </w:r>
      <w:r w:rsidRPr="00C020B8">
        <w:t>t s tím, že příslušné dokumenty by měly být aktualizovány v roce 2023; vyzývá agenturu, aby se zabývala všemi připomínkami Účetního dvora a aby orgán příslušný k udělení absolutoria informovala o pokroku v této věci;</w:t>
      </w:r>
    </w:p>
    <w:p w:rsidR="000945E7" w:rsidRPr="00C020B8" w:rsidRDefault="000945E7">
      <w:pPr>
        <w:spacing w:after="240"/>
        <w:ind w:left="567" w:hanging="567"/>
        <w:rPr>
          <w:szCs w:val="24"/>
        </w:rPr>
      </w:pPr>
      <w:r w:rsidRPr="00C020B8">
        <w:t>4.</w:t>
      </w:r>
      <w:r w:rsidRPr="00C020B8">
        <w:tab/>
        <w:t>bere na vědomí připomínku Účetního dvora ohledně toho, že agentura nedodržela lhůtu stanovenou ve finančním nařízení pro provádění plateb, přičemž 12,2 % plateb bylo v roce 2022 opožděno o více než 30 dnů; bere na vědomí postoj agentury, že tato zpoždění byla spojena se zaváděním nového systému SUMMA a že mezitím byla zavedena opatření, která mají platebním prodlevám zabránit;</w:t>
      </w:r>
    </w:p>
    <w:p w:rsidR="000945E7" w:rsidRPr="00C020B8" w:rsidRDefault="000945E7">
      <w:pPr>
        <w:spacing w:after="240"/>
        <w:ind w:left="567" w:hanging="567"/>
        <w:rPr>
          <w:szCs w:val="24"/>
        </w:rPr>
      </w:pPr>
      <w:r w:rsidRPr="00C020B8">
        <w:t>5.</w:t>
      </w:r>
      <w:r w:rsidRPr="00C020B8">
        <w:tab/>
        <w:t xml:space="preserve">konstatuje rovněž, že také při vystavování faktur (či „výzev k úhradě“) na související poplatky a jiné účtované částky docházelo na straně agentury k prodlevám, které agentura rovněž připisuje zavádění nového systému SUMMA, jakož i k prodlevám při přijímání výkazů nákladů od vnitrostátních bezpečnostních orgánů, což je v rozporu s příslušnými články finančního nařízení a nařízení </w:t>
      </w:r>
      <w:r w:rsidR="00FD2C90">
        <w:t>(E</w:t>
      </w:r>
      <w:r w:rsidR="00447057">
        <w:t>U</w:t>
      </w:r>
      <w:bookmarkStart w:id="12" w:name="_GoBack"/>
      <w:bookmarkEnd w:id="12"/>
      <w:r w:rsidR="00FD2C90">
        <w:t xml:space="preserve">) </w:t>
      </w:r>
      <w:r w:rsidRPr="00C020B8">
        <w:t>2018/764 o poplatcích a platbách agentury; na základě odpovědí agentury na připomínky Účetního dvora bere na vědomí, že pokud by vnitrostátní bezpečnostní orgány předložily agentuře své výkazy nákladů včas, bylo by možné se těmto prodlevám vyhnout nebo je zkrátit, ale agentura nemá žádný nástroj k zajištění toho, aby vnitrostátní bezpečnostní orgány dodržovaly lhůty;</w:t>
      </w:r>
    </w:p>
    <w:p w:rsidR="000945E7" w:rsidRPr="00C020B8" w:rsidRDefault="000945E7" w:rsidP="00DB712C">
      <w:pPr>
        <w:pStyle w:val="NormalHanging12a"/>
      </w:pPr>
      <w:r w:rsidRPr="00C020B8">
        <w:t>6.</w:t>
      </w:r>
      <w:r w:rsidRPr="00C020B8">
        <w:tab/>
        <w:t>připomíná, že i přes mimořádné přínosy železniční dopravy pro životní prostředí, což je jednou z priorit Komise, má agentura nejmenší rozpočet ze všech dopravních agentur; s potěšením bere na vědomí navýšení v rozpočtovém roce 2022 a úsilí o zvýšení konkurenceschopnosti, zlepšení bezpečnosti a podporu přeshraniční interoperability; vyzývá nicméně k navýšení rozpočtu agentury, aby měla nezbytné zdroje k řádnému fungování a účinnému plnění svých úkolů;</w:t>
      </w:r>
    </w:p>
    <w:p w:rsidR="000945E7" w:rsidRPr="00C020B8" w:rsidRDefault="000945E7" w:rsidP="005269A6">
      <w:pPr>
        <w:spacing w:after="240"/>
        <w:ind w:left="567" w:hanging="567"/>
        <w:rPr>
          <w:b/>
          <w:i/>
          <w:szCs w:val="24"/>
        </w:rPr>
      </w:pPr>
      <w:r w:rsidRPr="00C020B8">
        <w:rPr>
          <w:b/>
          <w:i/>
        </w:rPr>
        <w:t>Výkonnost</w:t>
      </w:r>
    </w:p>
    <w:p w:rsidR="000945E7" w:rsidRPr="00C020B8" w:rsidRDefault="000945E7" w:rsidP="005269A6">
      <w:pPr>
        <w:spacing w:after="240"/>
        <w:ind w:left="567" w:hanging="567"/>
        <w:rPr>
          <w:szCs w:val="24"/>
        </w:rPr>
      </w:pPr>
      <w:r w:rsidRPr="00C020B8">
        <w:t>7.</w:t>
      </w:r>
      <w:r w:rsidRPr="00C020B8">
        <w:tab/>
        <w:t xml:space="preserve">konstatuje, že agentura podle své zprávy splnila svůj roční pracovní program na rok 2022 z 81,13 % oproti 76,41 % v roce 2021, což je vítaný nárůst již druhý rok v řadě; konstatuje, že v roce 2022 přijala agentura novou strukturu svého pracovního programu, a přešla tak od pracovního programu založeného na činnostech k pracovnímu programu založenému na strategickém prohlášení, a že spustila novou platformu pro podávání měsíční zpráv o všech projektech a službách a nový monitorovací přehled; konstatuje, že roční pracovní program obsahuje 9 strategických prohlášení, která byla vypracována se zřetelem na dopady na společnost, kterých chce agentura dosáhnout; bere na vědomí, že agentura v roce 2022 úspěšně splnila svá strategická prohlášení a že se jí u jednotlivých výstupů a stanovených klíčových ukazatelů výkonnosti podařilo dosáhnout vysoké míry plnění stanovení cílů; konstatuje však, že některých klíčových ukazatelů výkonnosti dosaženo nebylo, jako je například zahájení „studie fáze 3“ týkající se nové budovy agentury ve </w:t>
      </w:r>
      <w:proofErr w:type="spellStart"/>
      <w:r w:rsidRPr="00C020B8">
        <w:t>Valenciennes</w:t>
      </w:r>
      <w:proofErr w:type="spellEnd"/>
      <w:r w:rsidRPr="00C020B8">
        <w:t>, zavedení nového systému (ARES) pro správu dokumentů, dodržování smluvně stanovených platebních lhůt v souvislosti se zahájením pilotní fáze zavádění nového finančního systému (SUMMA) a iniciativy Ženy v dopravě;</w:t>
      </w:r>
    </w:p>
    <w:p w:rsidR="000945E7" w:rsidRPr="00C020B8" w:rsidRDefault="000945E7" w:rsidP="005269A6">
      <w:pPr>
        <w:spacing w:after="240"/>
        <w:ind w:left="567" w:hanging="567"/>
      </w:pPr>
      <w:r w:rsidRPr="00C020B8">
        <w:t>8.</w:t>
      </w:r>
      <w:r w:rsidRPr="00C020B8">
        <w:tab/>
        <w:t xml:space="preserve">bere na vědomí některé významné úspěchy agentury v roce 2022, jako je přijetí akčního </w:t>
      </w:r>
      <w:r w:rsidRPr="00C020B8">
        <w:lastRenderedPageBreak/>
        <w:t>plánu pro zlepšení výsledků (SAP) na období 2023–2027, včasné dodání výrazně vyššího počtu povolení vozidel (1 861) a jednotných osvědčení o bezpečnosti (66), finalizace doporučení agentury k balíčku revize TSI 2022, který podpoří posílení interoperability železnic v celé Unii, zahájení druhého cyklu monitorovacího auditu vnitrostátních bezpečnostních orgánů, který zahrnuje všechny úkoly, které vnitrostátním bezpečnostním orgánům ukládají právní předpisy Unie, předložení mimořádně vysokého počtu zpráv (osm namísto tří očekávaných) v oblasti monitorování oznámených subjektů a práce na první zprávě agentury, která je založena na výsledcích průzkumu v oblasti bezpečnostního klimatu (který byl zahájen v roce 2021 a v jehož rámci bylo shromážděno 46 500 odpovědí); oceňuje agenturu za vývoj modulů bezpečnostních školení o spravedlivém posuzování, která mají zvýšit bezpečnost v celém odvětví, a za její úspěchy (soubor nástrojů, pokyny a školicí materiály, opatření zaměřená na zvyšování informovanosti, moduly školení) s ohledem na integraci lidských a organizačních faktorů, které pomohou zlepšit výkonnost a efektivitu v oblasti železniční bezpečnosti;</w:t>
      </w:r>
    </w:p>
    <w:p w:rsidR="000945E7" w:rsidRPr="00C020B8" w:rsidRDefault="000945E7" w:rsidP="005269A6">
      <w:pPr>
        <w:pStyle w:val="NormalHanging12a"/>
      </w:pPr>
      <w:r w:rsidRPr="00C020B8">
        <w:t>9.</w:t>
      </w:r>
      <w:r w:rsidRPr="00C020B8">
        <w:tab/>
        <w:t>zdůrazňuje, že je důležité i nadále podporovat všechny iniciativy zaměřené na lepší společné chápání technických specifikací pro interoperabilitu (TSI), které přispěje k rozvoji silného a konkurenceschopného evropského železničního průmyslu; trvá na větší podpoře inovací v železniční nákladní dopravě a intermodální dopravě, aby byla zajištěna její konkurenceschopná integrace do logistického hodnotového řetězce s automatizací a digitalizací nákladní železniční dopravy;</w:t>
      </w:r>
    </w:p>
    <w:p w:rsidR="000945E7" w:rsidRPr="00C020B8" w:rsidRDefault="000945E7">
      <w:pPr>
        <w:spacing w:after="240"/>
        <w:ind w:left="567" w:hanging="567"/>
      </w:pPr>
      <w:r w:rsidRPr="00C020B8">
        <w:t>10.</w:t>
      </w:r>
      <w:r w:rsidRPr="00C020B8">
        <w:tab/>
        <w:t>vítá zprávu o bezpečnosti a interoperabilitě železnic v EU; bere na vědomí, že agentura stále usiluje o vytvoření jednotného evropského železničního prostoru a soustavně pracuje na klíčových oblastech, jako je omezování vnitrostátních předpisů a zajišťování vyspělosti technických specifikací pro interoperabilitu; konstatuje, že tato důležitá práce pomůže zvýšit interoperabilitu železnic v celé Evropě v souladu s politickými očekáváními Komise; vítá další příspěvek agentury v oblasti vnitrostátních předpisů spočívající v tom, že v roce 2022 vyřešila problém zbývajících vnitrostátních (českých a nizozemských) technických předpisů, které představovaly překážky pro hladký železniční provoz;</w:t>
      </w:r>
    </w:p>
    <w:p w:rsidR="000945E7" w:rsidRPr="00C020B8" w:rsidRDefault="000945E7" w:rsidP="00DB712C">
      <w:pPr>
        <w:pStyle w:val="NormalHanging12a"/>
      </w:pPr>
      <w:r w:rsidRPr="00C020B8">
        <w:t>11.</w:t>
      </w:r>
      <w:r w:rsidRPr="00C020B8">
        <w:tab/>
        <w:t>oceňuje aktivní reakci agentury na doporučení uvedená v připomínce z předchozího roku a naléhavě agenturu vyzývá, aby u žadatelů účinně ověřovala status malých a středních podniků; vítá zavedení posílených kontrol pro ověřování statusu malých a středních podniků v případě žádostí o jednotná bezpečnostní osvědčení a povolení vozidel; poznamenává, že agentura stála v čele několika iniciativ, jež měly za cíl oživit železniční dopravu (osobní i nákladní), včetně opatření pro koordinaci mezinárodní železniční dopravy a rozvoje nových technologií, jako je automatizace vlaků, které podporují soudržnost a pomáhají stimulovat hospodářství EU a ekologickou a digitální transformaci; s potěšením bere na vědomí, že řídící skupina pro železniční balíček úspěšně pokračovala v hodnocení připravenosti agentury na čtvrtý železniční balíček;</w:t>
      </w:r>
    </w:p>
    <w:p w:rsidR="000945E7" w:rsidRPr="00C020B8" w:rsidRDefault="000945E7" w:rsidP="00DB712C">
      <w:pPr>
        <w:pStyle w:val="NormalHanging12a"/>
      </w:pPr>
      <w:r w:rsidRPr="00C020B8">
        <w:t>12.</w:t>
      </w:r>
      <w:r w:rsidRPr="00C020B8">
        <w:tab/>
        <w:t xml:space="preserve">zdůrazňuje, že nezákonná a bezdůvodná válečná agrese Ruska vůči Ukrajině názorně ukázala, že železnice může sehrát zásadní roli; konstatuje, že železnice od invaze na Ukrajinu významně usnadňuje pohyb osob a zboží, zejména po uzavření ukrajinského vzdušného prostoru pro civilní letectví; poukazuje na to, že po ukrajinské železnici jsou přepravováni vojáci, klíčoví pracovníci, místní obyvatelé i řada životně důležitého zboží, jako jsou zemědělské produkty; bere na vědomí, že agentura napomohla spolupráci EU a Ukrajiny na zvýšení odolnosti a rozvoji železničních spojení a že </w:t>
      </w:r>
      <w:r w:rsidRPr="00C020B8">
        <w:lastRenderedPageBreak/>
        <w:t>Ukrajině a zemím po celém světě pomáhala hledat další způsoby, jak zvýšit objem ukrajinských potravin přepravovaných po železnici;</w:t>
      </w:r>
    </w:p>
    <w:p w:rsidR="000945E7" w:rsidRPr="00C020B8" w:rsidRDefault="000945E7" w:rsidP="005269A6">
      <w:pPr>
        <w:spacing w:after="240"/>
        <w:ind w:left="567" w:hanging="567"/>
        <w:rPr>
          <w:b/>
          <w:i/>
          <w:szCs w:val="24"/>
        </w:rPr>
      </w:pPr>
      <w:r w:rsidRPr="00C020B8">
        <w:rPr>
          <w:b/>
          <w:i/>
        </w:rPr>
        <w:t>Efektivita a zisky</w:t>
      </w:r>
    </w:p>
    <w:p w:rsidR="000945E7" w:rsidRPr="00C020B8" w:rsidRDefault="000945E7" w:rsidP="005269A6">
      <w:pPr>
        <w:spacing w:after="240"/>
        <w:ind w:left="567" w:hanging="567"/>
        <w:rPr>
          <w:szCs w:val="24"/>
        </w:rPr>
      </w:pPr>
      <w:r w:rsidRPr="00C020B8">
        <w:t>13.</w:t>
      </w:r>
      <w:r w:rsidRPr="00C020B8">
        <w:tab/>
        <w:t>oceňuje agenturu za to, že v roce 2022 přijala plán pro zlepšení výsledků (SP) a akční plán pro zlepšení výsledků (SAP) na období 2023–2027; konstatuje, že akční plán pro zlepšení výsledků (SAP) je organizován podle složek a cílů a že tvoří hlavní součást strategie agentury pro zvyšování efektivity v nadcházejících pěti letech; konstatuje, že pro akční plán pro zlepšení výsledků (SAP) a jeho milníky byla v rámci agentury zřízena interní pracovní skupina a že bude jmenován zpravodaj, který bude podporovat, řídit a monitorovat plnění tohoto plánu;</w:t>
      </w:r>
    </w:p>
    <w:p w:rsidR="000945E7" w:rsidRPr="00C020B8" w:rsidRDefault="000945E7" w:rsidP="005269A6">
      <w:pPr>
        <w:spacing w:after="240"/>
        <w:ind w:left="567" w:hanging="567"/>
      </w:pPr>
      <w:r w:rsidRPr="00C020B8">
        <w:t>14.</w:t>
      </w:r>
      <w:r w:rsidRPr="00C020B8">
        <w:tab/>
        <w:t>konstatuje, že agentura v roce 2022 mohla díky akčnímu plánu pro zlepšení výsledků (SAP) přijmout dalších 12 dočasných zaměstnanců, což představuje nárůst, který může vytvořit dobrý základ pro to, aby agentura mohla pokračovat v plnění plánu pro zlepšení výsledků (SP); vyjadřuje politování nad tím, že přidělení pracovních míst nebylo spojeno s přidělením odpovídajících dotací, což spolu s mimořádnou valorizací platů a obecným zvýšením cen za veřejné služby způsobilo další omezení v plánování práce a zdrojů agentury, přičemž na rok 2022 bylo zaznamenáno několik negativních priorit, jako je práce na každoročním přezkumu výkonnosti vnitrostátních bezpečnostních orgánů či vývoj systému pro sdílení informací o bezpečnostních událostech v Evropě;</w:t>
      </w:r>
    </w:p>
    <w:p w:rsidR="000945E7" w:rsidRPr="00C020B8" w:rsidRDefault="000945E7">
      <w:pPr>
        <w:spacing w:after="240"/>
        <w:ind w:left="567" w:hanging="567"/>
        <w:rPr>
          <w:szCs w:val="24"/>
        </w:rPr>
      </w:pPr>
      <w:r w:rsidRPr="00C020B8">
        <w:t>15.</w:t>
      </w:r>
      <w:r w:rsidRPr="00C020B8">
        <w:tab/>
        <w:t xml:space="preserve">konstatuje, že na základě průběžného prověřování služeb poskytovaných agenturami a útvary Komise se ukázalo, že existují „možnosti sdílení“ nabízející prostor pro spolupráci, kterou agentura postupně zavádí v oblasti pořádání schůzí, bezpečnosti IT, lidských zdrojů (např. mzdy a řízení individuálních nároků zaměstnanců, vyšetřování případů obtěžování), zadávání veřejných zakázek (např. v podobě </w:t>
      </w:r>
      <w:proofErr w:type="spellStart"/>
      <w:r w:rsidRPr="00C020B8">
        <w:t>meziagenturních</w:t>
      </w:r>
      <w:proofErr w:type="spellEnd"/>
      <w:r w:rsidRPr="00C020B8">
        <w:t xml:space="preserve"> nabídkových řízení, sdílených rámcových smluv), překladů a účetnictví; konstatuje, že v roce 2022 agentura uzavřela memorandum o spolupráci s Agenturou Evropské unie pro bezpečnost letectví (EASA), kterým se zavádí pravidelný strukturovaný dialog mezi těmito dvěma agenturami a rozšiřuje sdílení informací, znalostí a zkušeností v různých oblastech spolupráce, včetně prozkoumání možnosti úpravy jednoho ze stávajících IT řešení v odvětví letectví (Evropské koordinační centrum pro systémy hlášení nehod a incidentů), aby odpovídalo systému sdílení železničních informací pro sběr a analýzu hlášení událostí v oblasti bezpečnosti železnic; vyzývá agenturu, aby orgán příslušný k udělení absolutoria o výsledcích této průzkumné fáze informovala;</w:t>
      </w:r>
    </w:p>
    <w:p w:rsidR="000945E7" w:rsidRPr="00C020B8" w:rsidRDefault="000945E7">
      <w:pPr>
        <w:spacing w:after="240"/>
        <w:ind w:left="567" w:hanging="567"/>
        <w:rPr>
          <w:szCs w:val="24"/>
        </w:rPr>
      </w:pPr>
      <w:r w:rsidRPr="00C020B8">
        <w:t>16.</w:t>
      </w:r>
      <w:r w:rsidRPr="00C020B8">
        <w:tab/>
        <w:t xml:space="preserve">konstatuje, že v roce 2022 byla vypracována a zveřejněna první strategie agentury pro environmentální řízení, která je součástí jednotného programového dokumentu agentury na období 2023–2025; oceňuje agenturu za to, že na konci roku 2022 již předvídala a uskutečnila některé iniciativy a opatření, jako je snížení teploty v budově, oprava/nahrazení vadných senzorů, aby se vyřešil problém s tím, že v některých kancelářích se stále svítilo, úprava nastavení automatického vypínání osvětlení a zřízení (dobrovolnické) skupiny agentury ERA, která bude mít iniciativu v oblasti šíření informací, shromažďování nápadů a urychlování činností v oblasti životního prostředí; na základě zprávy Účetního dvora s uspokojením konstatuje, že agentura patří mezi agentury, které mají v plánu zlepšit energetickou účinnost a klimatickou neutralitu svých činností; vybízí agenturu, aby do tohoto plánu zahrnula kvantifikované výchozí hodnoty a cíle pro omezení uhlíkové stopy a spotřeby energie a aby zajistila, že její nová budova ve </w:t>
      </w:r>
      <w:proofErr w:type="spellStart"/>
      <w:r w:rsidRPr="00C020B8">
        <w:t>Valenciennes</w:t>
      </w:r>
      <w:proofErr w:type="spellEnd"/>
      <w:r w:rsidRPr="00C020B8">
        <w:t xml:space="preserve"> bude mít certifikát EMAS;</w:t>
      </w:r>
    </w:p>
    <w:p w:rsidR="000945E7" w:rsidRPr="00C020B8" w:rsidRDefault="000945E7">
      <w:pPr>
        <w:pStyle w:val="NormalHanging12a"/>
      </w:pPr>
      <w:r w:rsidRPr="00C020B8">
        <w:lastRenderedPageBreak/>
        <w:t>17.</w:t>
      </w:r>
      <w:r w:rsidRPr="00C020B8">
        <w:tab/>
        <w:t>bere na vědomí, že agentura dosáhla velmi vysokého stupně digitalizace s cílem zvýšit svou účinnost, odstranit procesy využívající papírové formuláře a předložit online řešení, jako je elektronické zadávání veřejných zakázek, elektronická fakturace či elektronická rezervace cest, a to i zavedením systému Komise pro řízení lidských zdrojů (SYSPER) v roce 2022 a přechodem na nový rozpočtový, účetní a finanční systém SUMMA v pilotní fázi; vítá skutečnost, že agentura ve svém jednotném programovém dokumentu na období 2023–2025 počítá s další digitalizací svých pracovních postupů;</w:t>
      </w:r>
    </w:p>
    <w:p w:rsidR="000945E7" w:rsidRPr="00C020B8" w:rsidRDefault="000945E7">
      <w:pPr>
        <w:pStyle w:val="NormalHanging12a"/>
      </w:pPr>
      <w:r w:rsidRPr="00C020B8">
        <w:t>18.</w:t>
      </w:r>
      <w:r w:rsidRPr="00C020B8">
        <w:tab/>
        <w:t>na základě stanoviska agentury k následným opatřením přijatým v souvislosti s udělením absolutoria za plnění rozpočtu agentury na rozpočtový rok 2021 (dále jen „stanovisko agentury“) konstatuje, že agentura provedla několik opatření ke snížení nákladů na provoz v Lille (čímž se výrazně snížily výdaje na mise a cestovní výdaje zaměstnanců a externích zúčastněných stran) a ukončila stávající nájemní smlouvu na prostory v Lille; konstatuje, že záměrem agentury je organizovat v Lille pouze povinné schůze, aby dodržela požadavky rozhodnutí Evropské rady o dvojím sídle „Lille–</w:t>
      </w:r>
      <w:proofErr w:type="spellStart"/>
      <w:r w:rsidRPr="00C020B8">
        <w:t>Valenciennes</w:t>
      </w:r>
      <w:proofErr w:type="spellEnd"/>
      <w:r w:rsidRPr="00C020B8">
        <w:t>“; vítá skutečnost, že agentura v roce 2022 schválila svou strategii v oblasti lidských zdrojů (2023–2027) na základě připomínky Parlamentu se zaměřením na zlepšení její účinnosti a účelnosti; v této souvislosti bere na vědomí pozitivní zkušenosti agentury a její vývoj v oblasti využívání režimu práce z domova během pandemie COVID-19, na jejichž základě dospěla k závěru, že nová norma spočívá v tom, že práce z domova je u většiny zaměstnanců akceptována jako rovnocenná práci v kanceláři, ale pro výkon některých konkrétních pracovních funkcí je fyzická přítomnost nadále klíčová;</w:t>
      </w:r>
    </w:p>
    <w:p w:rsidR="000945E7" w:rsidRPr="00C020B8" w:rsidRDefault="000945E7">
      <w:pPr>
        <w:spacing w:after="240"/>
        <w:ind w:left="567" w:hanging="567"/>
        <w:rPr>
          <w:b/>
          <w:i/>
          <w:szCs w:val="24"/>
        </w:rPr>
      </w:pPr>
      <w:r w:rsidRPr="00C020B8">
        <w:rPr>
          <w:b/>
          <w:i/>
        </w:rPr>
        <w:t>Personální politika</w:t>
      </w:r>
    </w:p>
    <w:p w:rsidR="000945E7" w:rsidRPr="00C020B8" w:rsidRDefault="000945E7">
      <w:pPr>
        <w:spacing w:after="240"/>
        <w:ind w:left="567" w:hanging="567"/>
        <w:rPr>
          <w:szCs w:val="24"/>
        </w:rPr>
      </w:pPr>
      <w:r w:rsidRPr="00C020B8">
        <w:t>19.</w:t>
      </w:r>
      <w:r w:rsidRPr="00C020B8">
        <w:tab/>
        <w:t>bere na vědomí, že ke dni 31. prosince 2022 byl plán pracovních míst proveden z 97,40 %, neboť bylo jmenováno 150 ze 154 dočasných zaměstnanců schválených na základě rozpočtu Unie (ve srovnání se 151 pracovními místy schválenými v roce 2021); konstatuje, že kromě toho pro agenturu v roce 2022 pracovalo 36 smluvních zaměstnanců (z 36 schválených) a dva vyslaní národní odborníci (ze čtyř schválených);</w:t>
      </w:r>
    </w:p>
    <w:p w:rsidR="000945E7" w:rsidRPr="00C020B8" w:rsidRDefault="000945E7">
      <w:pPr>
        <w:pStyle w:val="NormalHanging12a"/>
      </w:pPr>
      <w:r w:rsidRPr="00C020B8">
        <w:t>20.</w:t>
      </w:r>
      <w:r w:rsidRPr="00C020B8">
        <w:tab/>
        <w:t xml:space="preserve">se znepokojením si všímá nedostatku genderové rovnováhy v nejvyšším vedení agentury, kdy z 10 jeho členů je 8 mužů (80 %); bere na vědomí genderové složení správní rady agentury, v níž 34 z 64 pozic zastávají muži (53 %); dále bere na vědomí genderové složení zaměstnanců agentury obecně, mezi nimiž je z celkového počtu 188 osob 120 mužů (64 %); připomíná, že je důležité zajistit vyvážené zastoupení žen a mužů, a vyzývá agenturu, aby tento aspekt zohlednila při budoucím náboru zaměstnanců a jmenování v rámci svého vrcholného vedení; bere na vědomí dlouhodobé úsilí agentury o překlenutí genderového rozdílu prostřednictvím konkrétních projektů, např. „Ženy v dopravě“, jejichž cílem je posílit zaměstnanost žen a rovné příležitosti v odvětví dopravy; v této souvislosti bere na vědomí, že agentura se snaží zvyšovat počet žen v odvětví dopravy prostřednictvím opatření, jako byly v roce 2022 např. akce rychlého vytváření sítí a </w:t>
      </w:r>
      <w:proofErr w:type="spellStart"/>
      <w:r w:rsidRPr="00C020B8">
        <w:t>webináře</w:t>
      </w:r>
      <w:proofErr w:type="spellEnd"/>
      <w:r w:rsidRPr="00C020B8">
        <w:t xml:space="preserve"> zaměřené na rozmanitost a začleňování;</w:t>
      </w:r>
    </w:p>
    <w:p w:rsidR="000945E7" w:rsidRPr="00C020B8" w:rsidRDefault="000945E7">
      <w:pPr>
        <w:spacing w:after="240"/>
        <w:ind w:left="567" w:hanging="567"/>
        <w:rPr>
          <w:szCs w:val="24"/>
        </w:rPr>
      </w:pPr>
      <w:r w:rsidRPr="00C020B8">
        <w:t>21.</w:t>
      </w:r>
      <w:r w:rsidRPr="00C020B8">
        <w:tab/>
        <w:t xml:space="preserve">na základě stanoviska agentury bere na vědomí, že agentura provedla ve druhé polovině roku 2022 participativní genderový audit, jehož výsledky následně pomohly stanovit prioritní cíle strategie agentury v oblasti lidských zdrojů na období 2023–2027 a posloužily jako podklad pro dokument popisující závazky řídícího týmu agentury v oblasti rozmanitosti a začleňování; konstatuje také, že byla vymezena konkrétní </w:t>
      </w:r>
      <w:r w:rsidRPr="00C020B8">
        <w:lastRenderedPageBreak/>
        <w:t>krátkodobá opatření ke zlepšení rozmanitosti a začleňování, a to na všech úrovních agentury, ať už jde například o práci spojenou s přijímáním nových zaměstnanců, či o zapojení stávajících zaměstnanců (využívání rezervních seznamů, integrace, mentorství);</w:t>
      </w:r>
    </w:p>
    <w:p w:rsidR="000945E7" w:rsidRPr="00C020B8" w:rsidRDefault="000945E7">
      <w:pPr>
        <w:pStyle w:val="NormalHanging12a"/>
      </w:pPr>
      <w:r w:rsidRPr="00C020B8">
        <w:t>22.</w:t>
      </w:r>
      <w:r w:rsidRPr="00C020B8">
        <w:tab/>
        <w:t>vítá skutečnost, že agentura usiluje o zajištění zeměpisné vyváženosti svých zaměstnanců a vybízí uchazeče ze všech členských států, aby se ucházeli o pozice v agentuře; konstatuje, že dočasná pracovní místa jsou zveřejňována ve všech jazycích EU a výzvy k podávání přihlášek jsou zveřejňovány nejen na internetových stránkách agentury, ale jsou rovněž šířeny na úrovni stálých zastoupení členských států;</w:t>
      </w:r>
    </w:p>
    <w:p w:rsidR="000945E7" w:rsidRPr="00C020B8" w:rsidRDefault="000945E7">
      <w:pPr>
        <w:spacing w:after="240"/>
        <w:ind w:left="567" w:hanging="567"/>
        <w:rPr>
          <w:szCs w:val="24"/>
        </w:rPr>
      </w:pPr>
      <w:r w:rsidRPr="00C020B8">
        <w:t>23.</w:t>
      </w:r>
      <w:r w:rsidRPr="00C020B8">
        <w:tab/>
        <w:t>na základě odpovědí agentury na písemné otázky Parlamentu konstatuje, že v rámci agentury byly hlášeny případy obtěžování, kterými se zabývají interní důvěrní poradci, přičemž čtyři zaměstnanci byli zapsáni do rejstříku a dva z nich byli na konci roku 2022 bez vyšetřování a bez vyvození závěrů z rejstříku opět vyškrtnuti; vybízí agenturu, aby dále rozvíjela politiky a metodiku s cílem účinněji předcházet těmto případům v budoucnosti;</w:t>
      </w:r>
    </w:p>
    <w:p w:rsidR="000945E7" w:rsidRPr="00C020B8" w:rsidRDefault="000945E7">
      <w:pPr>
        <w:spacing w:after="240"/>
        <w:ind w:left="567" w:hanging="567"/>
        <w:rPr>
          <w:b/>
          <w:i/>
          <w:szCs w:val="24"/>
        </w:rPr>
      </w:pPr>
      <w:r w:rsidRPr="00C020B8">
        <w:rPr>
          <w:b/>
          <w:i/>
        </w:rPr>
        <w:t>Veřejné zakázky</w:t>
      </w:r>
    </w:p>
    <w:p w:rsidR="000945E7" w:rsidRPr="00C020B8" w:rsidRDefault="000945E7">
      <w:pPr>
        <w:spacing w:after="240"/>
        <w:ind w:left="567" w:hanging="567"/>
        <w:rPr>
          <w:szCs w:val="24"/>
        </w:rPr>
      </w:pPr>
      <w:r w:rsidRPr="00C020B8">
        <w:t>24.</w:t>
      </w:r>
      <w:r w:rsidRPr="00C020B8">
        <w:tab/>
        <w:t>konstatuje, že agentura v roce 2022 uskutečnila dvě otevřená nabídková řízení, tři jednací řízení a znovu otevřela jedno výběrové řízení a vyhlásila rovněž dvě otevřená nabídková řízení a tři jednací řízení, která byla financována ze správních prostředků;</w:t>
      </w:r>
    </w:p>
    <w:p w:rsidR="000945E7" w:rsidRPr="00C020B8" w:rsidRDefault="000945E7">
      <w:pPr>
        <w:spacing w:after="240"/>
        <w:ind w:left="567" w:hanging="567"/>
      </w:pPr>
      <w:r w:rsidRPr="00C020B8">
        <w:t>25.</w:t>
      </w:r>
      <w:r w:rsidRPr="00C020B8">
        <w:tab/>
        <w:t>na základě odpovědí agentury na písemné otázky Parlamentu bere na vědomí, že agentura pracuje na provádění zelených veřejných zakázek a že tato práce je jednou z iniciativ/opatření v rámci strategie agentury pro environmentální řízení;</w:t>
      </w:r>
    </w:p>
    <w:p w:rsidR="000945E7" w:rsidRPr="00C020B8" w:rsidRDefault="000945E7">
      <w:pPr>
        <w:spacing w:after="240"/>
        <w:ind w:left="567" w:hanging="567"/>
        <w:rPr>
          <w:szCs w:val="24"/>
        </w:rPr>
      </w:pPr>
      <w:r w:rsidRPr="00C020B8">
        <w:t>26.</w:t>
      </w:r>
      <w:r w:rsidRPr="00C020B8">
        <w:tab/>
        <w:t>na základě odpovědí agentury na otázky orgánu příslušného k udělení absolutoria konstatuje, že v roce 2022 byly postupy zadávání veřejných zakázek agentury již plně digitalizovány; vítá skutečnost, že v červenci 2023 agentura zahájila zavádění nástroje pro řízení veřejných zakázek;</w:t>
      </w:r>
    </w:p>
    <w:p w:rsidR="000945E7" w:rsidRPr="00C020B8" w:rsidRDefault="000945E7">
      <w:pPr>
        <w:spacing w:after="240"/>
        <w:ind w:left="567" w:hanging="567"/>
        <w:rPr>
          <w:b/>
          <w:i/>
          <w:szCs w:val="24"/>
        </w:rPr>
      </w:pPr>
      <w:r w:rsidRPr="00C020B8">
        <w:rPr>
          <w:b/>
          <w:i/>
        </w:rPr>
        <w:t>Prevence a řešení střetů zájmů a transparentnost</w:t>
      </w:r>
    </w:p>
    <w:p w:rsidR="000945E7" w:rsidRPr="00C020B8" w:rsidRDefault="000945E7">
      <w:pPr>
        <w:spacing w:after="240"/>
        <w:ind w:left="567" w:hanging="567"/>
        <w:rPr>
          <w:szCs w:val="24"/>
        </w:rPr>
      </w:pPr>
      <w:r w:rsidRPr="00C020B8">
        <w:t>27.</w:t>
      </w:r>
      <w:r w:rsidRPr="00C020B8">
        <w:tab/>
        <w:t>konstatuje, že agentura na svých internetových stránkách zveřejnila životopisy a prohlášení o zájmech členů správní rady a vrcholného vedení; konstatuje, že agentura nezveřejňuje životopisy externích a interních odborníků;</w:t>
      </w:r>
    </w:p>
    <w:p w:rsidR="000945E7" w:rsidRPr="00C020B8" w:rsidRDefault="000945E7">
      <w:pPr>
        <w:spacing w:after="240"/>
        <w:ind w:left="567" w:hanging="567"/>
        <w:rPr>
          <w:bCs/>
          <w:szCs w:val="24"/>
        </w:rPr>
      </w:pPr>
      <w:r w:rsidRPr="00C020B8">
        <w:t>28.</w:t>
      </w:r>
      <w:r w:rsidRPr="00C020B8">
        <w:tab/>
        <w:t>vítá úsilí agentury o zvýšení transparentnosti činností agentury, která za tímto účelem na svých internetových stránkách pravidelně zveřejňuje informace o všech setkáních výkonného ředitele s organizacemi nebo osobami samostatně výdělečně činnými; konstatuje, že agentura používá několik mechanismů pro odhalování střetů zájmů a předcházení těmto střetům, jako je sestavování seznamu zájmů rozdělených podle konkrétních kategorií (např. profesních, rodinných), kontrola prohlášení o zájmech, povinnost podávat bez vyzvání prohlášení o vyloučení střetu zájmů a pravidelná školení;</w:t>
      </w:r>
    </w:p>
    <w:p w:rsidR="000945E7" w:rsidRPr="00C020B8" w:rsidRDefault="000945E7">
      <w:pPr>
        <w:spacing w:after="240"/>
        <w:ind w:left="567" w:hanging="567"/>
      </w:pPr>
      <w:r w:rsidRPr="00C020B8">
        <w:t>29.</w:t>
      </w:r>
      <w:r w:rsidRPr="00C020B8">
        <w:tab/>
        <w:t xml:space="preserve">oceňuje agenturu za její postupy pro </w:t>
      </w:r>
      <w:proofErr w:type="spellStart"/>
      <w:r w:rsidRPr="00C020B8">
        <w:t>whistleblowing</w:t>
      </w:r>
      <w:proofErr w:type="spellEnd"/>
      <w:r w:rsidRPr="00C020B8">
        <w:t xml:space="preserve">, jejichž prostřednictvím mohou zaměstnanci hlásit potenciální střety, aniž by se museli obávat odvety; v této souvislosti konstatuje, že v roce 2022 byly hlášeny možné situace střetu zájmů na úrovni členů správní rady a zaměstnanců agentury a že v návaznosti na to byla přijata zmírňující </w:t>
      </w:r>
      <w:r w:rsidRPr="00C020B8">
        <w:lastRenderedPageBreak/>
        <w:t>opatření, která byla zapsána na schůzích správní rady nebo uvedena v prohlášeních o zájmech dotčených zaměstnanců;</w:t>
      </w:r>
    </w:p>
    <w:p w:rsidR="000945E7" w:rsidRPr="00C020B8" w:rsidRDefault="000945E7">
      <w:pPr>
        <w:spacing w:after="240"/>
        <w:ind w:left="567" w:hanging="567"/>
      </w:pPr>
      <w:r w:rsidRPr="00C020B8">
        <w:t>30.</w:t>
      </w:r>
      <w:r w:rsidRPr="00C020B8">
        <w:tab/>
        <w:t>na základě odpovědí agentury na otázky Parlamentu k písemnému zodpovězení konstatuje, že agentura má zavedeny postupy pro řešení situací spojených s rizikem efektu otáčivých dveří v případě bývalých zaměstnanců; v této souvislosti vyjadřuje politování nad tím, že agentura neprovádí systematické monitorování dodržování platných předpisů, následkem čehož se může stát, že neohlášené případy spojené s rizikem efektu otáčivých dveří zůstanou neodhaleny nebo že nebude zajištěno, aby zaměstnanci, kteří z agentury odešli, dodržovali pokyny, které jim byly uloženy;</w:t>
      </w:r>
    </w:p>
    <w:p w:rsidR="000945E7" w:rsidRPr="00C020B8" w:rsidRDefault="000945E7">
      <w:pPr>
        <w:spacing w:after="240"/>
        <w:ind w:left="567" w:hanging="567"/>
        <w:rPr>
          <w:szCs w:val="24"/>
        </w:rPr>
      </w:pPr>
      <w:r w:rsidRPr="00C020B8">
        <w:t>31.</w:t>
      </w:r>
      <w:r w:rsidRPr="00C020B8">
        <w:tab/>
        <w:t>konstatuje, že agentura pokračovala v pořádání školení o etice a boji proti podvodům, která jsou pro všechny zaměstnance povinná a tvoří součást čtyřletého cyklu opakujících se školení, na jehož konci má být dosaženo 100% účasti; konstatuje, že v roce 2022 dosahovala celková míra účasti 22,1 % na školeních o boji proti podvodům a 31,11 % na školeních o etice a že obě školení jsou přizpůsobena potřebám agentury s ohledem na rizika odpovídající jejímu prostředí;</w:t>
      </w:r>
    </w:p>
    <w:p w:rsidR="000945E7" w:rsidRPr="00C020B8" w:rsidRDefault="000945E7">
      <w:pPr>
        <w:spacing w:after="240"/>
        <w:ind w:left="567" w:hanging="567"/>
        <w:rPr>
          <w:szCs w:val="24"/>
        </w:rPr>
      </w:pPr>
      <w:r w:rsidRPr="00C020B8">
        <w:rPr>
          <w:b/>
          <w:i/>
        </w:rPr>
        <w:t>Vnitřní kontrola</w:t>
      </w:r>
    </w:p>
    <w:p w:rsidR="000945E7" w:rsidRPr="00C020B8" w:rsidRDefault="000945E7">
      <w:pPr>
        <w:spacing w:after="240"/>
        <w:ind w:left="567" w:hanging="567"/>
        <w:rPr>
          <w:szCs w:val="24"/>
        </w:rPr>
      </w:pPr>
      <w:r w:rsidRPr="00C020B8">
        <w:t>32.</w:t>
      </w:r>
      <w:r w:rsidRPr="00C020B8">
        <w:tab/>
        <w:t>se znepokojením bere na vědomí připomínky uvedené ve zprávě Účetního dvora týkající se některých nedostatků v systémech agentury pro řízení a kontrolu, konkrétně absence pravidel pro klasifikaci a ochranu citlivých informací a používání neplatných metod schvalování (kromě fyzických nebo kvalifikovaných elektronických podpisů) v oblasti zadávacích řízení; na základě odpovědí agentury na připomínky Účetního dvora bere na vědomí, že tyto nedostatky byly mezitím prostřednictvím různých akcí a opatření vyřešeny; vyzývá Účetní dvůr, aby tyto akce a opatření zahrnul do svých následných auditů;</w:t>
      </w:r>
    </w:p>
    <w:p w:rsidR="000945E7" w:rsidRPr="00C020B8" w:rsidRDefault="000945E7">
      <w:pPr>
        <w:spacing w:after="240"/>
        <w:ind w:left="567" w:hanging="567"/>
      </w:pPr>
      <w:r w:rsidRPr="00C020B8">
        <w:t>33.</w:t>
      </w:r>
      <w:r w:rsidRPr="00C020B8">
        <w:tab/>
        <w:t>na základě stanoviska agentury konstatuje, že pokud jde o doporučení, která vydal Útvar interního auditu (IAS) po auditu provedeném v roce 2019 v oblasti správy a bezpečnosti informací, agentura realizovala velmi důležité doporučení týkající se rámce pro správu údajů a důležité doporučení týkající se údajů a operací IT (které bylo Útvarem interního auditu již uzavřeno), zatímco práce na realizaci zbývajících tří doporučení (o interoperabilitě a kvalitě údajů, bezpečnosti údajů a IT a kontinuitě IT a fyzické bezpečnosti) v roce 2023 stále probíhala; vyzývá agenturu, aby rozpočtovému orgánu podala zprávu o pokroku v tomto ohledu;</w:t>
      </w:r>
    </w:p>
    <w:p w:rsidR="000945E7" w:rsidRPr="00C020B8" w:rsidRDefault="000945E7">
      <w:pPr>
        <w:spacing w:after="240"/>
        <w:ind w:left="567" w:hanging="567"/>
        <w:rPr>
          <w:szCs w:val="24"/>
        </w:rPr>
      </w:pPr>
      <w:r w:rsidRPr="00C020B8">
        <w:t>34.</w:t>
      </w:r>
      <w:r w:rsidRPr="00C020B8">
        <w:tab/>
        <w:t xml:space="preserve">konstatuje, že každá odchylka od zavedeného postupu či řízení je v rámci agentury zdokumentována, odůvodněna a schválena na příslušné úrovni řízení; s uspokojením bere na vědomí snížení počtu registrovaných nesrovnalostí z 35 v roce 2021 na 28 v roce 2022; konstatuje, že v roce 2022 bylo zaregistrováno 28 nesrovnalostí týkajících se například nedodržování správních pravidel (odchylka od pravidel práce na dálku), postupů či pravidel zadávání zakázek (nesprávné používání jednacího řízení), pravidel pro služební cesty (výjezdy na služební cesty bez schváleného příkazu ke služební cestě) či předpisů v oblastech, jako je řízení smluv, závazky a výběr zaměstnanců; konstatuje, že 13 z 28 nesrovnalostí bylo výjimečných (nesrovnalosti </w:t>
      </w:r>
      <w:r w:rsidRPr="00DB712C">
        <w:rPr>
          <w:i/>
        </w:rPr>
        <w:t>ex ante</w:t>
      </w:r>
      <w:r w:rsidRPr="00C020B8">
        <w:t xml:space="preserve">) a bylo transparentně zdokumentováno a odůvodněno např. zajištěním kontinuity činnosti nebo ekonomickými důvody; vítá skutečnost, že agentura zavedla zmírňující nebo monitorovací opatření, která by měla všechny tyto nesrovnalosti řešit; vyzývá agenturu, aby na základě rizik i nadále pravidelně posuzovala fungování hlavních oblastí vnitřní </w:t>
      </w:r>
      <w:r w:rsidRPr="00C020B8">
        <w:lastRenderedPageBreak/>
        <w:t>kontroly, která podporuje proces získávání jistoty;</w:t>
      </w:r>
    </w:p>
    <w:p w:rsidR="000945E7" w:rsidRPr="00C020B8" w:rsidRDefault="000945E7">
      <w:pPr>
        <w:spacing w:after="240"/>
        <w:ind w:left="567" w:hanging="567"/>
        <w:rPr>
          <w:szCs w:val="24"/>
        </w:rPr>
      </w:pPr>
      <w:r w:rsidRPr="00C020B8">
        <w:t>35.</w:t>
      </w:r>
      <w:r w:rsidRPr="00C020B8">
        <w:tab/>
        <w:t>konstatuje, že v roce 2022 agentura provedla posouzení rizik v souladu se svým ročním strategickým plánováním a v průběhu roku průběžně přezkoumávala význam rizik i související zmírňující opatření; bere na vědomí nejvýznamnější výzvy/rizika, jež byly zjištěny v souvislosti s plněním rozpočtu, prováděním nového korporátního finančního nástroje IT (SUMMA), omezenými personálními možnostmi, otázkami bezpečnosti IT a důsledky pandemie COVID</w:t>
      </w:r>
      <w:r w:rsidR="009B06CC">
        <w:t>-19</w:t>
      </w:r>
      <w:r w:rsidRPr="00C020B8">
        <w:t>;</w:t>
      </w:r>
    </w:p>
    <w:p w:rsidR="000945E7" w:rsidRPr="00C020B8" w:rsidRDefault="000945E7">
      <w:pPr>
        <w:spacing w:after="240"/>
        <w:ind w:left="567" w:hanging="567"/>
        <w:rPr>
          <w:szCs w:val="24"/>
        </w:rPr>
      </w:pPr>
      <w:r w:rsidRPr="00C020B8">
        <w:t>36.</w:t>
      </w:r>
      <w:r w:rsidRPr="00C020B8">
        <w:tab/>
        <w:t>konstatuje, že v prosinci 2022 bylo uzavřeno vyšetřování úřadu OLAF, aniž dospělo k jakýmkoli zjištěním či dalším doporučením;</w:t>
      </w:r>
    </w:p>
    <w:p w:rsidR="000945E7" w:rsidRPr="00C020B8" w:rsidRDefault="000945E7">
      <w:pPr>
        <w:spacing w:after="240"/>
        <w:ind w:left="567" w:hanging="567"/>
        <w:rPr>
          <w:szCs w:val="24"/>
        </w:rPr>
      </w:pPr>
      <w:r w:rsidRPr="00C020B8">
        <w:rPr>
          <w:b/>
          <w:i/>
        </w:rPr>
        <w:t>Další připomínky</w:t>
      </w:r>
    </w:p>
    <w:p w:rsidR="000945E7" w:rsidRPr="00C020B8" w:rsidRDefault="000945E7">
      <w:pPr>
        <w:tabs>
          <w:tab w:val="left" w:pos="567"/>
        </w:tabs>
        <w:spacing w:after="240"/>
        <w:ind w:left="567" w:hanging="567"/>
        <w:rPr>
          <w:szCs w:val="24"/>
        </w:rPr>
      </w:pPr>
      <w:r w:rsidRPr="00C020B8">
        <w:t>37.</w:t>
      </w:r>
      <w:r w:rsidRPr="00C020B8">
        <w:tab/>
        <w:t xml:space="preserve">konstatuje, že v návaznosti na kroky, které byly podniknuty s Evropským parlamentem a Radou ohledně nové budovy agentury, informoval výkonný ředitel správní radu o několika setkáních s </w:t>
      </w:r>
      <w:proofErr w:type="spellStart"/>
      <w:r w:rsidRPr="00C020B8">
        <w:t>Valenciennes</w:t>
      </w:r>
      <w:proofErr w:type="spellEnd"/>
      <w:r w:rsidRPr="00C020B8">
        <w:t xml:space="preserve"> </w:t>
      </w:r>
      <w:proofErr w:type="spellStart"/>
      <w:r w:rsidRPr="00C020B8">
        <w:t>Métropole</w:t>
      </w:r>
      <w:proofErr w:type="spellEnd"/>
      <w:r w:rsidRPr="00C020B8">
        <w:t>, která se konala v roce 2023; dále konstatuje, že stavební povolení by mělo být vyřízeno v březnu 2024 a že výstavba by mohla začít v létě 2024, přičemž budova by měla být k dispozici v roce 2026;</w:t>
      </w:r>
    </w:p>
    <w:p w:rsidR="000945E7" w:rsidRPr="00C020B8" w:rsidRDefault="000945E7">
      <w:pPr>
        <w:pStyle w:val="NormalHanging12a"/>
      </w:pPr>
      <w:r w:rsidRPr="00C020B8">
        <w:t>38.</w:t>
      </w:r>
      <w:r w:rsidRPr="00C020B8">
        <w:tab/>
        <w:t xml:space="preserve">vítá pokračující úsilí agentury o posílení její komunikace prostřednictvím různých kanálů s cílem oslovit co nejširší veřejnost; bere na vědomí vývoj a spuštění nových internetových stránek agentury ERA v listopadu 2022, které poskytují jasnější, racionalizovaný a moderní nástroj pro prezentaci příspěvku agentury k železničnímu odvětví a občanům EU obecně; bere na vědomí úsilí agentury o uspořádání devíti </w:t>
      </w:r>
      <w:proofErr w:type="spellStart"/>
      <w:r w:rsidRPr="00C020B8">
        <w:t>webinářů</w:t>
      </w:r>
      <w:proofErr w:type="spellEnd"/>
      <w:r w:rsidRPr="00C020B8">
        <w:t xml:space="preserve"> a přípravu několika publikací a videí v roce 2022; vítá skutečnost, že si agentura udržela silnou přítomnost ve sdělovacích prostředcích a poté v roce 2022 zvýšila počet sledujících na svých sociálních sítích;</w:t>
      </w:r>
    </w:p>
    <w:p w:rsidR="000945E7" w:rsidRPr="00C020B8" w:rsidRDefault="000945E7" w:rsidP="00DB712C">
      <w:pPr>
        <w:pStyle w:val="NormalHanging12a"/>
      </w:pPr>
      <w:r w:rsidRPr="00C020B8">
        <w:t>39.</w:t>
      </w:r>
      <w:r w:rsidRPr="00C020B8">
        <w:tab/>
        <w:t>zdůrazňuje, že v roce 2022 se evropské železniční společnosti stále zotavovaly z pandemie COVID-19; odolnost železniční dopravy spolu s jejími nízkými emisemi uhlíku jsou dva zásadní faktory, které tomuto odvětví pomohou dosáhnout úrovně před pandemií;</w:t>
      </w:r>
    </w:p>
    <w:p w:rsidR="000945E7" w:rsidRPr="00C020B8" w:rsidRDefault="000945E7" w:rsidP="00DB712C">
      <w:pPr>
        <w:pStyle w:val="NormalHanging12a"/>
      </w:pPr>
      <w:r w:rsidRPr="00C020B8">
        <w:t>40.</w:t>
      </w:r>
      <w:r w:rsidRPr="00C020B8">
        <w:tab/>
        <w:t>vyjadřuje politování nad tím, že současné požadavky na ohlašování železničních nehod a bezpečnostních incidentů jsou v Evropě nejednotné, omezují se pouze na funkci dohledu a nejsou podpořeny vhodným realizačním nástrojem, a proto vyzývá Komisi, aby tento nedostatek odstranila a aby na tyto účely poskytla nezbytné finanční prostředky;</w:t>
      </w:r>
    </w:p>
    <w:p w:rsidR="000945E7" w:rsidRPr="00C020B8" w:rsidRDefault="000945E7" w:rsidP="00DB712C">
      <w:pPr>
        <w:pStyle w:val="NormalHanging12a"/>
      </w:pPr>
      <w:r w:rsidRPr="00C020B8">
        <w:t>41.</w:t>
      </w:r>
      <w:r w:rsidRPr="00C020B8">
        <w:tab/>
        <w:t xml:space="preserve">konstatuje, že kandidátské země budou muset před vstupem do Unie provést rámec a </w:t>
      </w:r>
      <w:proofErr w:type="spellStart"/>
      <w:r w:rsidRPr="00C020B8">
        <w:rPr>
          <w:i/>
          <w:iCs/>
        </w:rPr>
        <w:t>acquis</w:t>
      </w:r>
      <w:proofErr w:type="spellEnd"/>
      <w:r w:rsidRPr="00C020B8">
        <w:t xml:space="preserve"> EU; poukazuje na to, že občané EU tak budou moci využívat železnici jako ekologický a bezpečný způsob dopravy a přepravovat zboží z a do jihovýchodní Evropy, neboť západní Balkán s EU již propojují koridory pro železniční nákladní dopravu; zdůrazňuje, že nástroj předvstupní pomoci a </w:t>
      </w:r>
      <w:proofErr w:type="spellStart"/>
      <w:r w:rsidRPr="00C020B8">
        <w:t>západobalkánský</w:t>
      </w:r>
      <w:proofErr w:type="spellEnd"/>
      <w:r w:rsidRPr="00C020B8">
        <w:t xml:space="preserve"> projekt podporují provádění směrnice o interoperabilitě a směrnice o bezpečnosti mezi příjemci; konstatuje rovněž, že to poskytne základ pro otevření trhu se službami železniční dopravy a pro plynulý provoz vlaků z tohoto sousedního regionu a do něj;</w:t>
      </w:r>
    </w:p>
    <w:p w:rsidR="00691DC7" w:rsidRDefault="00691DC7" w:rsidP="00B04FFC">
      <w:pPr>
        <w:pStyle w:val="NormalCenter12a"/>
        <w:widowControl/>
      </w:pPr>
      <w:r>
        <w:t>°</w:t>
      </w:r>
    </w:p>
    <w:p w:rsidR="00691DC7" w:rsidRDefault="00691DC7" w:rsidP="00787824">
      <w:pPr>
        <w:pStyle w:val="NormalCenter12a"/>
        <w:widowControl/>
      </w:pPr>
      <w:r>
        <w:t>°     °</w:t>
      </w:r>
    </w:p>
    <w:p w:rsidR="00E365E1" w:rsidRPr="00C020B8" w:rsidRDefault="000945E7" w:rsidP="005269A6">
      <w:pPr>
        <w:spacing w:after="240"/>
        <w:ind w:left="567" w:hanging="567"/>
      </w:pPr>
      <w:r w:rsidRPr="00C020B8">
        <w:lastRenderedPageBreak/>
        <w:t>42.</w:t>
      </w:r>
      <w:r w:rsidRPr="00C020B8">
        <w:tab/>
        <w:t xml:space="preserve">pokud jde o další připomínky, které jsou připojeny k rozhodnutí o udělení absolutoria a jsou horizontální povahy, odkazuje na své usnesení ze dne </w:t>
      </w:r>
      <w:r w:rsidR="00691DC7">
        <w:t>11. dubna</w:t>
      </w:r>
      <w:r w:rsidRPr="00C020B8">
        <w:t xml:space="preserve"> 2024</w:t>
      </w:r>
      <w:r w:rsidRPr="00C020B8">
        <w:rPr>
          <w:rStyle w:val="FootnoteReference"/>
        </w:rPr>
        <w:footnoteReference w:id="12"/>
      </w:r>
      <w:r w:rsidRPr="00C020B8">
        <w:t xml:space="preserve"> o výkonnosti, finančním řízení a kontrole agentur.</w:t>
      </w:r>
      <w:bookmarkStart w:id="13" w:name="TextBodyEnd"/>
      <w:bookmarkEnd w:id="13"/>
    </w:p>
    <w:sectPr w:rsidR="00E365E1" w:rsidRPr="00C020B8" w:rsidSect="00C020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F4" w:rsidRPr="00C020B8" w:rsidRDefault="008F3EF4">
      <w:r w:rsidRPr="00C020B8">
        <w:separator/>
      </w:r>
    </w:p>
  </w:endnote>
  <w:endnote w:type="continuationSeparator" w:id="0">
    <w:p w:rsidR="008F3EF4" w:rsidRPr="00C020B8" w:rsidRDefault="008F3EF4">
      <w:r w:rsidRPr="00C02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E7" w:rsidRPr="00C020B8" w:rsidRDefault="000945E7" w:rsidP="00DE4ABF">
    <w:pPr>
      <w:pStyle w:val="EPFooter"/>
    </w:pPr>
    <w:r w:rsidRPr="00C020B8">
      <w:t>PE</w:t>
    </w:r>
    <w:r w:rsidRPr="00C020B8">
      <w:rPr>
        <w:rStyle w:val="HideTWBExt"/>
      </w:rPr>
      <w:t>&lt;</w:t>
    </w:r>
    <w:proofErr w:type="spellStart"/>
    <w:r w:rsidRPr="00C020B8">
      <w:rPr>
        <w:rStyle w:val="HideTWBExt"/>
      </w:rPr>
      <w:t>NoPE</w:t>
    </w:r>
    <w:proofErr w:type="spellEnd"/>
    <w:r w:rsidRPr="00C020B8">
      <w:rPr>
        <w:rStyle w:val="HideTWBExt"/>
      </w:rPr>
      <w:t>&gt;</w:t>
    </w:r>
    <w:r w:rsidRPr="00C020B8">
      <w:t>753.528</w:t>
    </w:r>
    <w:r w:rsidRPr="00C020B8">
      <w:rPr>
        <w:rStyle w:val="HideTWBExt"/>
      </w:rPr>
      <w:t>&lt;/</w:t>
    </w:r>
    <w:proofErr w:type="spellStart"/>
    <w:r w:rsidRPr="00C020B8">
      <w:rPr>
        <w:rStyle w:val="HideTWBExt"/>
      </w:rPr>
      <w:t>NoPE</w:t>
    </w:r>
    <w:proofErr w:type="spellEnd"/>
    <w:r w:rsidRPr="00C020B8">
      <w:rPr>
        <w:rStyle w:val="HideTWBExt"/>
      </w:rPr>
      <w:t>&gt;&lt;Version&gt;</w:t>
    </w:r>
    <w:r w:rsidRPr="00C020B8">
      <w:t>v02-00</w:t>
    </w:r>
    <w:r w:rsidRPr="00C020B8">
      <w:rPr>
        <w:rStyle w:val="HideTWBExt"/>
      </w:rPr>
      <w:t>&lt;/</w:t>
    </w:r>
    <w:proofErr w:type="spellStart"/>
    <w:r w:rsidRPr="00C020B8">
      <w:rPr>
        <w:rStyle w:val="HideTWBExt"/>
      </w:rPr>
      <w:t>Version</w:t>
    </w:r>
    <w:proofErr w:type="spellEnd"/>
    <w:r w:rsidRPr="00C020B8">
      <w:rPr>
        <w:rStyle w:val="HideTWBExt"/>
      </w:rPr>
      <w:t>&gt;</w:t>
    </w:r>
    <w:r w:rsidRPr="00C020B8">
      <w:tab/>
    </w:r>
    <w:r w:rsidRPr="00C020B8">
      <w:fldChar w:fldCharType="begin"/>
    </w:r>
    <w:r w:rsidRPr="00C020B8">
      <w:instrText xml:space="preserve"> PAGE  \* MERGEFORMAT </w:instrText>
    </w:r>
    <w:r w:rsidRPr="00C020B8">
      <w:fldChar w:fldCharType="separate"/>
    </w:r>
    <w:r w:rsidR="00C020B8" w:rsidRPr="00C020B8">
      <w:rPr>
        <w:noProof/>
      </w:rPr>
      <w:t>2</w:t>
    </w:r>
    <w:r w:rsidRPr="00C020B8">
      <w:fldChar w:fldCharType="end"/>
    </w:r>
    <w:r w:rsidRPr="00C020B8">
      <w:t>/</w:t>
    </w:r>
    <w:fldSimple w:instr=" NUMPAGES  \* MERGEFORMAT ">
      <w:r w:rsidR="00C020B8" w:rsidRPr="00C020B8">
        <w:rPr>
          <w:noProof/>
        </w:rPr>
        <w:t>14</w:t>
      </w:r>
    </w:fldSimple>
    <w:r w:rsidRPr="00C020B8">
      <w:tab/>
    </w:r>
    <w:r w:rsidRPr="00C020B8">
      <w:rPr>
        <w:rStyle w:val="HideTWBExt"/>
      </w:rPr>
      <w:t>&lt;PathFdR&gt;</w:t>
    </w:r>
    <w:r w:rsidRPr="00C020B8">
      <w:t>RR\1298731CS.docx</w:t>
    </w:r>
    <w:r w:rsidRPr="00C020B8">
      <w:rPr>
        <w:rStyle w:val="HideTWBExt"/>
      </w:rPr>
      <w:t>&lt;/</w:t>
    </w:r>
    <w:proofErr w:type="spellStart"/>
    <w:r w:rsidRPr="00C020B8">
      <w:rPr>
        <w:rStyle w:val="HideTWBExt"/>
      </w:rPr>
      <w:t>PathFdR</w:t>
    </w:r>
    <w:proofErr w:type="spellEnd"/>
    <w:r w:rsidRPr="00C020B8">
      <w:rPr>
        <w:rStyle w:val="HideTWBExt"/>
      </w:rPr>
      <w:t>&gt;</w:t>
    </w:r>
  </w:p>
  <w:p w:rsidR="000945E7" w:rsidRPr="00C020B8" w:rsidRDefault="000945E7" w:rsidP="00DE4ABF">
    <w:pPr>
      <w:pStyle w:val="EPFooter2"/>
    </w:pPr>
    <w:r w:rsidRPr="00C020B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E7" w:rsidRPr="00C020B8" w:rsidRDefault="000945E7" w:rsidP="00DE4ABF">
    <w:pPr>
      <w:pStyle w:val="EPFooter"/>
    </w:pPr>
    <w:r w:rsidRPr="00C020B8">
      <w:rPr>
        <w:rStyle w:val="HideTWBExt"/>
      </w:rPr>
      <w:t>&lt;PathFdR&gt;</w:t>
    </w:r>
    <w:r w:rsidRPr="00C020B8">
      <w:t>RR\1298731CS.docx</w:t>
    </w:r>
    <w:r w:rsidRPr="00C020B8">
      <w:rPr>
        <w:rStyle w:val="HideTWBExt"/>
      </w:rPr>
      <w:t>&lt;/</w:t>
    </w:r>
    <w:proofErr w:type="spellStart"/>
    <w:r w:rsidRPr="00C020B8">
      <w:rPr>
        <w:rStyle w:val="HideTWBExt"/>
      </w:rPr>
      <w:t>PathFdR</w:t>
    </w:r>
    <w:proofErr w:type="spellEnd"/>
    <w:r w:rsidRPr="00C020B8">
      <w:rPr>
        <w:rStyle w:val="HideTWBExt"/>
      </w:rPr>
      <w:t>&gt;</w:t>
    </w:r>
    <w:r w:rsidRPr="00C020B8">
      <w:tab/>
    </w:r>
    <w:r w:rsidRPr="00C020B8">
      <w:tab/>
      <w:t>PE</w:t>
    </w:r>
    <w:r w:rsidRPr="00C020B8">
      <w:rPr>
        <w:rStyle w:val="HideTWBExt"/>
      </w:rPr>
      <w:t>&lt;</w:t>
    </w:r>
    <w:proofErr w:type="spellStart"/>
    <w:r w:rsidRPr="00C020B8">
      <w:rPr>
        <w:rStyle w:val="HideTWBExt"/>
      </w:rPr>
      <w:t>NoPE</w:t>
    </w:r>
    <w:proofErr w:type="spellEnd"/>
    <w:r w:rsidRPr="00C020B8">
      <w:rPr>
        <w:rStyle w:val="HideTWBExt"/>
      </w:rPr>
      <w:t>&gt;</w:t>
    </w:r>
    <w:r w:rsidRPr="00C020B8">
      <w:t>753.528</w:t>
    </w:r>
    <w:r w:rsidRPr="00C020B8">
      <w:rPr>
        <w:rStyle w:val="HideTWBExt"/>
      </w:rPr>
      <w:t>&lt;/</w:t>
    </w:r>
    <w:proofErr w:type="spellStart"/>
    <w:r w:rsidRPr="00C020B8">
      <w:rPr>
        <w:rStyle w:val="HideTWBExt"/>
      </w:rPr>
      <w:t>NoPE</w:t>
    </w:r>
    <w:proofErr w:type="spellEnd"/>
    <w:r w:rsidRPr="00C020B8">
      <w:rPr>
        <w:rStyle w:val="HideTWBExt"/>
      </w:rPr>
      <w:t>&gt;&lt;Version&gt;</w:t>
    </w:r>
    <w:r w:rsidRPr="00C020B8">
      <w:t>v02-00</w:t>
    </w:r>
    <w:r w:rsidRPr="00C020B8">
      <w:rPr>
        <w:rStyle w:val="HideTWBExt"/>
      </w:rPr>
      <w:t>&lt;/</w:t>
    </w:r>
    <w:proofErr w:type="spellStart"/>
    <w:r w:rsidRPr="00C020B8">
      <w:rPr>
        <w:rStyle w:val="HideTWBExt"/>
      </w:rPr>
      <w:t>Version</w:t>
    </w:r>
    <w:proofErr w:type="spellEnd"/>
    <w:r w:rsidRPr="00C020B8">
      <w:rPr>
        <w:rStyle w:val="HideTWBExt"/>
      </w:rPr>
      <w:t>&gt;</w:t>
    </w:r>
  </w:p>
  <w:p w:rsidR="000945E7" w:rsidRPr="00C020B8" w:rsidRDefault="000945E7" w:rsidP="00DE4ABF">
    <w:pPr>
      <w:pStyle w:val="EPFooter2"/>
    </w:pPr>
    <w:r w:rsidRPr="00C020B8">
      <w:t>CS</w:t>
    </w:r>
    <w:r w:rsidRPr="00C020B8">
      <w:tab/>
    </w:r>
    <w:r w:rsidRPr="00C020B8">
      <w:rPr>
        <w:b w:val="0"/>
        <w:i/>
        <w:color w:val="C0C0C0"/>
        <w:sz w:val="22"/>
      </w:rPr>
      <w:t>Jednotná v rozmanitosti</w:t>
    </w:r>
    <w:r w:rsidRPr="00C020B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F4" w:rsidRPr="00C020B8" w:rsidRDefault="008F3EF4">
      <w:r w:rsidRPr="00C020B8">
        <w:separator/>
      </w:r>
    </w:p>
  </w:footnote>
  <w:footnote w:type="continuationSeparator" w:id="0">
    <w:p w:rsidR="008F3EF4" w:rsidRPr="00C020B8" w:rsidRDefault="008F3EF4">
      <w:r w:rsidRPr="00C020B8">
        <w:continuationSeparator/>
      </w:r>
    </w:p>
  </w:footnote>
  <w:footnote w:id="1">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C, C/2023/594, 27.10.2023.</w:t>
      </w:r>
    </w:p>
  </w:footnote>
  <w:footnote w:id="2">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C, C/2023/112, 12.10.2023.</w:t>
      </w:r>
    </w:p>
  </w:footnote>
  <w:footnote w:id="3">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L 193, 30.7.2018, s. 1.</w:t>
      </w:r>
    </w:p>
  </w:footnote>
  <w:footnote w:id="4">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w:t>
      </w:r>
      <w:proofErr w:type="spellStart"/>
      <w:r w:rsidRPr="00C020B8">
        <w:rPr>
          <w:sz w:val="24"/>
          <w:lang w:val="cs-CZ"/>
        </w:rPr>
        <w:t>věst</w:t>
      </w:r>
      <w:proofErr w:type="spellEnd"/>
      <w:r w:rsidRPr="00C020B8">
        <w:rPr>
          <w:sz w:val="24"/>
          <w:lang w:val="cs-CZ"/>
        </w:rPr>
        <w:t>. L 138, 26.5.2016, s. 1.</w:t>
      </w:r>
    </w:p>
  </w:footnote>
  <w:footnote w:id="5">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L 122, 10.5.2019, s. 1.</w:t>
      </w:r>
    </w:p>
  </w:footnote>
  <w:footnote w:id="6">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C, C/2023/594, 27.10.2023.</w:t>
      </w:r>
    </w:p>
  </w:footnote>
  <w:footnote w:id="7">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C, C/2023/112, 12.10.2023.</w:t>
      </w:r>
    </w:p>
  </w:footnote>
  <w:footnote w:id="8">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L 193, 30.7.2018, s. 1.</w:t>
      </w:r>
    </w:p>
  </w:footnote>
  <w:footnote w:id="9">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w:t>
      </w:r>
      <w:proofErr w:type="spellStart"/>
      <w:r w:rsidRPr="00C020B8">
        <w:rPr>
          <w:sz w:val="24"/>
          <w:lang w:val="cs-CZ"/>
        </w:rPr>
        <w:t>věst</w:t>
      </w:r>
      <w:proofErr w:type="spellEnd"/>
      <w:r w:rsidRPr="00C020B8">
        <w:rPr>
          <w:sz w:val="24"/>
          <w:lang w:val="cs-CZ"/>
        </w:rPr>
        <w:t>. L 138, 26.5.2016, s. 1.</w:t>
      </w:r>
    </w:p>
  </w:footnote>
  <w:footnote w:id="10">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L 122, 10.5.2019, s. 1.</w:t>
      </w:r>
    </w:p>
  </w:footnote>
  <w:footnote w:id="11">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proofErr w:type="spellStart"/>
      <w:r w:rsidRPr="00C020B8">
        <w:rPr>
          <w:sz w:val="24"/>
          <w:lang w:val="cs-CZ"/>
        </w:rPr>
        <w:t>Úř</w:t>
      </w:r>
      <w:proofErr w:type="spellEnd"/>
      <w:r w:rsidRPr="00C020B8">
        <w:rPr>
          <w:sz w:val="24"/>
          <w:lang w:val="cs-CZ"/>
        </w:rPr>
        <w:t xml:space="preserve">. </w:t>
      </w:r>
      <w:proofErr w:type="spellStart"/>
      <w:r w:rsidRPr="00C020B8">
        <w:rPr>
          <w:sz w:val="24"/>
          <w:lang w:val="cs-CZ"/>
        </w:rPr>
        <w:t>věst</w:t>
      </w:r>
      <w:proofErr w:type="spellEnd"/>
      <w:r w:rsidRPr="00C020B8">
        <w:rPr>
          <w:sz w:val="24"/>
          <w:lang w:val="cs-CZ"/>
        </w:rPr>
        <w:t>. C 38, 31.1.2023, s. 51.</w:t>
      </w:r>
    </w:p>
  </w:footnote>
  <w:footnote w:id="12">
    <w:p w:rsidR="000945E7" w:rsidRPr="00C020B8" w:rsidRDefault="000945E7" w:rsidP="00C020B8">
      <w:pPr>
        <w:pStyle w:val="FootnoteText"/>
        <w:ind w:left="567" w:hanging="567"/>
        <w:rPr>
          <w:sz w:val="24"/>
          <w:lang w:val="cs-CZ"/>
        </w:rPr>
      </w:pPr>
      <w:r w:rsidRPr="00C020B8">
        <w:rPr>
          <w:rStyle w:val="FootnoteReference"/>
          <w:sz w:val="24"/>
          <w:lang w:val="cs-CZ"/>
        </w:rPr>
        <w:footnoteRef/>
      </w:r>
      <w:r w:rsidR="00C020B8" w:rsidRPr="00C020B8">
        <w:rPr>
          <w:sz w:val="24"/>
          <w:lang w:val="cs-CZ"/>
        </w:rPr>
        <w:t xml:space="preserve"> </w:t>
      </w:r>
      <w:r w:rsidR="00C020B8" w:rsidRPr="00C020B8">
        <w:rPr>
          <w:sz w:val="24"/>
          <w:lang w:val="cs-CZ"/>
        </w:rPr>
        <w:tab/>
      </w:r>
      <w:r w:rsidRPr="00C020B8">
        <w:rPr>
          <w:sz w:val="24"/>
          <w:lang w:val="cs-CZ"/>
        </w:rPr>
        <w:t>Přijaté texty, P9_TA(2024)0</w:t>
      </w:r>
      <w:r w:rsidR="00F31343">
        <w:rPr>
          <w:sz w:val="24"/>
          <w:lang w:val="cs-CZ"/>
        </w:rPr>
        <w:t>28</w:t>
      </w:r>
      <w:r w:rsidRPr="00C020B8">
        <w:rPr>
          <w:sz w:val="24"/>
          <w:lang w:val="cs-CZ"/>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0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CS"/>
    <w:docVar w:name="dvnumam" w:val="0"/>
    <w:docVar w:name="dvpe" w:val="753.528"/>
    <w:docVar w:name="dvrapporteur" w:val="Zpravodaj: "/>
    <w:docVar w:name="dvtitre" w:val="1. Rozhodnutí Evropského parlamentu ze dne 11. dubna 2024 o udělení absolutoria za plnění rozpočtu Agentury Evropské unie pro železnice na rozpočtový rok 2022(2023/2160(DEC))"/>
  </w:docVars>
  <w:rsids>
    <w:rsidRoot w:val="008F3EF4"/>
    <w:rsid w:val="00002272"/>
    <w:rsid w:val="00064002"/>
    <w:rsid w:val="000677B9"/>
    <w:rsid w:val="000831BA"/>
    <w:rsid w:val="000945E7"/>
    <w:rsid w:val="000A42CC"/>
    <w:rsid w:val="000E7DD9"/>
    <w:rsid w:val="0010095E"/>
    <w:rsid w:val="00125B37"/>
    <w:rsid w:val="00187494"/>
    <w:rsid w:val="001F32AE"/>
    <w:rsid w:val="002767FF"/>
    <w:rsid w:val="002B18FE"/>
    <w:rsid w:val="002B5493"/>
    <w:rsid w:val="00343214"/>
    <w:rsid w:val="00361C00"/>
    <w:rsid w:val="00395FA1"/>
    <w:rsid w:val="003D7E49"/>
    <w:rsid w:val="003E15D4"/>
    <w:rsid w:val="00411CCE"/>
    <w:rsid w:val="0041666E"/>
    <w:rsid w:val="00421060"/>
    <w:rsid w:val="00447057"/>
    <w:rsid w:val="00471C19"/>
    <w:rsid w:val="004867E3"/>
    <w:rsid w:val="00494A28"/>
    <w:rsid w:val="004C0004"/>
    <w:rsid w:val="004C5D52"/>
    <w:rsid w:val="0050519A"/>
    <w:rsid w:val="005072A1"/>
    <w:rsid w:val="00514517"/>
    <w:rsid w:val="005269A6"/>
    <w:rsid w:val="00545827"/>
    <w:rsid w:val="00560270"/>
    <w:rsid w:val="005C2568"/>
    <w:rsid w:val="006037C0"/>
    <w:rsid w:val="006342E4"/>
    <w:rsid w:val="006631B6"/>
    <w:rsid w:val="00680577"/>
    <w:rsid w:val="00691DC7"/>
    <w:rsid w:val="006F74FA"/>
    <w:rsid w:val="00731ADD"/>
    <w:rsid w:val="00734777"/>
    <w:rsid w:val="00747932"/>
    <w:rsid w:val="00751A4A"/>
    <w:rsid w:val="00756632"/>
    <w:rsid w:val="00762C74"/>
    <w:rsid w:val="00786EC0"/>
    <w:rsid w:val="00787824"/>
    <w:rsid w:val="007D1690"/>
    <w:rsid w:val="007E22AD"/>
    <w:rsid w:val="00817416"/>
    <w:rsid w:val="00842779"/>
    <w:rsid w:val="00865F67"/>
    <w:rsid w:val="008719B7"/>
    <w:rsid w:val="00881A7B"/>
    <w:rsid w:val="008840E5"/>
    <w:rsid w:val="00887B3E"/>
    <w:rsid w:val="008C2AC6"/>
    <w:rsid w:val="008F3EF4"/>
    <w:rsid w:val="00930C23"/>
    <w:rsid w:val="0093193B"/>
    <w:rsid w:val="009509D8"/>
    <w:rsid w:val="00950B64"/>
    <w:rsid w:val="00981893"/>
    <w:rsid w:val="009B06CC"/>
    <w:rsid w:val="00A1687D"/>
    <w:rsid w:val="00A43E52"/>
    <w:rsid w:val="00A4678D"/>
    <w:rsid w:val="00A778C7"/>
    <w:rsid w:val="00AB441E"/>
    <w:rsid w:val="00AB6293"/>
    <w:rsid w:val="00AE0928"/>
    <w:rsid w:val="00AF3B82"/>
    <w:rsid w:val="00B04FFC"/>
    <w:rsid w:val="00B12E95"/>
    <w:rsid w:val="00B22876"/>
    <w:rsid w:val="00B558F0"/>
    <w:rsid w:val="00BD48FE"/>
    <w:rsid w:val="00BD7BD8"/>
    <w:rsid w:val="00BE6ADC"/>
    <w:rsid w:val="00C020B8"/>
    <w:rsid w:val="00C05BFE"/>
    <w:rsid w:val="00C23CD4"/>
    <w:rsid w:val="00C61C0C"/>
    <w:rsid w:val="00C75E03"/>
    <w:rsid w:val="00C941CB"/>
    <w:rsid w:val="00CC2357"/>
    <w:rsid w:val="00CF071A"/>
    <w:rsid w:val="00D058B8"/>
    <w:rsid w:val="00D56C11"/>
    <w:rsid w:val="00D60E36"/>
    <w:rsid w:val="00D834A0"/>
    <w:rsid w:val="00D872DF"/>
    <w:rsid w:val="00D91E21"/>
    <w:rsid w:val="00DA7FCD"/>
    <w:rsid w:val="00DB712C"/>
    <w:rsid w:val="00E365E1"/>
    <w:rsid w:val="00E820A4"/>
    <w:rsid w:val="00EB006A"/>
    <w:rsid w:val="00EB4772"/>
    <w:rsid w:val="00ED169E"/>
    <w:rsid w:val="00ED4235"/>
    <w:rsid w:val="00F04346"/>
    <w:rsid w:val="00F075DC"/>
    <w:rsid w:val="00F149E9"/>
    <w:rsid w:val="00F22F86"/>
    <w:rsid w:val="00F31343"/>
    <w:rsid w:val="00F5134D"/>
    <w:rsid w:val="00F74202"/>
    <w:rsid w:val="00F87713"/>
    <w:rsid w:val="00FB4360"/>
    <w:rsid w:val="00FD0C70"/>
    <w:rsid w:val="00FD2C9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15B81"/>
  <w15:chartTrackingRefBased/>
  <w15:docId w15:val="{1067DC13-2A26-47B1-9EBA-E88F20D1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45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45E7"/>
    <w:pPr>
      <w:spacing w:before="480" w:after="240"/>
    </w:pPr>
  </w:style>
  <w:style w:type="paragraph" w:customStyle="1" w:styleId="PageHeading">
    <w:name w:val="PageHeading"/>
    <w:basedOn w:val="Normal"/>
    <w:rsid w:val="000945E7"/>
    <w:pPr>
      <w:keepNext/>
      <w:spacing w:after="480"/>
      <w:jc w:val="center"/>
    </w:pPr>
    <w:rPr>
      <w:rFonts w:ascii="Arial" w:hAnsi="Arial" w:cs="Arial"/>
      <w:b/>
    </w:rPr>
  </w:style>
  <w:style w:type="paragraph" w:customStyle="1" w:styleId="NormalBold">
    <w:name w:val="NormalBold"/>
    <w:basedOn w:val="Normal"/>
    <w:rsid w:val="000945E7"/>
    <w:rPr>
      <w:b/>
    </w:rPr>
  </w:style>
  <w:style w:type="paragraph" w:customStyle="1" w:styleId="NormalHanging12a">
    <w:name w:val="NormalHanging12a"/>
    <w:basedOn w:val="Normal"/>
    <w:link w:val="NormalHanging12aChar"/>
    <w:rsid w:val="000945E7"/>
    <w:pPr>
      <w:spacing w:after="240"/>
      <w:ind w:left="567" w:hanging="567"/>
    </w:pPr>
  </w:style>
  <w:style w:type="paragraph" w:customStyle="1" w:styleId="NormalCenter12a">
    <w:name w:val="NormalCenter12a"/>
    <w:basedOn w:val="Normal"/>
    <w:rsid w:val="000945E7"/>
    <w:pPr>
      <w:spacing w:after="240"/>
      <w:jc w:val="center"/>
    </w:pPr>
  </w:style>
  <w:style w:type="paragraph" w:styleId="Header">
    <w:name w:val="header"/>
    <w:basedOn w:val="Normal"/>
    <w:link w:val="HeaderChar"/>
    <w:rsid w:val="000945E7"/>
    <w:pPr>
      <w:tabs>
        <w:tab w:val="center" w:pos="4513"/>
        <w:tab w:val="right" w:pos="9026"/>
      </w:tabs>
    </w:pPr>
  </w:style>
  <w:style w:type="character" w:customStyle="1" w:styleId="HeaderChar">
    <w:name w:val="Header Char"/>
    <w:basedOn w:val="DefaultParagraphFont"/>
    <w:link w:val="Header"/>
    <w:rsid w:val="000945E7"/>
    <w:rPr>
      <w:sz w:val="24"/>
      <w:lang w:val="cs-CZ"/>
    </w:rPr>
  </w:style>
  <w:style w:type="paragraph" w:customStyle="1" w:styleId="EPFooter">
    <w:name w:val="EPFooter"/>
    <w:basedOn w:val="Normal"/>
    <w:rsid w:val="000945E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945E7"/>
    <w:rPr>
      <w:sz w:val="24"/>
      <w:lang w:val="cs-CZ"/>
    </w:rPr>
  </w:style>
  <w:style w:type="paragraph" w:styleId="Footer">
    <w:name w:val="footer"/>
    <w:basedOn w:val="Normal"/>
    <w:link w:val="FooterChar"/>
    <w:rsid w:val="00691DC7"/>
    <w:pPr>
      <w:tabs>
        <w:tab w:val="center" w:pos="4513"/>
        <w:tab w:val="right" w:pos="9026"/>
      </w:tabs>
    </w:pPr>
  </w:style>
  <w:style w:type="character" w:customStyle="1" w:styleId="FooterChar">
    <w:name w:val="Footer Char"/>
    <w:basedOn w:val="DefaultParagraphFont"/>
    <w:link w:val="Footer"/>
    <w:rsid w:val="00691DC7"/>
    <w:rPr>
      <w:sz w:val="24"/>
      <w:lang w:val="cs-CZ"/>
    </w:rPr>
  </w:style>
  <w:style w:type="paragraph" w:styleId="BalloonText">
    <w:name w:val="Balloon Text"/>
    <w:basedOn w:val="Normal"/>
    <w:link w:val="BalloonTextChar"/>
    <w:rsid w:val="008719B7"/>
    <w:rPr>
      <w:rFonts w:ascii="Segoe UI" w:hAnsi="Segoe UI" w:cs="Segoe UI"/>
      <w:sz w:val="18"/>
      <w:szCs w:val="18"/>
    </w:rPr>
  </w:style>
  <w:style w:type="character" w:customStyle="1" w:styleId="BalloonTextChar">
    <w:name w:val="Balloon Text Char"/>
    <w:basedOn w:val="DefaultParagraphFont"/>
    <w:link w:val="BalloonText"/>
    <w:rsid w:val="008719B7"/>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A886A-CC56-4B6C-8FDA-2AD419CF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4770</Words>
  <Characters>27190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2024-05-15T11:44:00Z</dcterms:created>
  <dcterms:modified xsi:type="dcterms:W3CDTF">2024-05-15T11:44:00Z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P9_TA(2024)0253_</vt:lpwstr>
  </property>
  <property fmtid="{D5CDD505-2E9C-101B-9397-08002B2CF9AE}" pid="4" name="&lt;Type&gt;">
    <vt:lpwstr>RR</vt:lpwstr>
  </property>
</Properties>
</file>