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381D" w14:paraId="3E63FBA5" w14:textId="77777777" w:rsidTr="0010095E">
        <w:trPr>
          <w:trHeight w:hRule="exact" w:val="1418"/>
        </w:trPr>
        <w:tc>
          <w:tcPr>
            <w:tcW w:w="6804" w:type="dxa"/>
            <w:shd w:val="clear" w:color="auto" w:fill="auto"/>
            <w:vAlign w:val="center"/>
          </w:tcPr>
          <w:p w14:paraId="62AE255B" w14:textId="77777777" w:rsidR="00751A4A" w:rsidRPr="005E381D" w:rsidRDefault="00560FAB" w:rsidP="0010095E">
            <w:pPr>
              <w:pStyle w:val="EPName"/>
            </w:pPr>
            <w:r w:rsidRPr="005E381D">
              <w:t>Europa-Parlamentet</w:t>
            </w:r>
          </w:p>
          <w:p w14:paraId="4DDC087F" w14:textId="77777777" w:rsidR="00751A4A" w:rsidRPr="005E381D" w:rsidRDefault="00817416" w:rsidP="00756632">
            <w:pPr>
              <w:pStyle w:val="EPTerm"/>
              <w:rPr>
                <w:rStyle w:val="HideTWBExt"/>
                <w:noProof w:val="0"/>
                <w:vanish w:val="0"/>
                <w:color w:val="auto"/>
              </w:rPr>
            </w:pPr>
            <w:r w:rsidRPr="005E381D">
              <w:t>2019-2024</w:t>
            </w:r>
          </w:p>
        </w:tc>
        <w:tc>
          <w:tcPr>
            <w:tcW w:w="2268" w:type="dxa"/>
            <w:shd w:val="clear" w:color="auto" w:fill="auto"/>
          </w:tcPr>
          <w:p w14:paraId="0D3ED452" w14:textId="77777777" w:rsidR="00751A4A" w:rsidRPr="005E381D" w:rsidRDefault="00187494" w:rsidP="0010095E">
            <w:pPr>
              <w:pStyle w:val="EPLogo"/>
            </w:pPr>
            <w:r w:rsidRPr="005E381D">
              <w:rPr>
                <w:noProof/>
                <w:lang w:val="en-GB"/>
              </w:rPr>
              <w:drawing>
                <wp:inline distT="0" distB="0" distL="0" distR="0" wp14:anchorId="00CC438D" wp14:editId="374832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B9C914" w14:textId="77777777" w:rsidR="00D058B8" w:rsidRPr="005E381D" w:rsidRDefault="00D058B8" w:rsidP="004C5D52">
      <w:pPr>
        <w:pStyle w:val="LineTop"/>
      </w:pPr>
    </w:p>
    <w:p w14:paraId="1E63B978" w14:textId="77777777" w:rsidR="00680577" w:rsidRPr="005E381D" w:rsidRDefault="00560FAB" w:rsidP="00680577">
      <w:pPr>
        <w:pStyle w:val="EPBodyTA1"/>
      </w:pPr>
      <w:r w:rsidRPr="005E381D">
        <w:t>VEDTAGNE TEKSTER</w:t>
      </w:r>
    </w:p>
    <w:p w14:paraId="72CEE2B8" w14:textId="77777777" w:rsidR="00D058B8" w:rsidRPr="005E381D" w:rsidRDefault="00D058B8" w:rsidP="00D058B8">
      <w:pPr>
        <w:pStyle w:val="LineBottom"/>
      </w:pPr>
    </w:p>
    <w:p w14:paraId="05DC9A8B" w14:textId="18837A53" w:rsidR="00560FAB" w:rsidRPr="005E381D" w:rsidRDefault="00560FAB" w:rsidP="00560FAB">
      <w:pPr>
        <w:pStyle w:val="ATHeading1"/>
      </w:pPr>
      <w:bookmarkStart w:id="0" w:name="TANumber"/>
      <w:r w:rsidRPr="005E381D">
        <w:t>P9_</w:t>
      </w:r>
      <w:proofErr w:type="gramStart"/>
      <w:r w:rsidRPr="005E381D">
        <w:t>TA(</w:t>
      </w:r>
      <w:proofErr w:type="gramEnd"/>
      <w:r w:rsidRPr="005E381D">
        <w:t>2024)0</w:t>
      </w:r>
      <w:bookmarkEnd w:id="0"/>
      <w:r w:rsidR="00FB08C5">
        <w:t>253</w:t>
      </w:r>
    </w:p>
    <w:p w14:paraId="7B2176F9" w14:textId="77777777" w:rsidR="00560FAB" w:rsidRPr="005E381D" w:rsidRDefault="00413DBE" w:rsidP="00560FAB">
      <w:pPr>
        <w:pStyle w:val="ATHeading2"/>
      </w:pPr>
      <w:r w:rsidRPr="00413DBE">
        <w:t>Decharge 2022: Den Europæiske Unions Jernbaneagentur</w:t>
      </w:r>
    </w:p>
    <w:p w14:paraId="4DDE1C4D" w14:textId="77777777" w:rsidR="00560FAB" w:rsidRPr="005E381D" w:rsidRDefault="00560FAB" w:rsidP="00560FAB">
      <w:pPr>
        <w:rPr>
          <w:i/>
          <w:vanish/>
        </w:rPr>
      </w:pPr>
      <w:r w:rsidRPr="005E381D">
        <w:rPr>
          <w:i/>
        </w:rPr>
        <w:fldChar w:fldCharType="begin"/>
      </w:r>
      <w:r w:rsidRPr="005E381D">
        <w:rPr>
          <w:i/>
        </w:rPr>
        <w:instrText xml:space="preserve"> TC"(</w:instrText>
      </w:r>
      <w:bookmarkStart w:id="1" w:name="DocNumber"/>
      <w:r w:rsidRPr="005E381D">
        <w:rPr>
          <w:i/>
        </w:rPr>
        <w:instrText>A9-0092/2024</w:instrText>
      </w:r>
      <w:bookmarkEnd w:id="1"/>
      <w:r w:rsidRPr="005E381D">
        <w:rPr>
          <w:i/>
        </w:rPr>
        <w:instrText xml:space="preserve"> - Ordfører: Petri Sarvamaa)"\l3 \n&gt; \* MERGEFORMAT </w:instrText>
      </w:r>
      <w:r w:rsidRPr="005E381D">
        <w:rPr>
          <w:i/>
        </w:rPr>
        <w:fldChar w:fldCharType="end"/>
      </w:r>
    </w:p>
    <w:p w14:paraId="5CF09AE6" w14:textId="77777777" w:rsidR="00560FAB" w:rsidRPr="005E381D" w:rsidRDefault="00560FAB" w:rsidP="00560FAB">
      <w:pPr>
        <w:rPr>
          <w:vanish/>
        </w:rPr>
      </w:pPr>
      <w:bookmarkStart w:id="2" w:name="Commission"/>
      <w:r w:rsidRPr="005E381D">
        <w:rPr>
          <w:vanish/>
        </w:rPr>
        <w:t>Budgetkontroludvalget</w:t>
      </w:r>
      <w:bookmarkEnd w:id="2"/>
    </w:p>
    <w:p w14:paraId="15735D19" w14:textId="77777777" w:rsidR="00560FAB" w:rsidRPr="005E381D" w:rsidRDefault="00560FAB" w:rsidP="00560FAB">
      <w:pPr>
        <w:rPr>
          <w:vanish/>
        </w:rPr>
      </w:pPr>
      <w:bookmarkStart w:id="3" w:name="PE"/>
      <w:r w:rsidRPr="005E381D">
        <w:rPr>
          <w:vanish/>
        </w:rPr>
        <w:t>PE753.528</w:t>
      </w:r>
      <w:bookmarkEnd w:id="3"/>
    </w:p>
    <w:p w14:paraId="05C73F02" w14:textId="77777777" w:rsidR="00560FAB" w:rsidRPr="005E381D" w:rsidRDefault="00312E47" w:rsidP="00560FAB">
      <w:pPr>
        <w:pStyle w:val="ATHeading3"/>
      </w:pPr>
      <w:bookmarkStart w:id="4" w:name="Sujet"/>
      <w:r>
        <w:t xml:space="preserve">1. </w:t>
      </w:r>
      <w:r w:rsidRPr="009574E6">
        <w:t xml:space="preserve">Europa-Parlamentets </w:t>
      </w:r>
      <w:r>
        <w:t xml:space="preserve">afgørelse af 11. april 2024 </w:t>
      </w:r>
      <w:r w:rsidRPr="009574E6">
        <w:t>om decharge</w:t>
      </w:r>
      <w:r w:rsidR="00560FAB" w:rsidRPr="005E381D">
        <w:t xml:space="preserve"> for gennemførelsen af budgettet for Den Europæiske Unions Jernbaneagentur for regnskabsåret 2022</w:t>
      </w:r>
      <w:bookmarkEnd w:id="4"/>
      <w:r w:rsidR="00560FAB" w:rsidRPr="005E381D">
        <w:t xml:space="preserve"> </w:t>
      </w:r>
      <w:bookmarkStart w:id="5" w:name="References"/>
      <w:r w:rsidR="00560FAB" w:rsidRPr="005E381D">
        <w:t>(2023/2160(DEC))</w:t>
      </w:r>
      <w:bookmarkEnd w:id="5"/>
    </w:p>
    <w:p w14:paraId="47C8E8AC" w14:textId="77777777" w:rsidR="00A836A0" w:rsidRPr="005E381D" w:rsidRDefault="00A836A0" w:rsidP="00A836A0">
      <w:pPr>
        <w:pStyle w:val="EPComma"/>
      </w:pPr>
      <w:bookmarkStart w:id="6" w:name="TextBodyBegin"/>
      <w:bookmarkEnd w:id="6"/>
      <w:r w:rsidRPr="005E381D">
        <w:rPr>
          <w:i/>
        </w:rPr>
        <w:t>Europa-Parlamentet</w:t>
      </w:r>
      <w:r w:rsidRPr="005E381D">
        <w:t>,</w:t>
      </w:r>
    </w:p>
    <w:p w14:paraId="0192EA20" w14:textId="77777777" w:rsidR="00A836A0" w:rsidRPr="005E381D" w:rsidRDefault="00A836A0" w:rsidP="00A836A0">
      <w:pPr>
        <w:pStyle w:val="NormalHanging12a"/>
      </w:pPr>
      <w:r w:rsidRPr="005E381D">
        <w:t>–</w:t>
      </w:r>
      <w:r w:rsidRPr="005E381D">
        <w:tab/>
        <w:t>der henviser til det endelige årsregnskab for Den Europæiske Unions Jernbaneagentur for regnskabsåret 2022,</w:t>
      </w:r>
    </w:p>
    <w:p w14:paraId="7C2C86B8" w14:textId="77777777" w:rsidR="00A836A0" w:rsidRPr="005E381D" w:rsidRDefault="00A836A0" w:rsidP="00A836A0">
      <w:pPr>
        <w:pStyle w:val="NormalHanging12a"/>
      </w:pPr>
      <w:r w:rsidRPr="005E381D">
        <w:t>–</w:t>
      </w:r>
      <w:r w:rsidRPr="005E381D">
        <w:tab/>
        <w:t>der henviser til Revisionsrettens årsberetning om EU-agenturerne for regnskabsåret 2022, med agenturernes svar</w:t>
      </w:r>
      <w:r w:rsidRPr="005E381D">
        <w:rPr>
          <w:rStyle w:val="FootnoteReference"/>
        </w:rPr>
        <w:footnoteReference w:id="1"/>
      </w:r>
      <w:r w:rsidRPr="005E381D">
        <w:t>,</w:t>
      </w:r>
    </w:p>
    <w:p w14:paraId="53392A6B" w14:textId="77777777" w:rsidR="00A836A0" w:rsidRPr="005E381D" w:rsidRDefault="00A836A0" w:rsidP="00A836A0">
      <w:pPr>
        <w:pStyle w:val="NormalHanging12a"/>
      </w:pPr>
      <w:r w:rsidRPr="005E381D">
        <w:t>–</w:t>
      </w:r>
      <w:r w:rsidRPr="005E381D">
        <w:tab/>
        <w:t>der henviser til Revisionsrettens erklæring</w:t>
      </w:r>
      <w:r w:rsidRPr="005E381D">
        <w:rPr>
          <w:rStyle w:val="FootnoteReference"/>
        </w:rPr>
        <w:footnoteReference w:id="2"/>
      </w:r>
      <w:r w:rsidRPr="005E381D">
        <w:t xml:space="preserve"> for regnskabsåret 2022 om regnskabernes rigtighed og de underliggende transaktioners lovlighed og formelle rigtighed, jf. artikel 287 i traktaten om Den Europæiske Unions funktionsmåde,</w:t>
      </w:r>
    </w:p>
    <w:p w14:paraId="531D2DB3" w14:textId="451DE386" w:rsidR="00A836A0" w:rsidRPr="005E381D" w:rsidRDefault="00A836A0" w:rsidP="00A836A0">
      <w:pPr>
        <w:pStyle w:val="NormalHanging12a"/>
      </w:pPr>
      <w:r w:rsidRPr="005E381D">
        <w:t>–</w:t>
      </w:r>
      <w:r w:rsidRPr="005E381D">
        <w:tab/>
        <w:t>der henviser til Rådets henstilling af 22. februar 2024 om decharge til agenturet for gennemførelsen af budgettet for regnskabsåret 2022 (</w:t>
      </w:r>
      <w:r w:rsidR="00C43F24">
        <w:t>06180</w:t>
      </w:r>
      <w:r w:rsidRPr="005E381D">
        <w:t>/2024 – C9</w:t>
      </w:r>
      <w:r w:rsidRPr="005E381D">
        <w:noBreakHyphen/>
        <w:t>00</w:t>
      </w:r>
      <w:r w:rsidR="00C43F24">
        <w:t>98</w:t>
      </w:r>
      <w:r w:rsidRPr="005E381D">
        <w:t>/2024),</w:t>
      </w:r>
    </w:p>
    <w:p w14:paraId="216F1C46" w14:textId="77777777" w:rsidR="00A836A0" w:rsidRPr="005E381D" w:rsidRDefault="00A836A0" w:rsidP="00A836A0">
      <w:pPr>
        <w:pStyle w:val="NormalHanging12a"/>
      </w:pPr>
      <w:r w:rsidRPr="005E381D">
        <w:t>–</w:t>
      </w:r>
      <w:r w:rsidRPr="005E381D">
        <w:tab/>
        <w:t>der henviser til artikel 319 i traktaten om Den Europæiske Unions funktionsmåde,</w:t>
      </w:r>
    </w:p>
    <w:p w14:paraId="3E9C60A7" w14:textId="77777777" w:rsidR="00A836A0" w:rsidRPr="005E381D" w:rsidRDefault="00A836A0" w:rsidP="00A836A0">
      <w:pPr>
        <w:pStyle w:val="NormalHanging12a"/>
      </w:pPr>
      <w:r w:rsidRPr="005E381D">
        <w:t>–</w:t>
      </w:r>
      <w:r w:rsidRPr="005E381D">
        <w:tab/>
        <w:t xml:space="preserve">der henviser til Europa-Parlamentets og Rådets forordning (EU, </w:t>
      </w:r>
      <w:proofErr w:type="spellStart"/>
      <w:r w:rsidRPr="005E381D">
        <w:t>Euratom</w:t>
      </w:r>
      <w:proofErr w:type="spellEnd"/>
      <w:r w:rsidRPr="005E381D">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5E381D">
        <w:t>Euratom</w:t>
      </w:r>
      <w:proofErr w:type="spellEnd"/>
      <w:r w:rsidRPr="005E381D">
        <w:t>) nr. 966/2012</w:t>
      </w:r>
      <w:r w:rsidRPr="005E381D">
        <w:rPr>
          <w:rStyle w:val="FootnoteReference"/>
        </w:rPr>
        <w:footnoteReference w:id="3"/>
      </w:r>
      <w:r w:rsidRPr="005E381D">
        <w:t>, særlig artikel 70,</w:t>
      </w:r>
    </w:p>
    <w:p w14:paraId="1034BB7D" w14:textId="77777777" w:rsidR="00A836A0" w:rsidRPr="005E381D" w:rsidRDefault="00A836A0" w:rsidP="00A836A0">
      <w:pPr>
        <w:pStyle w:val="NormalHanging12a"/>
      </w:pPr>
      <w:r w:rsidRPr="005E381D">
        <w:t>–</w:t>
      </w:r>
      <w:r w:rsidRPr="005E381D">
        <w:tab/>
        <w:t>der henviser til Europa-Parlamentets og Rådets forordning (EU) 2016/796 af 11. maj 2016 om Den Europæiske Unions Jernbaneagentur og om ophævelse af forordning (EF) nr. 881/2004</w:t>
      </w:r>
      <w:r w:rsidRPr="005E381D">
        <w:rPr>
          <w:rStyle w:val="FootnoteReference"/>
        </w:rPr>
        <w:footnoteReference w:id="4"/>
      </w:r>
      <w:r w:rsidRPr="005E381D">
        <w:t>, særlig artikel 65,</w:t>
      </w:r>
    </w:p>
    <w:p w14:paraId="52097590" w14:textId="77777777" w:rsidR="00A836A0" w:rsidRPr="005E381D" w:rsidRDefault="00A836A0" w:rsidP="00A836A0">
      <w:pPr>
        <w:pStyle w:val="NormalHanging12a"/>
      </w:pPr>
      <w:r w:rsidRPr="005E381D">
        <w:t>–</w:t>
      </w:r>
      <w:r w:rsidRPr="005E381D">
        <w:tab/>
        <w:t xml:space="preserve">der henviser til Kommissionens delegerede forordning (EU) 2019/715 af </w:t>
      </w:r>
      <w:r w:rsidRPr="005E381D">
        <w:lastRenderedPageBreak/>
        <w:t xml:space="preserve">18. december 2018 om </w:t>
      </w:r>
      <w:proofErr w:type="spellStart"/>
      <w:r w:rsidRPr="005E381D">
        <w:t>rammefinansforordningen</w:t>
      </w:r>
      <w:proofErr w:type="spellEnd"/>
      <w:r w:rsidRPr="005E381D">
        <w:t xml:space="preserve"> for de organer, der er nedsat i henhold til TEUF og </w:t>
      </w:r>
      <w:proofErr w:type="spellStart"/>
      <w:r w:rsidRPr="005E381D">
        <w:t>Euratomtraktaten</w:t>
      </w:r>
      <w:proofErr w:type="spellEnd"/>
      <w:r w:rsidRPr="005E381D">
        <w:t xml:space="preserve"> og omhandlet i artikel 70 i Europa-Parlamentets og Rådets forordning (EU, </w:t>
      </w:r>
      <w:proofErr w:type="spellStart"/>
      <w:r w:rsidRPr="005E381D">
        <w:t>Euratom</w:t>
      </w:r>
      <w:proofErr w:type="spellEnd"/>
      <w:r w:rsidRPr="005E381D">
        <w:t>) 2018/1046</w:t>
      </w:r>
      <w:r w:rsidRPr="005E381D">
        <w:rPr>
          <w:rStyle w:val="FootnoteReference"/>
        </w:rPr>
        <w:footnoteReference w:id="5"/>
      </w:r>
      <w:r w:rsidRPr="005E381D">
        <w:t>, særlig artikel 105,</w:t>
      </w:r>
    </w:p>
    <w:p w14:paraId="4FEFF645" w14:textId="77777777" w:rsidR="00A836A0" w:rsidRPr="005E381D" w:rsidRDefault="00A836A0" w:rsidP="00A836A0">
      <w:pPr>
        <w:pStyle w:val="NormalHanging12a"/>
      </w:pPr>
      <w:r w:rsidRPr="005E381D">
        <w:t>–</w:t>
      </w:r>
      <w:r w:rsidRPr="005E381D">
        <w:tab/>
        <w:t>der henviser til forretningsordenens artikel 100 og bilag V,</w:t>
      </w:r>
    </w:p>
    <w:p w14:paraId="43C7908E" w14:textId="77777777" w:rsidR="00A836A0" w:rsidRPr="005E381D" w:rsidRDefault="00A836A0" w:rsidP="00A836A0">
      <w:pPr>
        <w:pStyle w:val="NormalHanging12a"/>
      </w:pPr>
      <w:r w:rsidRPr="005E381D">
        <w:t>–</w:t>
      </w:r>
      <w:r w:rsidRPr="005E381D">
        <w:tab/>
        <w:t>der henviser til udtalelse fra Transport- og Turismeudvalget,</w:t>
      </w:r>
    </w:p>
    <w:p w14:paraId="5A01691B" w14:textId="77777777" w:rsidR="00A836A0" w:rsidRPr="005E381D" w:rsidRDefault="00A836A0" w:rsidP="00A836A0">
      <w:pPr>
        <w:pStyle w:val="NormalHanging12a"/>
      </w:pPr>
      <w:r w:rsidRPr="005E381D">
        <w:t>–</w:t>
      </w:r>
      <w:r w:rsidRPr="005E381D">
        <w:tab/>
        <w:t>der henviser til betænkning fra Budgetkontroludvalget (A9</w:t>
      </w:r>
      <w:r w:rsidRPr="005E381D">
        <w:noBreakHyphen/>
        <w:t>0092/2024),</w:t>
      </w:r>
    </w:p>
    <w:p w14:paraId="032A22A1" w14:textId="77777777" w:rsidR="00A836A0" w:rsidRPr="005E381D" w:rsidRDefault="00A836A0" w:rsidP="00A836A0">
      <w:pPr>
        <w:pStyle w:val="NormalHanging12a"/>
      </w:pPr>
      <w:r w:rsidRPr="005E381D">
        <w:t>1.</w:t>
      </w:r>
      <w:r w:rsidRPr="005E381D">
        <w:tab/>
        <w:t>meddeler den administrerende direktør for Den Europæiske Unions Jernbaneagentur decharge for gennemførelsen af agenturets budget for regnskabsåret 2022;</w:t>
      </w:r>
    </w:p>
    <w:p w14:paraId="027F2A99" w14:textId="77777777" w:rsidR="00A836A0" w:rsidRPr="005E381D" w:rsidRDefault="00A836A0" w:rsidP="00A836A0">
      <w:pPr>
        <w:pStyle w:val="NormalHanging12a"/>
      </w:pPr>
      <w:r w:rsidRPr="005E381D">
        <w:t>2.</w:t>
      </w:r>
      <w:r w:rsidRPr="005E381D">
        <w:tab/>
        <w:t>fremsætter sine bemærkninger i nedenstående beslutning;</w:t>
      </w:r>
    </w:p>
    <w:p w14:paraId="6391D439" w14:textId="77777777" w:rsidR="00A836A0" w:rsidRPr="005E381D" w:rsidRDefault="00A836A0" w:rsidP="00A836A0">
      <w:pPr>
        <w:pStyle w:val="NormalHanging12a"/>
      </w:pPr>
      <w:r w:rsidRPr="005E381D">
        <w:t>3.</w:t>
      </w:r>
      <w:r w:rsidRPr="005E381D">
        <w:tab/>
        <w:t xml:space="preserve">pålægger sin formand at sende denne afgørelse og beslutningen, der er en integrerende del heraf, til den administrerende direktør for Den Europæiske Unions Jernbaneagentur, Rådet, Kommissionen og Revisionsretten og drage omsorg for, at de offentliggøres i </w:t>
      </w:r>
      <w:r w:rsidRPr="005E381D">
        <w:rPr>
          <w:i/>
        </w:rPr>
        <w:t>Den Europæiske Unions Tidende</w:t>
      </w:r>
      <w:r w:rsidRPr="005E381D">
        <w:t xml:space="preserve"> (L-udgaven).</w:t>
      </w:r>
    </w:p>
    <w:p w14:paraId="6C8778B9" w14:textId="77777777" w:rsidR="00A836A0" w:rsidRPr="005E381D" w:rsidRDefault="00A836A0" w:rsidP="00A836A0"/>
    <w:p w14:paraId="242F4A98" w14:textId="77777777" w:rsidR="00A836A0" w:rsidRPr="005E381D" w:rsidRDefault="00A836A0" w:rsidP="00A836A0">
      <w:pPr>
        <w:widowControl/>
        <w:rPr>
          <w:rFonts w:ascii="Arial" w:hAnsi="Arial" w:cs="Arial"/>
          <w:b/>
        </w:rPr>
        <w:sectPr w:rsidR="00A836A0" w:rsidRPr="005E381D" w:rsidSect="005E38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454D6696" w14:textId="77777777" w:rsidR="00312E47" w:rsidRPr="009574E6" w:rsidRDefault="00312E47" w:rsidP="00312E47">
      <w:pPr>
        <w:pStyle w:val="ATHeading3"/>
      </w:pPr>
      <w:r>
        <w:lastRenderedPageBreak/>
        <w:t xml:space="preserve">2. </w:t>
      </w:r>
      <w:r w:rsidRPr="009574E6">
        <w:t xml:space="preserve">Europa-Parlamentets afgørelse af </w:t>
      </w:r>
      <w:r>
        <w:t>11. april 2024</w:t>
      </w:r>
      <w:r w:rsidRPr="009574E6">
        <w:t xml:space="preserve"> </w:t>
      </w:r>
      <w:r w:rsidRPr="005E381D">
        <w:t>om afslutning af regnskaberne for Den Europæiske Unions Jernbaneagentur for regnskabsåret 2022</w:t>
      </w:r>
      <w:r>
        <w:t xml:space="preserve"> </w:t>
      </w:r>
      <w:r w:rsidRPr="005E381D">
        <w:t>(2023/2160(DEC))</w:t>
      </w:r>
    </w:p>
    <w:p w14:paraId="45655944" w14:textId="77777777" w:rsidR="00A836A0" w:rsidRPr="005E381D" w:rsidRDefault="00A836A0" w:rsidP="00A836A0">
      <w:pPr>
        <w:pStyle w:val="EPComma"/>
      </w:pPr>
      <w:r w:rsidRPr="005E381D">
        <w:rPr>
          <w:i/>
        </w:rPr>
        <w:t>Europa-Parlamentet</w:t>
      </w:r>
      <w:r w:rsidRPr="005E381D">
        <w:t>,</w:t>
      </w:r>
    </w:p>
    <w:p w14:paraId="5C1E5833" w14:textId="77777777" w:rsidR="00A836A0" w:rsidRPr="005E381D" w:rsidRDefault="00A836A0" w:rsidP="00A836A0">
      <w:pPr>
        <w:pStyle w:val="NormalHanging12a"/>
      </w:pPr>
      <w:r w:rsidRPr="005E381D">
        <w:t>–</w:t>
      </w:r>
      <w:r w:rsidRPr="005E381D">
        <w:tab/>
        <w:t>der henviser til det endelige årsregnskab for Den Europæiske Unions Jernbaneagentur for regnskabsåret 2022,</w:t>
      </w:r>
    </w:p>
    <w:p w14:paraId="132A75D8" w14:textId="77777777" w:rsidR="00A836A0" w:rsidRPr="005E381D" w:rsidRDefault="00A836A0" w:rsidP="00A836A0">
      <w:pPr>
        <w:pStyle w:val="NormalHanging12a"/>
      </w:pPr>
      <w:r w:rsidRPr="005E381D">
        <w:t>–</w:t>
      </w:r>
      <w:r w:rsidRPr="005E381D">
        <w:tab/>
        <w:t>der henviser til Revisionsrettens årsberetning om EU-agenturerne for regnskabsåret 2022, med agenturernes svar</w:t>
      </w:r>
      <w:r w:rsidRPr="005E381D">
        <w:rPr>
          <w:rStyle w:val="FootnoteReference"/>
        </w:rPr>
        <w:footnoteReference w:id="6"/>
      </w:r>
      <w:r w:rsidRPr="005E381D">
        <w:t>,</w:t>
      </w:r>
    </w:p>
    <w:p w14:paraId="5EF7A6B9" w14:textId="77777777" w:rsidR="00A836A0" w:rsidRPr="005E381D" w:rsidRDefault="00A836A0" w:rsidP="00A836A0">
      <w:pPr>
        <w:pStyle w:val="NormalHanging12a"/>
      </w:pPr>
      <w:r w:rsidRPr="005E381D">
        <w:t>–</w:t>
      </w:r>
      <w:r w:rsidRPr="005E381D">
        <w:tab/>
        <w:t>der henviser til Revisionsrettens erklæring</w:t>
      </w:r>
      <w:r w:rsidRPr="005E381D">
        <w:rPr>
          <w:rStyle w:val="FootnoteReference"/>
        </w:rPr>
        <w:footnoteReference w:id="7"/>
      </w:r>
      <w:r w:rsidRPr="005E381D">
        <w:t xml:space="preserve"> for regnskabsåret 2022 om regnskabernes rigtighed og de underliggende transaktioners lovlighed og formelle rigtighed, jf. artikel 287 i traktaten om Den Europæiske Unions funktionsmåde,</w:t>
      </w:r>
    </w:p>
    <w:p w14:paraId="5DC3FD71" w14:textId="09DB839D" w:rsidR="00A836A0" w:rsidRPr="005E381D" w:rsidRDefault="00A836A0" w:rsidP="00A836A0">
      <w:pPr>
        <w:pStyle w:val="NormalHanging12a"/>
      </w:pPr>
      <w:r w:rsidRPr="005E381D">
        <w:t>–</w:t>
      </w:r>
      <w:r w:rsidRPr="005E381D">
        <w:tab/>
        <w:t>der henviser til Rådets henstilling af 22. februar 2024 om decharge til agenturet for gennemførelsen af budgettet for regnskabsåret 2022 (</w:t>
      </w:r>
      <w:r w:rsidR="00C43F24">
        <w:t>06180</w:t>
      </w:r>
      <w:r w:rsidRPr="005E381D">
        <w:t>/2024 – C9</w:t>
      </w:r>
      <w:r w:rsidRPr="005E381D">
        <w:noBreakHyphen/>
        <w:t>00</w:t>
      </w:r>
      <w:r w:rsidR="00C43F24">
        <w:t>98</w:t>
      </w:r>
      <w:r w:rsidRPr="005E381D">
        <w:t>/2024),</w:t>
      </w:r>
    </w:p>
    <w:p w14:paraId="42DECA04" w14:textId="77777777" w:rsidR="00A836A0" w:rsidRPr="005E381D" w:rsidRDefault="00A836A0" w:rsidP="00A836A0">
      <w:pPr>
        <w:pStyle w:val="NormalHanging12a"/>
      </w:pPr>
      <w:r w:rsidRPr="005E381D">
        <w:t>–</w:t>
      </w:r>
      <w:r w:rsidRPr="005E381D">
        <w:tab/>
        <w:t>der henviser til artikel 319 i traktaten om Den Europæiske Unions funktionsmåde,</w:t>
      </w:r>
    </w:p>
    <w:p w14:paraId="77F8DFDB" w14:textId="77777777" w:rsidR="00A836A0" w:rsidRPr="005E381D" w:rsidRDefault="00A836A0" w:rsidP="00A836A0">
      <w:pPr>
        <w:pStyle w:val="NormalHanging12a"/>
      </w:pPr>
      <w:r w:rsidRPr="005E381D">
        <w:t>–</w:t>
      </w:r>
      <w:r w:rsidRPr="005E381D">
        <w:tab/>
        <w:t xml:space="preserve">der henviser til Europa-Parlamentets og Rådets forordning (EU, </w:t>
      </w:r>
      <w:proofErr w:type="spellStart"/>
      <w:r w:rsidRPr="005E381D">
        <w:t>Euratom</w:t>
      </w:r>
      <w:proofErr w:type="spellEnd"/>
      <w:r w:rsidRPr="005E381D">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5E381D">
        <w:t>Euratom</w:t>
      </w:r>
      <w:proofErr w:type="spellEnd"/>
      <w:r w:rsidRPr="005E381D">
        <w:t>) nr. 966/2012</w:t>
      </w:r>
      <w:r w:rsidRPr="005E381D">
        <w:rPr>
          <w:rStyle w:val="FootnoteReference"/>
        </w:rPr>
        <w:footnoteReference w:id="8"/>
      </w:r>
      <w:r w:rsidRPr="005E381D">
        <w:t>, særlig artikel 70,</w:t>
      </w:r>
    </w:p>
    <w:p w14:paraId="21B0BDAF" w14:textId="77777777" w:rsidR="00A836A0" w:rsidRPr="005E381D" w:rsidRDefault="00A836A0" w:rsidP="00A836A0">
      <w:pPr>
        <w:pStyle w:val="NormalHanging12a"/>
      </w:pPr>
      <w:r w:rsidRPr="005E381D">
        <w:t>–</w:t>
      </w:r>
      <w:r w:rsidRPr="005E381D">
        <w:tab/>
        <w:t>der henviser til Europa-Parlamentets og Rådets forordning (EU) 2016/796 af 11. maj 2016 om Den Europæiske Unions Jernbaneagentur og om ophævelse af forordning (EF) nr. 881/2004</w:t>
      </w:r>
      <w:r w:rsidRPr="005E381D">
        <w:rPr>
          <w:rStyle w:val="FootnoteReference"/>
        </w:rPr>
        <w:footnoteReference w:id="9"/>
      </w:r>
      <w:r w:rsidRPr="005E381D">
        <w:t>, særlig artikel 65,</w:t>
      </w:r>
    </w:p>
    <w:p w14:paraId="1469B66C" w14:textId="77777777" w:rsidR="00A836A0" w:rsidRPr="005E381D" w:rsidRDefault="00A836A0" w:rsidP="00A836A0">
      <w:pPr>
        <w:pStyle w:val="NormalHanging12a"/>
      </w:pPr>
      <w:r w:rsidRPr="005E381D">
        <w:t>–</w:t>
      </w:r>
      <w:r w:rsidRPr="005E381D">
        <w:tab/>
        <w:t xml:space="preserve">der henviser til Kommissionens delegerede forordning (EU) 2019/715 af 18. december 2018 om </w:t>
      </w:r>
      <w:proofErr w:type="spellStart"/>
      <w:r w:rsidRPr="005E381D">
        <w:t>rammefinansforordningen</w:t>
      </w:r>
      <w:proofErr w:type="spellEnd"/>
      <w:r w:rsidRPr="005E381D">
        <w:t xml:space="preserve"> for de organer, der er nedsat i henhold til TEUF og </w:t>
      </w:r>
      <w:proofErr w:type="spellStart"/>
      <w:r w:rsidRPr="005E381D">
        <w:t>Euratomtraktaten</w:t>
      </w:r>
      <w:proofErr w:type="spellEnd"/>
      <w:r w:rsidRPr="005E381D">
        <w:t xml:space="preserve"> og omhandlet i artikel 70 i Europa-Parlamentets og Rådets forordning (EU, </w:t>
      </w:r>
      <w:proofErr w:type="spellStart"/>
      <w:r w:rsidRPr="005E381D">
        <w:t>Euratom</w:t>
      </w:r>
      <w:proofErr w:type="spellEnd"/>
      <w:r w:rsidRPr="005E381D">
        <w:t>) 2018/1046</w:t>
      </w:r>
      <w:r w:rsidRPr="005E381D">
        <w:rPr>
          <w:rStyle w:val="FootnoteReference"/>
        </w:rPr>
        <w:footnoteReference w:id="10"/>
      </w:r>
      <w:r w:rsidRPr="005E381D">
        <w:t>, særlig artikel 105,</w:t>
      </w:r>
    </w:p>
    <w:p w14:paraId="36880A87" w14:textId="77777777" w:rsidR="00A836A0" w:rsidRPr="005E381D" w:rsidRDefault="00A836A0" w:rsidP="00A836A0">
      <w:pPr>
        <w:pStyle w:val="NormalHanging12a"/>
      </w:pPr>
      <w:r w:rsidRPr="005E381D">
        <w:t>–</w:t>
      </w:r>
      <w:r w:rsidRPr="005E381D">
        <w:tab/>
        <w:t>der henviser til forretningsordenens artikel 100 og bilag V,</w:t>
      </w:r>
    </w:p>
    <w:p w14:paraId="1C08A6DA" w14:textId="77777777" w:rsidR="00A836A0" w:rsidRPr="005E381D" w:rsidRDefault="00A836A0" w:rsidP="00A836A0">
      <w:pPr>
        <w:pStyle w:val="NormalHanging12a"/>
      </w:pPr>
      <w:r w:rsidRPr="005E381D">
        <w:t>–</w:t>
      </w:r>
      <w:r w:rsidRPr="005E381D">
        <w:tab/>
        <w:t>der henviser til udtalelse fra Transport- og Turismeudvalget,</w:t>
      </w:r>
    </w:p>
    <w:p w14:paraId="12F5A974" w14:textId="77777777" w:rsidR="00A836A0" w:rsidRPr="005E381D" w:rsidRDefault="00A836A0" w:rsidP="00A836A0">
      <w:pPr>
        <w:pStyle w:val="NormalHanging12a"/>
      </w:pPr>
      <w:r w:rsidRPr="005E381D">
        <w:t>–</w:t>
      </w:r>
      <w:r w:rsidRPr="005E381D">
        <w:tab/>
        <w:t>der henviser til betænkning fra Budgetkontroludvalget (A9</w:t>
      </w:r>
      <w:r w:rsidRPr="005E381D">
        <w:noBreakHyphen/>
        <w:t>0092/2024),</w:t>
      </w:r>
    </w:p>
    <w:p w14:paraId="757279B7" w14:textId="77777777" w:rsidR="00A836A0" w:rsidRPr="005E381D" w:rsidRDefault="00A836A0" w:rsidP="00A836A0">
      <w:pPr>
        <w:pStyle w:val="NormalHanging12a"/>
      </w:pPr>
      <w:r w:rsidRPr="005E381D">
        <w:t>1.</w:t>
      </w:r>
      <w:r w:rsidRPr="005E381D">
        <w:tab/>
        <w:t>godkender afslutningen af regnskaberne for Den Europæiske Unions Jernbaneagentur for regnskabsåret 2022;</w:t>
      </w:r>
    </w:p>
    <w:p w14:paraId="43B4529F" w14:textId="77777777" w:rsidR="00A836A0" w:rsidRPr="005E381D" w:rsidRDefault="00A836A0" w:rsidP="00A836A0">
      <w:pPr>
        <w:pStyle w:val="NormalHanging12a"/>
      </w:pPr>
      <w:r w:rsidRPr="005E381D">
        <w:t>2.</w:t>
      </w:r>
      <w:r w:rsidRPr="005E381D">
        <w:tab/>
        <w:t xml:space="preserve">pålægger sin formand at sende denne afgørelse til den administrerende direktør for Den </w:t>
      </w:r>
      <w:r w:rsidRPr="005E381D">
        <w:lastRenderedPageBreak/>
        <w:t xml:space="preserve">Europæiske Unions Jernbaneagentur, Rådet, Kommissionen og Revisionsretten og drage omsorg for, at den offentliggøres i </w:t>
      </w:r>
      <w:r w:rsidRPr="005E381D">
        <w:rPr>
          <w:i/>
        </w:rPr>
        <w:t>Den Europæiske Unions Tidende</w:t>
      </w:r>
      <w:r w:rsidRPr="005E381D">
        <w:t xml:space="preserve"> (L-udgaven).</w:t>
      </w:r>
    </w:p>
    <w:p w14:paraId="77D28263" w14:textId="77777777" w:rsidR="00A836A0" w:rsidRPr="005E381D" w:rsidRDefault="00A836A0" w:rsidP="00A836A0"/>
    <w:p w14:paraId="61E10DFE" w14:textId="77777777" w:rsidR="00A836A0" w:rsidRPr="005E381D" w:rsidRDefault="00A836A0" w:rsidP="00A836A0">
      <w:pPr>
        <w:widowControl/>
        <w:rPr>
          <w:rFonts w:ascii="Arial" w:hAnsi="Arial" w:cs="Arial"/>
          <w:b/>
        </w:rPr>
        <w:sectPr w:rsidR="00A836A0" w:rsidRPr="005E381D" w:rsidSect="005E381D">
          <w:footnotePr>
            <w:numRestart w:val="eachPage"/>
          </w:footnotePr>
          <w:endnotePr>
            <w:numFmt w:val="decimal"/>
          </w:endnotePr>
          <w:pgSz w:w="11906" w:h="16838"/>
          <w:pgMar w:top="1134" w:right="1418" w:bottom="1418" w:left="1418" w:header="567" w:footer="567" w:gutter="0"/>
          <w:cols w:space="720"/>
          <w:docGrid w:linePitch="326"/>
        </w:sectPr>
      </w:pPr>
    </w:p>
    <w:p w14:paraId="11E2B732" w14:textId="77777777" w:rsidR="00312E47" w:rsidRPr="009574E6" w:rsidRDefault="00312E47" w:rsidP="00312E47">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5E381D">
        <w:t>med bemærkningerne, der er en integrerende del af afgørelsen om decharge for gennemførelsen af budgettet for Den Europæiske Unions Jernbaneagentur for regnskabsåret 2022</w:t>
      </w:r>
      <w:r>
        <w:t xml:space="preserve"> </w:t>
      </w:r>
      <w:r w:rsidRPr="005E381D">
        <w:t>(2023/2160(DEC))</w:t>
      </w:r>
    </w:p>
    <w:p w14:paraId="419ABE8C" w14:textId="77777777" w:rsidR="00A836A0" w:rsidRPr="005E381D" w:rsidRDefault="00A836A0" w:rsidP="00A836A0">
      <w:pPr>
        <w:pStyle w:val="EPComma"/>
      </w:pPr>
      <w:r w:rsidRPr="005E381D">
        <w:rPr>
          <w:i/>
        </w:rPr>
        <w:t>Europa-Parlamentet</w:t>
      </w:r>
      <w:r w:rsidRPr="005E381D">
        <w:t>,</w:t>
      </w:r>
    </w:p>
    <w:p w14:paraId="688CE257" w14:textId="77777777" w:rsidR="00A836A0" w:rsidRPr="005E381D" w:rsidRDefault="00A836A0" w:rsidP="00A836A0">
      <w:pPr>
        <w:pStyle w:val="NormalHanging12a"/>
      </w:pPr>
      <w:r w:rsidRPr="005E381D">
        <w:t>–</w:t>
      </w:r>
      <w:r w:rsidRPr="005E381D">
        <w:tab/>
        <w:t>der henviser til sin afgørelse om decharge for gennemførelsen af budgettet for Den Europæiske Unions Jernbaneagentur for regnskabsåret 2022,</w:t>
      </w:r>
    </w:p>
    <w:p w14:paraId="7FD40981" w14:textId="77777777" w:rsidR="00A836A0" w:rsidRPr="005E381D" w:rsidRDefault="00A836A0" w:rsidP="00A836A0">
      <w:pPr>
        <w:pStyle w:val="NormalHanging12a"/>
      </w:pPr>
      <w:r w:rsidRPr="005E381D">
        <w:t>–</w:t>
      </w:r>
      <w:r w:rsidRPr="005E381D">
        <w:tab/>
        <w:t>der henviser til forretningsordenens artikel 100 og bilag V,</w:t>
      </w:r>
    </w:p>
    <w:p w14:paraId="047D9B45" w14:textId="77777777" w:rsidR="00A836A0" w:rsidRPr="005E381D" w:rsidRDefault="00A836A0" w:rsidP="00A836A0">
      <w:pPr>
        <w:pStyle w:val="NormalHanging12a"/>
      </w:pPr>
      <w:r w:rsidRPr="005E381D">
        <w:t>–</w:t>
      </w:r>
      <w:r w:rsidRPr="005E381D">
        <w:tab/>
        <w:t>der henviser til udtalelse fra Transport- og Turismeudvalget,</w:t>
      </w:r>
    </w:p>
    <w:p w14:paraId="61BA4DDA" w14:textId="77777777" w:rsidR="00A836A0" w:rsidRPr="005E381D" w:rsidRDefault="00A836A0" w:rsidP="00A836A0">
      <w:pPr>
        <w:pStyle w:val="NormalHanging12a"/>
      </w:pPr>
      <w:r w:rsidRPr="005E381D">
        <w:t>–</w:t>
      </w:r>
      <w:r w:rsidRPr="005E381D">
        <w:tab/>
        <w:t>der henviser til betænkning fra Budgetkontroludvalget (A9</w:t>
      </w:r>
      <w:r w:rsidRPr="005E381D">
        <w:noBreakHyphen/>
        <w:t>0092/2024),</w:t>
      </w:r>
    </w:p>
    <w:p w14:paraId="43498F58" w14:textId="77777777" w:rsidR="00A836A0" w:rsidRPr="005E381D" w:rsidRDefault="00A836A0" w:rsidP="00A836A0">
      <w:pPr>
        <w:spacing w:after="240"/>
        <w:ind w:left="567" w:hanging="567"/>
        <w:rPr>
          <w:szCs w:val="24"/>
        </w:rPr>
      </w:pPr>
      <w:r w:rsidRPr="005E381D">
        <w:t>A.</w:t>
      </w:r>
      <w:r w:rsidRPr="005E381D">
        <w:tab/>
        <w:t>der henviser til, at det endelige budget for Den Europæiske Unions Jernbaneagentur ("agenturet") for regnskabsåret 2022 ifølge dets oversigt over indtægter og udgifter</w:t>
      </w:r>
      <w:r w:rsidRPr="005E381D">
        <w:rPr>
          <w:rStyle w:val="FootnoteReference"/>
          <w:szCs w:val="24"/>
        </w:rPr>
        <w:footnoteReference w:id="11"/>
      </w:r>
      <w:r w:rsidRPr="005E381D">
        <w:t xml:space="preserve"> var på 34 814 691 EUR, hvilket svarer til en stigning på 9,38 % i forhold til 2021; der henviser til, at agenturets budget hovedsageligt stammer fra Unionens budget;</w:t>
      </w:r>
    </w:p>
    <w:p w14:paraId="780CF310" w14:textId="77777777" w:rsidR="00A836A0" w:rsidRPr="005E381D" w:rsidRDefault="00A836A0" w:rsidP="00A836A0">
      <w:pPr>
        <w:spacing w:after="240"/>
        <w:ind w:left="567" w:hanging="567"/>
        <w:rPr>
          <w:szCs w:val="24"/>
        </w:rPr>
      </w:pPr>
      <w:r w:rsidRPr="005E381D">
        <w:t>B.</w:t>
      </w:r>
      <w:r w:rsidRPr="005E381D">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23D5B3AF" w14:textId="77777777" w:rsidR="00A836A0" w:rsidRPr="005E381D" w:rsidRDefault="00A836A0" w:rsidP="00A836A0">
      <w:pPr>
        <w:spacing w:after="240"/>
        <w:ind w:left="567" w:hanging="567"/>
        <w:rPr>
          <w:b/>
          <w:i/>
          <w:szCs w:val="24"/>
        </w:rPr>
      </w:pPr>
      <w:r w:rsidRPr="005E381D">
        <w:rPr>
          <w:b/>
          <w:i/>
        </w:rPr>
        <w:t>Budgetmæssig og økonomisk forvaltning</w:t>
      </w:r>
    </w:p>
    <w:p w14:paraId="585B189D" w14:textId="77777777" w:rsidR="00A836A0" w:rsidRPr="005E381D" w:rsidRDefault="00A836A0" w:rsidP="00A836A0">
      <w:pPr>
        <w:spacing w:after="240"/>
        <w:ind w:left="567" w:hanging="567"/>
        <w:rPr>
          <w:szCs w:val="24"/>
        </w:rPr>
      </w:pPr>
      <w:r w:rsidRPr="005E381D">
        <w:t>1.</w:t>
      </w:r>
      <w:r w:rsidRPr="005E381D">
        <w:tab/>
        <w:t>bemærker med tilfredshed, at budgetovervågningsindsatsen i regnskabsåret 2022 resulterede i en budgetgennemførelsesgrad på 99,95 %, hvilket svarer til en lille stigning på 0,13 % i forhold til 2021; bemærker endvidere, at udnyttelsesgraden for betalingsbevillinger i det pågældende år var 94,97 %, svarende til en stigning på 1,43 % i forhold til 2021; bemærker, at budgetresultatet i 2022 var på 81 821 EUR, hvilket er en stigning fra 69 638 EUR i 2021;</w:t>
      </w:r>
    </w:p>
    <w:p w14:paraId="39CC2949" w14:textId="77777777" w:rsidR="00A836A0" w:rsidRPr="005E381D" w:rsidRDefault="00A836A0" w:rsidP="00A836A0">
      <w:pPr>
        <w:spacing w:after="240"/>
        <w:ind w:left="567" w:hanging="567"/>
        <w:rPr>
          <w:szCs w:val="24"/>
        </w:rPr>
      </w:pPr>
      <w:r w:rsidRPr="005E381D">
        <w:t>2.</w:t>
      </w:r>
      <w:r w:rsidRPr="005E381D">
        <w:tab/>
        <w:t xml:space="preserve">anerkender, at den største indvirkning på budgetgennemførelsen i 2022 skyldtes globale eksterne faktorer såsom den ustabile geopolitiske kontekst og energikrisen, som førte til stor </w:t>
      </w:r>
      <w:proofErr w:type="spellStart"/>
      <w:r w:rsidRPr="005E381D">
        <w:t>volatilitet</w:t>
      </w:r>
      <w:proofErr w:type="spellEnd"/>
      <w:r w:rsidRPr="005E381D">
        <w:t xml:space="preserve"> og resulterede i en uforudsigelig stigning i agenturets omkostninger; bemærker, at agenturet har gennemført stærke foranstaltninger til at kontrollere sine udgifter, har justeret niveauet for gebyrer og afgifter (dvs. at timesatsen er steget og regelmæssigt er blevet justeret i forhold til inflationsraten) og har indført en regelmæssig overvågningsproces for budgetgennemførelsen med flere planlægnings- og overvågningsværktøjer for at automatisere denne proces;</w:t>
      </w:r>
    </w:p>
    <w:p w14:paraId="68589EB9" w14:textId="77777777" w:rsidR="00A836A0" w:rsidRPr="005E381D" w:rsidRDefault="00A836A0" w:rsidP="00A836A0">
      <w:pPr>
        <w:spacing w:after="240"/>
        <w:ind w:left="567" w:hanging="567"/>
        <w:rPr>
          <w:szCs w:val="24"/>
        </w:rPr>
      </w:pPr>
      <w:r w:rsidRPr="005E381D">
        <w:t>3.</w:t>
      </w:r>
      <w:r w:rsidRPr="005E381D">
        <w:tab/>
        <w:t xml:space="preserve">bemærker, at agenturet tilsluttede sig Kommissionens pilotfase med at erstatte sit budget- og regnskabssystem med et nyt system, SUMMA; noterer sig i denne forbindelse på baggrund af Revisionsrettens beretning bemærkningerne om de mangler og utilstrækkeligheder, som agenturet har oplevet, nemlig en manglende risikostyrings- og kontrolstrategi for gennemførelsen af det nye system, manglende ajourføring af </w:t>
      </w:r>
      <w:r w:rsidRPr="005E381D">
        <w:lastRenderedPageBreak/>
        <w:t>finansielle kredsløb og strategien for forudgående og efterfølgende kontrol samt om, at brugerrettigheder ikke kontrolleres; noterer sig på baggrund af agenturets svar på Revisionsrettens bemærkninger, at der proaktivt er blevet truffet afbødende foranstaltninger i overensstemmelse med den akkumulerede erfaring, herunder ved i anden halvdel af 2022 at begynde at ajourføre agenturets finansielle kredsløb og strategien for forudgående og efterfølgende kontrol, og at de relevante dokumenter forventes at blive ajourført i 2023; opfordrer agenturet til at imødekomme Revisionsrettens bemærkninger fuldt ud og holde dechargemyndigheden underrettet om de fremskridt, der gøres på dette område;</w:t>
      </w:r>
    </w:p>
    <w:p w14:paraId="2ACE0ACE" w14:textId="77777777" w:rsidR="00A836A0" w:rsidRPr="005E381D" w:rsidRDefault="00A836A0" w:rsidP="00A836A0">
      <w:pPr>
        <w:spacing w:after="240"/>
        <w:ind w:left="567" w:hanging="567"/>
        <w:rPr>
          <w:szCs w:val="24"/>
        </w:rPr>
      </w:pPr>
      <w:r w:rsidRPr="005E381D">
        <w:t>4.</w:t>
      </w:r>
      <w:r w:rsidRPr="005E381D">
        <w:tab/>
        <w:t>noterer sig Revisionsrettens bemærkning om agenturets manglende overholdelse af den frist, der er fastsat i finansforordningen med hensyn til betalinger, idet 12,2 % af betalingerne var forsinket med mere end 30 dage i 2022; anerkender agenturets standpunkt om, at disse forsinkelser var forbundet med gennemførelsen af det nye system SUMMA, og at der i mellemtiden er blevet truffet foranstaltninger for at undgå betalingsforsinkelser;</w:t>
      </w:r>
    </w:p>
    <w:p w14:paraId="3D815462" w14:textId="1126925A" w:rsidR="00A836A0" w:rsidRPr="005E381D" w:rsidRDefault="00A836A0" w:rsidP="00A836A0">
      <w:pPr>
        <w:spacing w:after="240"/>
        <w:ind w:left="567" w:hanging="567"/>
        <w:rPr>
          <w:szCs w:val="24"/>
        </w:rPr>
      </w:pPr>
      <w:r w:rsidRPr="005E381D">
        <w:t>5.</w:t>
      </w:r>
      <w:r w:rsidRPr="005E381D">
        <w:tab/>
        <w:t>bemærker endvidere, at agenturet også oplevede forsinkelser i udstedelsen af fakturaer (eller "omkostningsopgørelser") for de dermed forbundne gebyrer og afgifter, forsinkelser som også tilskrives gennemførelsen af det nye system SUMMA, og i modtagelsen af omkostningsopgørelser fra de nationale sikkerhedsmyndigheder (</w:t>
      </w:r>
      <w:proofErr w:type="spellStart"/>
      <w:r w:rsidRPr="005E381D">
        <w:t>NSA'er</w:t>
      </w:r>
      <w:proofErr w:type="spellEnd"/>
      <w:r w:rsidRPr="005E381D">
        <w:t xml:space="preserve">), hvilket er i strid med de relevante artikler i finansforordningen og forordning </w:t>
      </w:r>
      <w:r w:rsidR="00B53B7A">
        <w:t xml:space="preserve">(EU) </w:t>
      </w:r>
      <w:r w:rsidRPr="005E381D">
        <w:t xml:space="preserve">2018/764 om agenturets gebyrer og afgifter; erfarer fra agenturets svar på Revisionsrettens bemærkninger, at det vil være muligt at undgå eller reducere sådanne forsinkelser, hvis </w:t>
      </w:r>
      <w:proofErr w:type="spellStart"/>
      <w:r w:rsidRPr="005E381D">
        <w:t>NSA'erne</w:t>
      </w:r>
      <w:proofErr w:type="spellEnd"/>
      <w:r w:rsidRPr="005E381D">
        <w:t xml:space="preserve"> indsender deres omkostningsopgørelser til agenturet i god tid, men at agenturet ikke har hjemmel til at sikre, at </w:t>
      </w:r>
      <w:proofErr w:type="spellStart"/>
      <w:r w:rsidRPr="005E381D">
        <w:t>NSA'erne</w:t>
      </w:r>
      <w:proofErr w:type="spellEnd"/>
      <w:r w:rsidRPr="005E381D">
        <w:t xml:space="preserve"> overholder fristerne;</w:t>
      </w:r>
    </w:p>
    <w:p w14:paraId="258EFB63" w14:textId="77777777" w:rsidR="00A836A0" w:rsidRPr="005E381D" w:rsidRDefault="00A836A0" w:rsidP="00A836A0">
      <w:pPr>
        <w:pStyle w:val="NormalHanging12a"/>
      </w:pPr>
      <w:r w:rsidRPr="005E381D">
        <w:t>6.</w:t>
      </w:r>
      <w:r w:rsidRPr="005E381D">
        <w:tab/>
        <w:t xml:space="preserve">minder om, at agenturet råder over det mindste budget af alle transportagenturerne til trods for de bemærkelsesværdige miljømæssige fordele ved jernbanetransport, som er en af Kommissionens prioriteter; roser forhøjelsen af budgettet for regnskabsåret 2022 ledsaget af forskellige bestræbelser på at forbedre konkurrenceevnen, forbedre sikkerheden og fremme grænseoverskridende </w:t>
      </w:r>
      <w:proofErr w:type="spellStart"/>
      <w:r w:rsidRPr="005E381D">
        <w:t>interoperabilitet</w:t>
      </w:r>
      <w:proofErr w:type="spellEnd"/>
      <w:r w:rsidRPr="005E381D">
        <w:t>; opfordrer ikke desto mindre til en forhøjelse af budgettet for at sikre, at agenturet har de nødvendige ressourcer til at fungere som en effektiv myndighed og udføre sine opgaver effektivt;</w:t>
      </w:r>
    </w:p>
    <w:p w14:paraId="794EB8E3" w14:textId="77777777" w:rsidR="00A836A0" w:rsidRPr="005E381D" w:rsidRDefault="00A836A0" w:rsidP="00A836A0">
      <w:pPr>
        <w:spacing w:after="240"/>
        <w:ind w:left="567" w:hanging="567"/>
        <w:rPr>
          <w:b/>
          <w:i/>
          <w:szCs w:val="24"/>
        </w:rPr>
      </w:pPr>
      <w:r w:rsidRPr="005E381D">
        <w:rPr>
          <w:b/>
          <w:i/>
        </w:rPr>
        <w:t>Performance</w:t>
      </w:r>
    </w:p>
    <w:p w14:paraId="5C17D7F2" w14:textId="77777777" w:rsidR="00A836A0" w:rsidRPr="005E381D" w:rsidRDefault="00A836A0" w:rsidP="00A836A0">
      <w:pPr>
        <w:spacing w:after="240"/>
        <w:ind w:left="567" w:hanging="567"/>
        <w:rPr>
          <w:szCs w:val="24"/>
        </w:rPr>
      </w:pPr>
      <w:r w:rsidRPr="005E381D">
        <w:t>7.</w:t>
      </w:r>
      <w:r w:rsidRPr="005E381D">
        <w:tab/>
        <w:t xml:space="preserve">bemærker, at agenturet rapporterede om en opfyldelse på 81,13 % af sit årlige arbejdsprogram for 2022 sammenlignet med 76,41 % i 2021, hvilket er en velkommen stigning for andet år i træk; bemærker, at agenturet i 2022 vedtog en ny struktur for sit arbejdsprogram og skiftede fra et aktivitetsbaseret arbejdsprogram til et arbejdsprogram baseret på strategiske erklæringer og lancerede en ny platform for månedlig rapportering om alle projekter og tjenester og en ny overvågningsoversigt; bemærker, at det årlige arbejdsprogram omfatter ni strategiske erklæringer, som er udformet i overensstemmelse med den indvirkning, som agenturet tilstræber at have på samfundet; anerkender, at agenturet med succes har opfyldt sine strategiske erklæringer med en høj opfyldelse af agenturets mål for de forskellige output og dets fastsatte </w:t>
      </w:r>
      <w:proofErr w:type="spellStart"/>
      <w:r w:rsidRPr="005E381D">
        <w:t>KPI'er</w:t>
      </w:r>
      <w:proofErr w:type="spellEnd"/>
      <w:r w:rsidRPr="005E381D">
        <w:t xml:space="preserve"> i 2022; bemærker imidlertid, at nogle </w:t>
      </w:r>
      <w:proofErr w:type="spellStart"/>
      <w:r w:rsidRPr="005E381D">
        <w:t>KPI'er</w:t>
      </w:r>
      <w:proofErr w:type="spellEnd"/>
      <w:r w:rsidRPr="005E381D">
        <w:t xml:space="preserve"> ikke er blevet opfyldt, f.eks. i forbindelse med lanceringen af "undersøgelsesfase 3" for agenturets nye bygning i </w:t>
      </w:r>
      <w:proofErr w:type="spellStart"/>
      <w:r w:rsidRPr="005E381D">
        <w:t>Valenciennes</w:t>
      </w:r>
      <w:proofErr w:type="spellEnd"/>
      <w:r w:rsidRPr="005E381D">
        <w:t xml:space="preserve">, gennemførelsen af et nyt system til dokumentforvaltning (ARES), betalinger foretaget inden for kontraktlige frister i forbindelse med vedtagelsen i pilotfasen af et nyt </w:t>
      </w:r>
      <w:r w:rsidRPr="005E381D">
        <w:lastRenderedPageBreak/>
        <w:t>finansielt system (SUMMA) og initiativet "Kvinder i transport";</w:t>
      </w:r>
    </w:p>
    <w:p w14:paraId="19C445F1" w14:textId="77777777" w:rsidR="00A836A0" w:rsidRPr="005E381D" w:rsidRDefault="00A836A0" w:rsidP="00A836A0">
      <w:pPr>
        <w:spacing w:after="240"/>
        <w:ind w:left="567" w:hanging="567"/>
      </w:pPr>
      <w:r w:rsidRPr="005E381D">
        <w:t>8.</w:t>
      </w:r>
      <w:r w:rsidRPr="005E381D">
        <w:tab/>
        <w:t xml:space="preserve">noterer sig nogle af agenturets vigtigste resultater i 2022, såsom vedtagelsen af en styrket handlingsplan for 2023-2027, rettidig levering af et betydeligt stigende antal køretøjstilladelser (1861) og fælles sikkerhedscertifikater (66), færdiggørelsen af agenturets henstilling om revisionspakken (2022) af </w:t>
      </w:r>
      <w:proofErr w:type="spellStart"/>
      <w:r w:rsidRPr="005E381D">
        <w:t>TSI'en</w:t>
      </w:r>
      <w:proofErr w:type="spellEnd"/>
      <w:r w:rsidRPr="005E381D">
        <w:t xml:space="preserve">, som vil understøtte styrkelsen af </w:t>
      </w:r>
      <w:proofErr w:type="spellStart"/>
      <w:r w:rsidRPr="005E381D">
        <w:t>jernbaneinteroperabiliteten</w:t>
      </w:r>
      <w:proofErr w:type="spellEnd"/>
      <w:r w:rsidRPr="005E381D">
        <w:t xml:space="preserve"> i hele Unionen, iværksættelsen af den anden revisionscyklus for overvågning af </w:t>
      </w:r>
      <w:proofErr w:type="spellStart"/>
      <w:r w:rsidRPr="005E381D">
        <w:t>NSA'erne</w:t>
      </w:r>
      <w:proofErr w:type="spellEnd"/>
      <w:r w:rsidRPr="005E381D">
        <w:t xml:space="preserve">, der omfatter alle de opgaver, der er pålagt </w:t>
      </w:r>
      <w:proofErr w:type="spellStart"/>
      <w:r w:rsidRPr="005E381D">
        <w:t>NSA'erne</w:t>
      </w:r>
      <w:proofErr w:type="spellEnd"/>
      <w:r w:rsidRPr="005E381D">
        <w:t xml:space="preserve"> i henhold til EU-lovgivningen, levering af et usædvanligt stort antal rapporter (otte i stedet for tre forventede) inden for overvågning af bemyndigede organer og arbejdet med agenturets første rapport baseret på resultaterne af undersøgelsen af sikkerhedsklimaet (som blev iværksat i 2021 og har modtaget 46 500 svar); roser agenturet for udviklingen af sikkerhedsmoduler om åben rapporteringskultur, som vil øge sikkerheden i hele sektoren, samt for dets resultater (værktøjskasse, vejledning og uddannelsesmateriale, foranstaltninger til bevidstgørelse, uddannelsesmoduler) med hensyn til integration af menneskelige og organisatoriske faktorer, hvilket vil bidrage til at forbedre jernbanesikkerheden og -effektiviteten;</w:t>
      </w:r>
    </w:p>
    <w:p w14:paraId="19BBFF07" w14:textId="77777777" w:rsidR="00A836A0" w:rsidRPr="005E381D" w:rsidRDefault="00A836A0" w:rsidP="00A836A0">
      <w:pPr>
        <w:pStyle w:val="NormalHanging12a"/>
      </w:pPr>
      <w:r w:rsidRPr="005E381D">
        <w:t>9.</w:t>
      </w:r>
      <w:r w:rsidRPr="005E381D">
        <w:tab/>
        <w:t xml:space="preserve">understreger betydningen af fortsat at støtte alle initiativer til en bedre fælles forståelse af tekniske specifikationer for </w:t>
      </w:r>
      <w:proofErr w:type="spellStart"/>
      <w:r w:rsidRPr="005E381D">
        <w:t>interoperabilitet</w:t>
      </w:r>
      <w:proofErr w:type="spellEnd"/>
      <w:r w:rsidRPr="005E381D">
        <w:t xml:space="preserve"> (</w:t>
      </w:r>
      <w:proofErr w:type="spellStart"/>
      <w:r w:rsidRPr="005E381D">
        <w:t>TSI'er</w:t>
      </w:r>
      <w:proofErr w:type="spellEnd"/>
      <w:r w:rsidRPr="005E381D">
        <w:t xml:space="preserve">), der bidrager til udviklingen af en stærk og konkurrencedygtig europæisk jernbaneindustri; opfordrer til øget støtte til innovation inden for jernbanegodstransport og </w:t>
      </w:r>
      <w:proofErr w:type="spellStart"/>
      <w:r w:rsidRPr="005E381D">
        <w:t>intermodale</w:t>
      </w:r>
      <w:proofErr w:type="spellEnd"/>
      <w:r w:rsidRPr="005E381D">
        <w:t xml:space="preserve"> transporttjenester med henblik på at opnå en konkurrencedygtig integration i den logistiske værdikæde, med automatisering og digitalisering af jernbanefragt i centrum;</w:t>
      </w:r>
    </w:p>
    <w:p w14:paraId="5C33662A" w14:textId="77777777" w:rsidR="00A836A0" w:rsidRPr="005E381D" w:rsidRDefault="00A836A0" w:rsidP="00A836A0">
      <w:pPr>
        <w:spacing w:after="240"/>
        <w:ind w:left="567" w:hanging="567"/>
      </w:pPr>
      <w:r w:rsidRPr="005E381D">
        <w:t>10.</w:t>
      </w:r>
      <w:r w:rsidRPr="005E381D">
        <w:tab/>
        <w:t xml:space="preserve">glæder sig over rapporten om jernbanesikkerhed og </w:t>
      </w:r>
      <w:proofErr w:type="spellStart"/>
      <w:r w:rsidRPr="005E381D">
        <w:t>interoperabilitet</w:t>
      </w:r>
      <w:proofErr w:type="spellEnd"/>
      <w:r w:rsidRPr="005E381D">
        <w:t xml:space="preserve"> i EU; anerkender agenturets fortsatte engagement i dets mål om at skabe et fælles europæisk jernbaneområde og dets vedholdende arbejde på centrale områder som reduktion af nationale regler og sikring af modenheden af de tekniske specifikationer for </w:t>
      </w:r>
      <w:proofErr w:type="spellStart"/>
      <w:r w:rsidRPr="005E381D">
        <w:t>interoperabilitet</w:t>
      </w:r>
      <w:proofErr w:type="spellEnd"/>
      <w:r w:rsidRPr="005E381D">
        <w:t xml:space="preserve">; bemærker, at et så vigtigt arbejde vil støtte styrkelsen af </w:t>
      </w:r>
      <w:proofErr w:type="spellStart"/>
      <w:r w:rsidRPr="005E381D">
        <w:t>jernbaneinteroperabiliteten</w:t>
      </w:r>
      <w:proofErr w:type="spellEnd"/>
      <w:r w:rsidRPr="005E381D">
        <w:t xml:space="preserve"> i hele Europa i overensstemmelse med Kommissionens politiske forventninger; glæder sig over agenturets fortsatte bidrag inden for området nationale regler med oprydningen i 2022 af de resterende nationale tekniske forskrifter (for Tjekkiet og Nederlandene), som udgjorde hindringer for en smidig jernbanedrift;</w:t>
      </w:r>
    </w:p>
    <w:p w14:paraId="3AE3430F" w14:textId="77777777" w:rsidR="00A836A0" w:rsidRPr="005E381D" w:rsidRDefault="00A836A0" w:rsidP="00A836A0">
      <w:pPr>
        <w:pStyle w:val="NormalHanging12a"/>
      </w:pPr>
      <w:r w:rsidRPr="005E381D">
        <w:t>11.</w:t>
      </w:r>
      <w:r w:rsidRPr="005E381D">
        <w:tab/>
        <w:t xml:space="preserve">roser agenturets proaktive reaktion på de anbefalinger, der blev fremsat i det foregående års bemærkning, og opfordrer indtrængende agenturet til at indføre effektive kontroller med henblik på at verificere ansøgernes SMV-status; glæder sig over gennemførelsen af øget kontrol med henblik på at kontrollere </w:t>
      </w:r>
      <w:proofErr w:type="spellStart"/>
      <w:r w:rsidRPr="005E381D">
        <w:t>SMV'ernes</w:t>
      </w:r>
      <w:proofErr w:type="spellEnd"/>
      <w:r w:rsidRPr="005E381D">
        <w:t xml:space="preserve"> status for ansøgninger om fælles sikkerhedscertifikater og køretøjstilladelser; bemærker, at agenturet har fremmet flere initiativer, som har til formål at øge jernbanetrafikken (både passager- og godstrafikken), herunder foranstaltninger til koordinering af international jernbanetrafik og udvikling af nye teknologier såsom automatisering af tog, hvilket bidrager til at fremme EU's økonomi og den grønne og den digitale økonomi; glæder sig over, at styringsgruppen for jernbanepakken med succes fortsatte sine aktiviteter med at evaluere agenturets beredskab med hensyn til den 4. jernbanepakke;</w:t>
      </w:r>
    </w:p>
    <w:p w14:paraId="3B905C35" w14:textId="77777777" w:rsidR="00A836A0" w:rsidRPr="005E381D" w:rsidRDefault="00A836A0" w:rsidP="00A836A0">
      <w:pPr>
        <w:pStyle w:val="NormalHanging12a"/>
      </w:pPr>
      <w:r w:rsidRPr="005E381D">
        <w:t>12.</w:t>
      </w:r>
      <w:r w:rsidRPr="005E381D">
        <w:tab/>
        <w:t xml:space="preserve">understreger, at den ulovlige og uberettigede russiske angrebskrig mod Ukraine har demonstreret den afgørende rolle, som jernbanerne kan spille; bemærker, at jernbanerne siden invasionen af Ukraine har været et betydeligt aktiv for bevægeligheden for personer og varer, navnlig med lukningen af Ukraines luftrum for civil luftfart; påpeger, </w:t>
      </w:r>
      <w:r w:rsidRPr="005E381D">
        <w:lastRenderedPageBreak/>
        <w:t>at ukrainske jernbaner har transporteret soldater, arbejdstagere, der varetager vitale funktioner, indbyggere og talrige livsvigtige fornødenheder såsom landbrugsvarer; anerkender, at agenturet bidrog til EU's samarbejde med Ukraine om modstandsdygtighed og udvikling af jernbaneforbindelser, og at agenturet støttede Ukraine og mennesker i hele verden ved at finde flere metoder til at øge mængden af transport af ukrainske fødevarer med jernbane;</w:t>
      </w:r>
    </w:p>
    <w:p w14:paraId="2C2E3B37" w14:textId="77777777" w:rsidR="00A836A0" w:rsidRPr="005E381D" w:rsidRDefault="00A836A0" w:rsidP="00A836A0">
      <w:pPr>
        <w:spacing w:after="240"/>
        <w:ind w:left="567" w:hanging="567"/>
        <w:rPr>
          <w:b/>
          <w:i/>
          <w:szCs w:val="24"/>
        </w:rPr>
      </w:pPr>
      <w:r w:rsidRPr="005E381D">
        <w:rPr>
          <w:b/>
          <w:i/>
        </w:rPr>
        <w:t>Effektivitet og gevinster</w:t>
      </w:r>
    </w:p>
    <w:p w14:paraId="04A27E48" w14:textId="77777777" w:rsidR="00A836A0" w:rsidRPr="005E381D" w:rsidRDefault="00A836A0" w:rsidP="00A836A0">
      <w:pPr>
        <w:spacing w:after="240"/>
        <w:ind w:left="567" w:hanging="567"/>
        <w:rPr>
          <w:szCs w:val="24"/>
        </w:rPr>
      </w:pPr>
      <w:r w:rsidRPr="005E381D">
        <w:t>13.</w:t>
      </w:r>
      <w:r w:rsidRPr="005E381D">
        <w:tab/>
        <w:t xml:space="preserve">roser agenturet for i 2022 at have vedtaget en forstærkningsplan og en styrket handlingsplan for 2023-27; bemærker, at den styrkede handlingsplan er organiseret efter komponenter og mål og er kernen i agenturets strategi for effektivitetsgevinster i de kommende fem år; bemærker, at der er oprettet en intern </w:t>
      </w:r>
      <w:proofErr w:type="spellStart"/>
      <w:r w:rsidRPr="005E381D">
        <w:t>taskforce</w:t>
      </w:r>
      <w:proofErr w:type="spellEnd"/>
      <w:r w:rsidRPr="005E381D">
        <w:t xml:space="preserve"> i agenturet vedrørende den styrkede handlingsplan og dens delmål, og at der vil blive udpeget en ordfører til at støtte, vejlede og overvåge gennemførelsen af heraf;</w:t>
      </w:r>
    </w:p>
    <w:p w14:paraId="68D346B4" w14:textId="77777777" w:rsidR="00A836A0" w:rsidRPr="005E381D" w:rsidRDefault="00A836A0" w:rsidP="00A836A0">
      <w:pPr>
        <w:spacing w:after="240"/>
        <w:ind w:left="567" w:hanging="567"/>
      </w:pPr>
      <w:r w:rsidRPr="005E381D">
        <w:t>14.</w:t>
      </w:r>
      <w:r w:rsidRPr="005E381D">
        <w:tab/>
        <w:t xml:space="preserve">bemærker, at agenturet takket være sin styrkede handlingsplan fik yderligere 12 midlertidigt ansatte i 2022, hvilket er en stigning, der kan udgøre et godt grundlag for, at agenturet kan gå videre med gennemførelsen af forstærkningsplanen; beklager, at tildelingen af stillinger ikke blev ledsaget af en tilsvarende tildeling af tilskud, hvilket sammen med den ekstraordinære indeksregulering af lønninger og den generelle stigning i priserne på forsyningstjenester har lagt yderligere begrænsninger på agenturets planlægning af arbejde og ressourcer, idet der er konstateret flere negative prioriteter for 2022, såsom arbejdet med den årlige performancevurdering af </w:t>
      </w:r>
      <w:proofErr w:type="spellStart"/>
      <w:r w:rsidRPr="005E381D">
        <w:t>NSA'erne</w:t>
      </w:r>
      <w:proofErr w:type="spellEnd"/>
      <w:r w:rsidRPr="005E381D">
        <w:t xml:space="preserve"> eller udviklingen af systemet til udveksling af oplysninger om sikkerhedshændelser i Europa;</w:t>
      </w:r>
    </w:p>
    <w:p w14:paraId="0C4C4A39" w14:textId="77777777" w:rsidR="00A836A0" w:rsidRPr="005E381D" w:rsidRDefault="00A836A0" w:rsidP="00A836A0">
      <w:pPr>
        <w:spacing w:after="240"/>
        <w:ind w:left="567" w:hanging="567"/>
        <w:rPr>
          <w:szCs w:val="24"/>
        </w:rPr>
      </w:pPr>
      <w:r w:rsidRPr="005E381D">
        <w:t>15.</w:t>
      </w:r>
      <w:r w:rsidRPr="005E381D">
        <w:tab/>
        <w:t>bemærker, at der på grundlag af den løbende screening af tjenester, der leveres af agenturerne og Kommissionens tjenestegrene, blev identificeret "delekapacitet", og at agenturet gradvist gennemfører samarbejdsemner inden for mødetilrettelæggelse, IT-sikkerhed, HR (f.eks. løn og forvaltning af medarbejderes individuelle rettigheder, undersøgelser vedrørende chikanesager), udbud (f.eks. delte udbud mellem agenturer, fælles rammekontrakter), oversættelse og regnskab; bemærker, at agenturet i 2022 indgik et samarbejdsmemorandum med Den Europæiske Unions Luftfartssikkerhedsagentur (EASA), som etablerer en regelmæssig struktureret dialog mellem disse to agenturer og styrker udvekslingen af oplysninger, viden og erfaringer på forskellige samarbejdsområder, herunder om undersøgelse af muligheden for at tilpasse en af de eksisterende IT-løsninger i luftfartssektoren (Det Europæiske Koordinationscenter for Systemer for Indberetning af Flyhændelser) således, at den er egnet til jernbaneinformationsudvekslingssystemet til indsamling og analyse af indberetninger om jernbanesikkerhedshændelser; opfordrer agenturet til at aflægge rapport til dechargemyndigheden om resultatet af denne undersøgelsesfase;</w:t>
      </w:r>
    </w:p>
    <w:p w14:paraId="65C83696" w14:textId="77777777" w:rsidR="00A836A0" w:rsidRPr="005E381D" w:rsidRDefault="00A836A0" w:rsidP="00A836A0">
      <w:pPr>
        <w:spacing w:after="240"/>
        <w:ind w:left="567" w:hanging="567"/>
        <w:rPr>
          <w:szCs w:val="24"/>
        </w:rPr>
      </w:pPr>
      <w:r w:rsidRPr="005E381D">
        <w:t>16.</w:t>
      </w:r>
      <w:r w:rsidRPr="005E381D">
        <w:tab/>
        <w:t>bemærker, at agenturets første miljøforvaltningsstrategi blev udarbejdet og offentliggjort i 2022 som en del af agenturets enhedsprogrammeringsdokument for 2023-2025; roser agenturet for at have foregrebet og gennemført visse initiativer og tiltag allerede inden udgangen af 2022, såsom reduktion af temperaturen i bygningen, reparation/udskiftning af fejlbehæftede sensorer til at løse problemerne med hensyn til lys, der altid er tændt i visse kontorer, justering af automatisk slukning af lys og oprettelse af ERA Environment (</w:t>
      </w:r>
      <w:proofErr w:type="spellStart"/>
      <w:r w:rsidRPr="005E381D">
        <w:t>Volunteering</w:t>
      </w:r>
      <w:proofErr w:type="spellEnd"/>
      <w:r w:rsidRPr="005E381D">
        <w:t xml:space="preserve">) Group, der skal fremme formidlingsaktiviteter, indsamle idéer og presse på for at gøre fremskridt med </w:t>
      </w:r>
      <w:r w:rsidRPr="005E381D">
        <w:lastRenderedPageBreak/>
        <w:t>miljøforanstaltninger; noterer sig med tilfredshed på baggrund af Revisionsrettens beretning, at agenturet er blandt de agenturer, der har til hensigt at forbedre deres aktiviteters energieffektivitet og klimaneutralitet; opfordrer agenturet til i denne plan at medtage kvantificerede referencescenarier og mål for reduktion af CO</w:t>
      </w:r>
      <w:r w:rsidRPr="005E381D">
        <w:rPr>
          <w:vertAlign w:val="subscript"/>
        </w:rPr>
        <w:t>2</w:t>
      </w:r>
      <w:r w:rsidRPr="005E381D">
        <w:t xml:space="preserve">-fodaftryk og energiforbrug samt til at sikre, at dets nye bygning i </w:t>
      </w:r>
      <w:proofErr w:type="spellStart"/>
      <w:r w:rsidRPr="005E381D">
        <w:t>Valenciennes</w:t>
      </w:r>
      <w:proofErr w:type="spellEnd"/>
      <w:r w:rsidRPr="005E381D">
        <w:t xml:space="preserve"> bliver EMAS-certificeret;</w:t>
      </w:r>
    </w:p>
    <w:p w14:paraId="4CE2F614" w14:textId="77777777" w:rsidR="00A836A0" w:rsidRPr="005E381D" w:rsidRDefault="00A836A0" w:rsidP="00A836A0">
      <w:pPr>
        <w:pStyle w:val="NormalHanging12a"/>
      </w:pPr>
      <w:r w:rsidRPr="005E381D">
        <w:t>17.</w:t>
      </w:r>
      <w:r w:rsidRPr="005E381D">
        <w:tab/>
        <w:t>anerkender, at agenturet har opnået en meget høj grad af digitalisering ved at afskaffe papirprocesser og foreslå onlineløsninger såsom e-</w:t>
      </w:r>
      <w:proofErr w:type="spellStart"/>
      <w:r w:rsidRPr="005E381D">
        <w:t>procurement</w:t>
      </w:r>
      <w:proofErr w:type="spellEnd"/>
      <w:r w:rsidRPr="005E381D">
        <w:t>, e-</w:t>
      </w:r>
      <w:proofErr w:type="spellStart"/>
      <w:r w:rsidRPr="005E381D">
        <w:t>invoicing</w:t>
      </w:r>
      <w:proofErr w:type="spellEnd"/>
      <w:r w:rsidRPr="005E381D">
        <w:t xml:space="preserve"> og elektronisk reservation af rejser, herunder gennem udrulningen i 2022 af Kommissionens HR-forvaltningssystem (SYSPER) og migration i pilotfasen til det nye budget-, regnskabs- og finanssystem, SUMMA; glæder sig over, at der i agenturets enhedsprogrammeringsdokument for 2023-2025 forudses en yderligere digitalisering af dets arbejdsgange;</w:t>
      </w:r>
    </w:p>
    <w:p w14:paraId="3A073216" w14:textId="77777777" w:rsidR="00A836A0" w:rsidRPr="005E381D" w:rsidRDefault="00A836A0" w:rsidP="00A836A0">
      <w:pPr>
        <w:pStyle w:val="NormalHanging12a"/>
      </w:pPr>
      <w:r w:rsidRPr="005E381D">
        <w:t>18.</w:t>
      </w:r>
      <w:r w:rsidRPr="005E381D">
        <w:tab/>
        <w:t xml:space="preserve">bemærker på baggrund af agenturets udtalelse om de </w:t>
      </w:r>
      <w:proofErr w:type="spellStart"/>
      <w:r w:rsidRPr="005E381D">
        <w:t>opfølgende</w:t>
      </w:r>
      <w:proofErr w:type="spellEnd"/>
      <w:r w:rsidRPr="005E381D">
        <w:t xml:space="preserve"> foranstaltninger, der er truffet i lyset af decharge for gennemførelsen af agenturets budget for regnskabsåret 2021 (i det følgende benævnt "agenturets udtalelse"), at agenturet har gennemført en række foranstaltninger for at reducere driftsomkostningerne i Lille (dvs. udgifter i forbindelse med tjenesterejser og rejser for personale og eksterne interessenter er blevet reduceret betydeligt) og har afsluttet den nuværende lejekontrakt for lokalerne i Lille; bemærker, at det er agenturets hensigt kun at afholde de obligatoriske møder i Lille for at efterkomme Det Europæiske Råds afgørelse om et dobbelt hjemsted "Lille-</w:t>
      </w:r>
      <w:proofErr w:type="spellStart"/>
      <w:r w:rsidRPr="005E381D">
        <w:t>Valenciennes</w:t>
      </w:r>
      <w:proofErr w:type="spellEnd"/>
      <w:r w:rsidRPr="005E381D">
        <w:t xml:space="preserve">"; glæder sig over, at agenturet har godkendt sin HR-strategi (2023-2027) i 2022 på basis af Parlamentets bemærkning og har fokus på at forbedre sin effektivitet; bemærker i den forbindelse de positive erfaringer og den positive udvikling i agenturet med hensyn til anvendelsen af </w:t>
      </w:r>
      <w:proofErr w:type="spellStart"/>
      <w:r w:rsidRPr="005E381D">
        <w:t>telearbejdsordningen</w:t>
      </w:r>
      <w:proofErr w:type="spellEnd"/>
      <w:r w:rsidRPr="005E381D">
        <w:t xml:space="preserve"> under covid-19-pandemien, der fik agenturet til at konkludere, at det nye normale er, at telearbejde accepteres som svarende til at arbejde på kontoret for størstedelen af personalet, mens fysisk tilstedeværelse fortsat er afgørende for visse specifikke job;</w:t>
      </w:r>
    </w:p>
    <w:p w14:paraId="41194125" w14:textId="77777777" w:rsidR="00A836A0" w:rsidRPr="005E381D" w:rsidRDefault="00A836A0" w:rsidP="00A836A0">
      <w:pPr>
        <w:spacing w:after="240"/>
        <w:ind w:left="567" w:hanging="567"/>
        <w:rPr>
          <w:b/>
          <w:i/>
          <w:szCs w:val="24"/>
        </w:rPr>
      </w:pPr>
      <w:r w:rsidRPr="005E381D">
        <w:rPr>
          <w:b/>
          <w:i/>
        </w:rPr>
        <w:t>Personalepolitik</w:t>
      </w:r>
    </w:p>
    <w:p w14:paraId="00E50967" w14:textId="77777777" w:rsidR="00A836A0" w:rsidRPr="005E381D" w:rsidRDefault="00A836A0" w:rsidP="00A836A0">
      <w:pPr>
        <w:spacing w:after="240"/>
        <w:ind w:left="567" w:hanging="567"/>
        <w:rPr>
          <w:szCs w:val="24"/>
        </w:rPr>
      </w:pPr>
      <w:r w:rsidRPr="005E381D">
        <w:t>19.</w:t>
      </w:r>
      <w:r w:rsidRPr="005E381D">
        <w:tab/>
        <w:t>bemærker, at gennemførelsesgraden for stillingsfortegnelsen pr. 31. december 2022 var 97,40 % med 150 midlertidigt ansatte ud af de 154 midlertidigt ansatte, som var godkendt i henhold til Unionens budget (i forhold til 151 godkendte stillinger i 2021); bemærker, at der desuden var 36 kontraktansatte (ud af 36 godkendte stillinger) og to udstationerede nationale eksperter (ud af fire godkendte stillinger), der arbejdede for agenturet i 2022;</w:t>
      </w:r>
    </w:p>
    <w:p w14:paraId="6DA6698A" w14:textId="77777777" w:rsidR="00A836A0" w:rsidRPr="005E381D" w:rsidRDefault="00A836A0" w:rsidP="00A836A0">
      <w:pPr>
        <w:pStyle w:val="NormalHanging12a"/>
      </w:pPr>
      <w:r w:rsidRPr="005E381D">
        <w:t>20.</w:t>
      </w:r>
      <w:r w:rsidRPr="005E381D">
        <w:tab/>
        <w:t xml:space="preserve">bemærker med bekymring den manglende kønsbalance i agenturets øverste ledelse, hvor 8 ud af 10 (80 %) er mænd; bemærker kønsfordelingen i agenturets bestyrelse, hvor 34 ud af 64 (53 %) er mænd; bemærker endelig kønsfordelingen i agenturets samlede personale, hvor 120 ud af 188 (64 %) er mænd; minder om betydningen af at sikre kønsbalancen og opfordrer agenturet til at tage dette aspekt i betragtning i forbindelse med fremtidige udnævnelser inden for den øverste ledelse; bemærker agenturets løbende arbejde med at udligne kønsskævheden med specifikke projekter såsom "Kvinder i transport" for at styrke kvinders beskæftigelse og lige muligheder i transportsektoren; bemærker i den forbindelse agenturets bestræbelser på at øge antallet af kvinder i transportsektoren gennem meget håndgribelige aktiviteter såsom hurtige netværksarrangementer og </w:t>
      </w:r>
      <w:proofErr w:type="spellStart"/>
      <w:r w:rsidRPr="005E381D">
        <w:t>webinarer</w:t>
      </w:r>
      <w:proofErr w:type="spellEnd"/>
      <w:r w:rsidRPr="005E381D">
        <w:t xml:space="preserve"> med fokus på mangfoldighed og inklusion i 2022;</w:t>
      </w:r>
    </w:p>
    <w:p w14:paraId="242BCB05" w14:textId="77777777" w:rsidR="00A836A0" w:rsidRPr="005E381D" w:rsidRDefault="00A836A0" w:rsidP="00A836A0">
      <w:pPr>
        <w:spacing w:after="240"/>
        <w:ind w:left="567" w:hanging="567"/>
        <w:rPr>
          <w:szCs w:val="24"/>
        </w:rPr>
      </w:pPr>
      <w:r w:rsidRPr="005E381D">
        <w:lastRenderedPageBreak/>
        <w:t>21.</w:t>
      </w:r>
      <w:r w:rsidRPr="005E381D">
        <w:tab/>
        <w:t>noterer sig på baggrund af agenturets udtalelse, at agenturet gennemførte en deltagerorienteret kønsspecifik revision i anden halvdel af 2022, hvis resultater derefter blev anvendt til at hjælpe med at prioritere mellem målene i agenturets strategi for menneskelige ressourcer 2023-2027 og fungerede som input til et dokument, der beskrev agenturets ledelsesteams forpligtelser med hensyn til mangfoldighed og inklusion; bemærker endvidere, at der er fastlagt konkrete, kortsigtede foranstaltninger for at forbedre mangfoldighed og inklusion i agenturet på alle niveauer, f.eks. det arbejde, der udføres med rekruttering og ansættelse (anvendelse af reservelister, indslusning, mentorordninger);</w:t>
      </w:r>
    </w:p>
    <w:p w14:paraId="3F1855CF" w14:textId="77777777" w:rsidR="00A836A0" w:rsidRPr="005E381D" w:rsidRDefault="00A836A0" w:rsidP="00A836A0">
      <w:pPr>
        <w:pStyle w:val="NormalHanging12a"/>
      </w:pPr>
      <w:r w:rsidRPr="005E381D">
        <w:t>22.</w:t>
      </w:r>
      <w:r w:rsidRPr="005E381D">
        <w:tab/>
        <w:t>glæder sig over, at agenturet bestræber sig på at sikre en geografisk balance blandt sine medarbejdere ved at tilskynde kandidater fra alle medlemsstater til at ansøge om sine stillinger; bemærker, at de midlertidige stillinger offentliggøres på alle EU-sprog, og at indkaldelserne af ansøgninger ikke kun offentliggøres på agenturets websted, men formidles blandt medlemsstaternes faste repræsentationer;</w:t>
      </w:r>
    </w:p>
    <w:p w14:paraId="23A0BB9F" w14:textId="77777777" w:rsidR="00A836A0" w:rsidRPr="005E381D" w:rsidRDefault="00A836A0" w:rsidP="00A836A0">
      <w:pPr>
        <w:spacing w:after="240"/>
        <w:ind w:left="567" w:hanging="567"/>
        <w:rPr>
          <w:szCs w:val="24"/>
        </w:rPr>
      </w:pPr>
      <w:r w:rsidRPr="005E381D">
        <w:t>23.</w:t>
      </w:r>
      <w:r w:rsidRPr="005E381D">
        <w:tab/>
        <w:t>noterer sig på baggrund af agenturets svar på Parlamentets skriftlige spørgsmål, at der med hensyn til de indberettede tilfælde af chikane i agenturet, som håndteres af de interne fortrolige rådgivere, blev opført fire medarbejdere i registret, hvoraf to blev fjernet fra registret ved udgangen af 2022, uden at der blev foretaget nogen undersøgelse, eller der blev draget konklusioner; tilskynder agenturet til at videreudvikle sine politikker og metoder til at forebygge sådanne sager mere effektivt i fremtiden;</w:t>
      </w:r>
    </w:p>
    <w:p w14:paraId="684A78EF" w14:textId="77777777" w:rsidR="00A836A0" w:rsidRPr="005E381D" w:rsidRDefault="00A836A0" w:rsidP="00A836A0">
      <w:pPr>
        <w:spacing w:after="240"/>
        <w:ind w:left="567" w:hanging="567"/>
        <w:rPr>
          <w:b/>
          <w:i/>
          <w:szCs w:val="24"/>
        </w:rPr>
      </w:pPr>
      <w:r w:rsidRPr="005E381D">
        <w:rPr>
          <w:b/>
          <w:i/>
        </w:rPr>
        <w:t>Udbud</w:t>
      </w:r>
    </w:p>
    <w:p w14:paraId="0C0E4F2E" w14:textId="77777777" w:rsidR="00A836A0" w:rsidRPr="005E381D" w:rsidRDefault="00A836A0" w:rsidP="00A836A0">
      <w:pPr>
        <w:spacing w:after="240"/>
        <w:ind w:left="567" w:hanging="567"/>
        <w:rPr>
          <w:szCs w:val="24"/>
        </w:rPr>
      </w:pPr>
      <w:r w:rsidRPr="005E381D">
        <w:t>24.</w:t>
      </w:r>
      <w:r w:rsidRPr="005E381D">
        <w:tab/>
        <w:t>bemærker, at agenturet gennemførte to offentlige udbud, tre udbud med forhandling og ét genåbnet udbud i 2022 samt to offentlige udbud og tre udbud med forhandling finansieret af administrationsbevillinger;</w:t>
      </w:r>
    </w:p>
    <w:p w14:paraId="1C004FD6" w14:textId="77777777" w:rsidR="00A836A0" w:rsidRPr="005E381D" w:rsidRDefault="00A836A0" w:rsidP="00A836A0">
      <w:pPr>
        <w:spacing w:after="240"/>
        <w:ind w:left="567" w:hanging="567"/>
      </w:pPr>
      <w:r w:rsidRPr="005E381D">
        <w:t>25.</w:t>
      </w:r>
      <w:r w:rsidRPr="005E381D">
        <w:tab/>
        <w:t>noterer sig på baggrund af agenturets svar på Parlamentets skriftlige spørgsmål, at gennemførelsen af grønne offentlige udbud er i gang og er et af initiativerne/foranstaltningerne i agenturets miljøforvaltningsstrategi;</w:t>
      </w:r>
    </w:p>
    <w:p w14:paraId="53037A17" w14:textId="77777777" w:rsidR="00A836A0" w:rsidRPr="005E381D" w:rsidRDefault="00A836A0" w:rsidP="00A836A0">
      <w:pPr>
        <w:spacing w:after="240"/>
        <w:ind w:left="567" w:hanging="567"/>
        <w:rPr>
          <w:szCs w:val="24"/>
        </w:rPr>
      </w:pPr>
      <w:r w:rsidRPr="005E381D">
        <w:t>26.</w:t>
      </w:r>
      <w:r w:rsidRPr="005E381D">
        <w:tab/>
        <w:t>noterer sig på baggrund af agenturets svar på dechargemyndighedens spørgsmål, at agenturets udbudsprocedurer allerede var fuldt digitaliseret i 2022; glæder sig over, at agenturet i juli 2023 indledte processen for at indføre værktøjet til forvaltning af offentlige udbud;</w:t>
      </w:r>
    </w:p>
    <w:p w14:paraId="476FAAC8" w14:textId="77777777" w:rsidR="00A836A0" w:rsidRPr="005E381D" w:rsidRDefault="00A836A0" w:rsidP="00A836A0">
      <w:pPr>
        <w:spacing w:after="240"/>
        <w:ind w:left="567" w:hanging="567"/>
        <w:rPr>
          <w:b/>
          <w:i/>
          <w:szCs w:val="24"/>
        </w:rPr>
      </w:pPr>
      <w:r w:rsidRPr="005E381D">
        <w:rPr>
          <w:b/>
          <w:i/>
        </w:rPr>
        <w:t>Forebyggelse og håndtering af interessekonflikter samt gennemsigtighed</w:t>
      </w:r>
    </w:p>
    <w:p w14:paraId="21F7A01C" w14:textId="77777777" w:rsidR="00A836A0" w:rsidRPr="005E381D" w:rsidRDefault="00A836A0" w:rsidP="00A836A0">
      <w:pPr>
        <w:spacing w:after="240"/>
        <w:ind w:left="567" w:hanging="567"/>
        <w:rPr>
          <w:szCs w:val="24"/>
        </w:rPr>
      </w:pPr>
      <w:r w:rsidRPr="005E381D">
        <w:t>27.</w:t>
      </w:r>
      <w:r w:rsidRPr="005E381D">
        <w:tab/>
        <w:t>bemærker, at agenturet har offentliggjort CV'er og interesseerklæringer fra bestyrelsesmedlemmer og dets øverste ledelse på agenturets websted; bemærker, at agenturet ikke offentliggør CV'er for eksterne og interne eksperter;</w:t>
      </w:r>
    </w:p>
    <w:p w14:paraId="33C629C4" w14:textId="77777777" w:rsidR="00A836A0" w:rsidRPr="005E381D" w:rsidRDefault="00A836A0" w:rsidP="00A836A0">
      <w:pPr>
        <w:spacing w:after="240"/>
        <w:ind w:left="567" w:hanging="567"/>
        <w:rPr>
          <w:bCs/>
          <w:szCs w:val="24"/>
        </w:rPr>
      </w:pPr>
      <w:r w:rsidRPr="005E381D">
        <w:t>28.</w:t>
      </w:r>
      <w:r w:rsidRPr="005E381D">
        <w:tab/>
        <w:t xml:space="preserve">glæder sig over agenturets bestræbelser på at øge gennemsigtigheden af sine aktiviteter ved regelmæssigt på sit websted at offentliggøre oplysninger om alle de møder, som den administrerende direktør afholder med organisationer eller selvstændige erhvervsdrivende; bemærker, at agenturet anvender flere mekanismer til at identificere og undgå interessekonflikter ved hjælp af en liste over interesser, der tilhører specifikke kategorier (f.eks. professionelle og familiemæssige), gennemgang af </w:t>
      </w:r>
      <w:r w:rsidRPr="005E381D">
        <w:lastRenderedPageBreak/>
        <w:t>interesseerklæringer, krav om spontane erklæringer om fravær af interessekonflikter og regelmæssig uddannelse;</w:t>
      </w:r>
    </w:p>
    <w:p w14:paraId="543D04A4" w14:textId="77777777" w:rsidR="00A836A0" w:rsidRPr="005E381D" w:rsidRDefault="00A836A0" w:rsidP="00A836A0">
      <w:pPr>
        <w:spacing w:after="240"/>
        <w:ind w:left="567" w:hanging="567"/>
      </w:pPr>
      <w:r w:rsidRPr="005E381D">
        <w:t>29.</w:t>
      </w:r>
      <w:r w:rsidRPr="005E381D">
        <w:tab/>
        <w:t xml:space="preserve">roser agenturet for dets </w:t>
      </w:r>
      <w:proofErr w:type="spellStart"/>
      <w:r w:rsidRPr="005E381D">
        <w:t>whistleblowingprocedurer</w:t>
      </w:r>
      <w:proofErr w:type="spellEnd"/>
      <w:r w:rsidRPr="005E381D">
        <w:t>, hvorigennem medarbejdere kan indberette potentielle konflikter uden frygt for repressalier; bemærker i den forbindelse, at der i 2022 er blevet rapporteret om potentielle situationer med interessekonflikter hos agenturets bestyrelsesmedlemmer og medarbejdere, og at der er truffet afbødende foranstaltninger, som er blevet ført til protokol på bestyrelsens møder eller dokumenteret i interesseerklæringerne fra de berørte medarbejdere;</w:t>
      </w:r>
    </w:p>
    <w:p w14:paraId="43E7E982" w14:textId="77777777" w:rsidR="00A836A0" w:rsidRPr="005E381D" w:rsidRDefault="00A836A0" w:rsidP="00A836A0">
      <w:pPr>
        <w:spacing w:after="240"/>
        <w:ind w:left="567" w:hanging="567"/>
      </w:pPr>
      <w:r w:rsidRPr="005E381D">
        <w:t>30.</w:t>
      </w:r>
      <w:r w:rsidRPr="005E381D">
        <w:tab/>
        <w:t xml:space="preserve">noterer sig på baggrund af agenturets svar på Parlamentets skriftlige spørgsmål, at agenturet har indført procedurer for håndtering af potentielle svingdørssituationer i forbindelse med tidligere ansatte; beklager i den forbindelse, at agenturet ikke foretager en systematisk overvågning af overholdelsen af de gældende regler, hvilket betyder, at uanmeldte "svingdørssituationer" kan forblive </w:t>
      </w:r>
      <w:proofErr w:type="spellStart"/>
      <w:r w:rsidRPr="005E381D">
        <w:t>uopdagede</w:t>
      </w:r>
      <w:proofErr w:type="spellEnd"/>
      <w:r w:rsidRPr="005E381D">
        <w:t>, eller at det måske ikke kan sikres, at de instrukser, som tidligere er blevet pålagt medarbejdere, der har forladt agenturet, efterleves;</w:t>
      </w:r>
    </w:p>
    <w:p w14:paraId="32F60994" w14:textId="77777777" w:rsidR="00A836A0" w:rsidRPr="005E381D" w:rsidRDefault="00A836A0" w:rsidP="00A836A0">
      <w:pPr>
        <w:spacing w:after="240"/>
        <w:ind w:left="567" w:hanging="567"/>
        <w:rPr>
          <w:szCs w:val="24"/>
        </w:rPr>
      </w:pPr>
      <w:r w:rsidRPr="005E381D">
        <w:t>31.</w:t>
      </w:r>
      <w:r w:rsidRPr="005E381D">
        <w:tab/>
        <w:t>bemærker, at agenturet fortsatte de uddannelseskurser om etik og bekæmpelse af svig, som er obligatoriske for alle medarbejdere, og som er en del af en 4-årig rullende cyklus af uddannelseskurser med det formål at nå op på 100 % deltagelse ved afslutningen af cyklussen; bemærker, at den samlede deltagelse i 2022 var på 22,1 % for bekæmpelse af svig og 31,11 % for etik, og at begge kurser er skræddersyet i overensstemmelse med agenturets risikomiljø;</w:t>
      </w:r>
    </w:p>
    <w:p w14:paraId="23DA3514" w14:textId="77777777" w:rsidR="00A836A0" w:rsidRPr="005E381D" w:rsidRDefault="00A836A0" w:rsidP="00A836A0">
      <w:pPr>
        <w:spacing w:after="240"/>
        <w:ind w:left="567" w:hanging="567"/>
        <w:rPr>
          <w:szCs w:val="24"/>
        </w:rPr>
      </w:pPr>
      <w:r w:rsidRPr="005E381D">
        <w:rPr>
          <w:b/>
          <w:i/>
        </w:rPr>
        <w:t>Intern kontrol</w:t>
      </w:r>
    </w:p>
    <w:p w14:paraId="05331098" w14:textId="77777777" w:rsidR="00A836A0" w:rsidRPr="005E381D" w:rsidRDefault="00A836A0" w:rsidP="00A836A0">
      <w:pPr>
        <w:spacing w:after="240"/>
        <w:ind w:left="567" w:hanging="567"/>
        <w:rPr>
          <w:szCs w:val="24"/>
        </w:rPr>
      </w:pPr>
      <w:r w:rsidRPr="005E381D">
        <w:t>32.</w:t>
      </w:r>
      <w:r w:rsidRPr="005E381D">
        <w:tab/>
        <w:t xml:space="preserve">noterer sig med bekymring på baggrund af Revisionsrettens beretning bemærkningerne om visse mangler i agenturets forvaltnings- og kontrolsystemer, nemlig manglen på en politik for klassificering og beskyttelse af følsomme oplysninger og anvendelsen af ikkegyldige godkendelsesmetoder i stedet for fysiske eller kvalificerede elektroniske signaturer inden for udbudsprocedurer; noterer sig på baggrund af agenturets svar på Revisionsrettens bemærkninger, at disse mangler i mellemtiden er blevet afhjulpet gennem forskellige tiltag og foranstaltninger; opfordrer Revisionsretten til at medtage disse tiltag og foranstaltninger i sine </w:t>
      </w:r>
      <w:proofErr w:type="spellStart"/>
      <w:r w:rsidRPr="005E381D">
        <w:t>opfølgende</w:t>
      </w:r>
      <w:proofErr w:type="spellEnd"/>
      <w:r w:rsidRPr="005E381D">
        <w:t xml:space="preserve"> revisioner;</w:t>
      </w:r>
    </w:p>
    <w:p w14:paraId="13103FE8" w14:textId="77777777" w:rsidR="00A836A0" w:rsidRPr="005E381D" w:rsidRDefault="00A836A0" w:rsidP="00A836A0">
      <w:pPr>
        <w:spacing w:after="240"/>
        <w:ind w:left="567" w:hanging="567"/>
      </w:pPr>
      <w:r w:rsidRPr="005E381D">
        <w:t>33.</w:t>
      </w:r>
      <w:r w:rsidRPr="005E381D">
        <w:tab/>
        <w:t xml:space="preserve">noterer sig på baggrund af agenturets udtalelse, at agenturet for så vidt angår de henstillinger, som Den Interne Revisionstjeneste (IAS) fremsatte efter revisionen i 2019 af informationsstyring og informationssikkerhed, har gennemført den meget vigtige henstilling om datastyringsrammen og den vigtige henstilling om data og IT-operationer (allerede afsluttet af IAS), mens der arbejdes på at gennemføre de resterende tre henstillinger i 2023 (om </w:t>
      </w:r>
      <w:proofErr w:type="spellStart"/>
      <w:r w:rsidRPr="005E381D">
        <w:t>datainteroperabilitet</w:t>
      </w:r>
      <w:proofErr w:type="spellEnd"/>
      <w:r w:rsidRPr="005E381D">
        <w:t xml:space="preserve"> og -kvalitet, data- og IT-sikkerhed samt IT-kontinuitet og fysisk sikkerhed); opfordrer agenturet til at aflægge rapport til budgetmyndigheden om de fremskridt, der er gjort i den forbindelse;</w:t>
      </w:r>
    </w:p>
    <w:p w14:paraId="717072F5" w14:textId="77777777" w:rsidR="00A836A0" w:rsidRPr="005E381D" w:rsidRDefault="00A836A0" w:rsidP="00A836A0">
      <w:pPr>
        <w:spacing w:after="240"/>
        <w:ind w:left="567" w:hanging="567"/>
        <w:rPr>
          <w:szCs w:val="24"/>
        </w:rPr>
      </w:pPr>
      <w:r w:rsidRPr="005E381D">
        <w:t>34.</w:t>
      </w:r>
      <w:r w:rsidRPr="005E381D">
        <w:tab/>
        <w:t xml:space="preserve">bemærker, at enhver afvigelse fra en fastlagt proces eller procedure inden for agenturet er dokumenteret, begrundet og godkendt på det relevante forvaltningsniveau; bemærker med tilfredshed et fald i antallet af registrerede afvigelser fra 35 i 2021 til 28 i 2022; bemærker, at der i 2022 blev registreret 28 afvigelser vedrørende overholdelse af f.eks. administrative regler (afvigelse fra reglerne om telearbejde), udbudsprocedurer/-regler (uregelmæssig anvendelse af proceduren med forhandling), regler vedrørende </w:t>
      </w:r>
      <w:r w:rsidRPr="005E381D">
        <w:lastRenderedPageBreak/>
        <w:t>tjenesterejser (igangværende tjenesterejser uden en godkendt tjenesterejseordre) samt regler på områder som kontraktforvaltning, forpligtelser og udvælgelse af personale; bemærker, at 13 af de 28 afvigelser var ekstraordinære (forudgående afvigelser) og var gennemsigtigt dokumenteret og begrundet, f.eks. for at sikre forretningskontinuitet eller økonomiske årsager; glæder sig over, at agenturet har indført afbødnings- eller overvågningsforanstaltninger for at håndtere alle afvigelser; opfordrer agenturet til fortsat at foretage risikobaserede og periodiske vurderinger af, hvordan de vigtigste områder af den interne kontrol, der understøtter sikkerhedsprocessen, fungerer;</w:t>
      </w:r>
    </w:p>
    <w:p w14:paraId="01F70C61" w14:textId="77777777" w:rsidR="00A836A0" w:rsidRPr="005E381D" w:rsidRDefault="00A836A0" w:rsidP="00A836A0">
      <w:pPr>
        <w:spacing w:after="240"/>
        <w:ind w:left="567" w:hanging="567"/>
        <w:rPr>
          <w:szCs w:val="24"/>
        </w:rPr>
      </w:pPr>
      <w:r w:rsidRPr="005E381D">
        <w:t>35.</w:t>
      </w:r>
      <w:r w:rsidRPr="005E381D">
        <w:tab/>
        <w:t>bemærker, at agenturet i 2022 gennemførte risikovurderingen i overensstemmelse med sin årlige strategiske planlægning og løbende har gennemgået relevansen af risiciene og de dermed forbundne afbødende foranstaltninger i løbet af året; noterer sig de store udfordringer/risici, der er identificeret i forbindelse med budgetgennemførelsen, gennemførelsen af et nyt fælles finansielt IT-værktøj (SUMMA), personalemæssige begrænsninger, IT-sikkerhedsspørgsmål og covid-19-konsekvenser;</w:t>
      </w:r>
    </w:p>
    <w:p w14:paraId="7DA2A3F3" w14:textId="77777777" w:rsidR="00A836A0" w:rsidRPr="005E381D" w:rsidRDefault="00A836A0" w:rsidP="00A836A0">
      <w:pPr>
        <w:spacing w:after="240"/>
        <w:ind w:left="567" w:hanging="567"/>
        <w:rPr>
          <w:szCs w:val="24"/>
        </w:rPr>
      </w:pPr>
      <w:r w:rsidRPr="005E381D">
        <w:t>36.</w:t>
      </w:r>
      <w:r w:rsidRPr="005E381D">
        <w:tab/>
        <w:t xml:space="preserve">bemærker, at </w:t>
      </w:r>
      <w:proofErr w:type="spellStart"/>
      <w:r w:rsidRPr="005E381D">
        <w:t>OLAF's</w:t>
      </w:r>
      <w:proofErr w:type="spellEnd"/>
      <w:r w:rsidRPr="005E381D">
        <w:t xml:space="preserve"> undersøgelse blev afsluttet i december 2022 uden konklusioner eller yderligere henstillinger;</w:t>
      </w:r>
    </w:p>
    <w:p w14:paraId="6378A2C1" w14:textId="77777777" w:rsidR="00A836A0" w:rsidRPr="005E381D" w:rsidRDefault="00A836A0" w:rsidP="00A836A0">
      <w:pPr>
        <w:spacing w:after="240"/>
        <w:ind w:left="567" w:hanging="567"/>
        <w:rPr>
          <w:szCs w:val="24"/>
        </w:rPr>
      </w:pPr>
      <w:r w:rsidRPr="005E381D">
        <w:rPr>
          <w:b/>
          <w:i/>
        </w:rPr>
        <w:t>Øvrige bemærkninger</w:t>
      </w:r>
    </w:p>
    <w:p w14:paraId="2608B23D" w14:textId="77777777" w:rsidR="00A836A0" w:rsidRPr="005E381D" w:rsidRDefault="00A836A0" w:rsidP="00A836A0">
      <w:pPr>
        <w:tabs>
          <w:tab w:val="left" w:pos="567"/>
        </w:tabs>
        <w:spacing w:after="240"/>
        <w:ind w:left="567" w:hanging="567"/>
        <w:rPr>
          <w:szCs w:val="24"/>
        </w:rPr>
      </w:pPr>
      <w:r w:rsidRPr="005E381D">
        <w:t>37.</w:t>
      </w:r>
      <w:r w:rsidRPr="005E381D">
        <w:tab/>
        <w:t xml:space="preserve">bemærker, at den administrerende direktør efter de skridt, der er blevet taget sammen med Europa-Parlamentet og Rådet i forbindelse med agenturets nye bygning, orienterede bestyrelsen om flere møder med </w:t>
      </w:r>
      <w:proofErr w:type="spellStart"/>
      <w:r w:rsidRPr="005E381D">
        <w:t>Valenciennes</w:t>
      </w:r>
      <w:proofErr w:type="spellEnd"/>
      <w:r w:rsidRPr="005E381D">
        <w:t xml:space="preserve"> </w:t>
      </w:r>
      <w:proofErr w:type="spellStart"/>
      <w:r w:rsidRPr="005E381D">
        <w:t>Métropole</w:t>
      </w:r>
      <w:proofErr w:type="spellEnd"/>
      <w:r w:rsidRPr="005E381D">
        <w:t xml:space="preserve"> i 2023; bemærker endvidere, at byggetilladelsen bør være klar i marts 2024, og at opførelsen kan påbegyndes i sommeren 2024, således at bygningen står klar i 2026;</w:t>
      </w:r>
    </w:p>
    <w:p w14:paraId="36AA85C2" w14:textId="77777777" w:rsidR="00A836A0" w:rsidRPr="005E381D" w:rsidRDefault="00A836A0" w:rsidP="00A836A0">
      <w:pPr>
        <w:pStyle w:val="NormalHanging12a"/>
      </w:pPr>
      <w:r w:rsidRPr="005E381D">
        <w:t>38.</w:t>
      </w:r>
      <w:r w:rsidRPr="005E381D">
        <w:tab/>
        <w:t xml:space="preserve">glæder sig over agenturets fortsatte bestræbelser på at styrke sin kommunikation, som sker via forskellige kanaler for at nå ud til det størst mulige publikum; noterer sig udviklingen og lanceringen af agenturets nye websted i november 2022, som giver et mere klart, strømlinet og moderne redskab til at præsentere agenturets bidrag til jernbanesektoren og EU-borgerne generelt; anerkender agenturets bestræbelser på at organisere ni </w:t>
      </w:r>
      <w:proofErr w:type="spellStart"/>
      <w:r w:rsidRPr="005E381D">
        <w:t>webinarer</w:t>
      </w:r>
      <w:proofErr w:type="spellEnd"/>
      <w:r w:rsidRPr="005E381D">
        <w:t xml:space="preserve"> og udarbejde flere publikationer og videoer i 2022; glæder sig over, at agenturet bibeholdt en stærk tilstedeværelse i medierne og øgede antallet af følgere på sine sociale medier i 2022;</w:t>
      </w:r>
    </w:p>
    <w:p w14:paraId="46DA34C6" w14:textId="77777777" w:rsidR="00A836A0" w:rsidRPr="005E381D" w:rsidRDefault="00A836A0" w:rsidP="00A836A0">
      <w:pPr>
        <w:pStyle w:val="NormalHanging12a"/>
      </w:pPr>
      <w:r w:rsidRPr="005E381D">
        <w:t>39.</w:t>
      </w:r>
      <w:r w:rsidRPr="005E381D">
        <w:tab/>
        <w:t>understreger, at de europæiske jernbaneselskaber i 2022 fortsatte deres økonomiske genopretning efter covid-19-pandemien; understreger, at jernbanesektorens fortsatte modstandsdygtighed sammen med dens lave CO</w:t>
      </w:r>
      <w:r w:rsidRPr="005E381D">
        <w:rPr>
          <w:vertAlign w:val="subscript"/>
        </w:rPr>
        <w:t>2</w:t>
      </w:r>
      <w:r w:rsidRPr="005E381D">
        <w:t>-emissioner er to væsentlige faktorer, der bidrager til at vende tilbage til niveauet før pandemien i fremtiden;</w:t>
      </w:r>
    </w:p>
    <w:p w14:paraId="3C276CD7" w14:textId="77777777" w:rsidR="00A836A0" w:rsidRPr="005E381D" w:rsidRDefault="00A836A0" w:rsidP="00A836A0">
      <w:pPr>
        <w:pStyle w:val="NormalHanging12a"/>
      </w:pPr>
      <w:r w:rsidRPr="005E381D">
        <w:t>40.</w:t>
      </w:r>
      <w:r w:rsidRPr="005E381D">
        <w:tab/>
        <w:t>beklager, at de nuværende krav for så vidt angår indberetning af jernbanesikkerhedsulykker og -hændelser er fragmenterede i hele Europa, kun er begrænset til en tilsynsfunktion og ikke understøttes af et passende effektivt redskab, og opfordrer derfor Kommissionen til at afhjælpe denne mangel og stille den nødvendige finansiering til rådighed med henblik herpå;</w:t>
      </w:r>
    </w:p>
    <w:p w14:paraId="4F8756EF" w14:textId="77777777" w:rsidR="00A836A0" w:rsidRPr="005E381D" w:rsidRDefault="00A836A0" w:rsidP="00A836A0">
      <w:pPr>
        <w:pStyle w:val="NormalHanging12a"/>
      </w:pPr>
      <w:r w:rsidRPr="005E381D">
        <w:t>41.</w:t>
      </w:r>
      <w:r w:rsidRPr="005E381D">
        <w:tab/>
        <w:t xml:space="preserve">bemærker, at når EU-kandidatlandene tiltræder Unionen, vil de have gennemført EU-rammen og gældende EU-ret; påpeger, at dette vil gøre det muligt for EU-borgerne at anvende jernbanetransport som en miljøvenlig og sikker transportform og transportere deres varer fra/til Sydøsteuropa, da godstogskorridorer i dag forbinder Vestbalkan med </w:t>
      </w:r>
      <w:r w:rsidRPr="005E381D">
        <w:lastRenderedPageBreak/>
        <w:t xml:space="preserve">EU; understreger den rolle, som IPA og projektet på Vestbalkan spiller med hensyn til at støtte gennemførelsen af </w:t>
      </w:r>
      <w:proofErr w:type="spellStart"/>
      <w:r w:rsidRPr="005E381D">
        <w:t>interoperabilitetsdirektivet</w:t>
      </w:r>
      <w:proofErr w:type="spellEnd"/>
      <w:r w:rsidRPr="005E381D">
        <w:t xml:space="preserve"> og jernbanesikkerhedsdirektivet blandt projektmodtagerne; bemærker også, at dette vil danne grundlag for en markedsåbning af jernbanetjenester og togture uden afbrydelser fra og til denne naboregion;</w:t>
      </w:r>
    </w:p>
    <w:p w14:paraId="161EFF12" w14:textId="77777777" w:rsidR="00A836A0" w:rsidRPr="005E381D" w:rsidRDefault="00A836A0" w:rsidP="00A836A0">
      <w:pPr>
        <w:pStyle w:val="NormalCenter12a"/>
      </w:pPr>
      <w:r w:rsidRPr="005E381D">
        <w:t>°</w:t>
      </w:r>
    </w:p>
    <w:p w14:paraId="3E2C0CC3" w14:textId="77777777" w:rsidR="00A836A0" w:rsidRPr="005E381D" w:rsidRDefault="00A836A0" w:rsidP="00A836A0">
      <w:pPr>
        <w:pStyle w:val="NormalCenter12a"/>
      </w:pPr>
      <w:r w:rsidRPr="005E381D">
        <w:t>°</w:t>
      </w:r>
      <w:r w:rsidRPr="005E381D">
        <w:tab/>
        <w:t>°</w:t>
      </w:r>
    </w:p>
    <w:p w14:paraId="3AF269A9" w14:textId="4554E30B" w:rsidR="00A836A0" w:rsidRPr="005E381D" w:rsidRDefault="00A836A0" w:rsidP="00A836A0">
      <w:pPr>
        <w:pStyle w:val="NormalHanging12a"/>
      </w:pPr>
      <w:r w:rsidRPr="005E381D">
        <w:t>42.</w:t>
      </w:r>
      <w:r w:rsidRPr="005E381D">
        <w:tab/>
        <w:t xml:space="preserve">henviser med hensyn til de øvrige bemærkninger, der ledsager dechargeafgørelsen, og som er af horisontal karakter, til sin beslutning af </w:t>
      </w:r>
      <w:r w:rsidR="00C43F24">
        <w:t>11. april</w:t>
      </w:r>
      <w:r w:rsidRPr="005E381D">
        <w:t xml:space="preserve"> 2024</w:t>
      </w:r>
      <w:r w:rsidRPr="005E381D">
        <w:rPr>
          <w:rStyle w:val="FootnoteReference"/>
        </w:rPr>
        <w:footnoteReference w:id="12"/>
      </w:r>
      <w:r w:rsidRPr="005E381D">
        <w:t xml:space="preserve"> om agenturernes resultater, økonomiske forvaltning og kontrol.</w:t>
      </w:r>
    </w:p>
    <w:sectPr w:rsidR="00A836A0" w:rsidRPr="005E381D" w:rsidSect="005E381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974B2" w14:textId="77777777" w:rsidR="00560FAB" w:rsidRPr="005E381D" w:rsidRDefault="00560FAB">
      <w:r w:rsidRPr="005E381D">
        <w:separator/>
      </w:r>
    </w:p>
  </w:endnote>
  <w:endnote w:type="continuationSeparator" w:id="0">
    <w:p w14:paraId="127660B9" w14:textId="77777777" w:rsidR="00560FAB" w:rsidRPr="005E381D" w:rsidRDefault="00560FAB">
      <w:r w:rsidRPr="005E38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EA884" w14:textId="77777777" w:rsidR="00A836A0" w:rsidRPr="005E381D" w:rsidRDefault="00A836A0" w:rsidP="00645704">
    <w:pPr>
      <w:pStyle w:val="EPFooter"/>
    </w:pPr>
    <w:r w:rsidRPr="005E381D">
      <w:t>PE</w:t>
    </w:r>
    <w:r w:rsidRPr="005E381D">
      <w:rPr>
        <w:rStyle w:val="HideTWBExt"/>
      </w:rPr>
      <w:t>&lt;NoPE&gt;</w:t>
    </w:r>
    <w:r w:rsidRPr="005E381D">
      <w:t>753.528</w:t>
    </w:r>
    <w:r w:rsidRPr="005E381D">
      <w:rPr>
        <w:rStyle w:val="HideTWBExt"/>
      </w:rPr>
      <w:t>&lt;/NoPE&gt;&lt;Version&gt;</w:t>
    </w:r>
    <w:r w:rsidRPr="005E381D">
      <w:t>v02-00</w:t>
    </w:r>
    <w:r w:rsidRPr="005E381D">
      <w:rPr>
        <w:rStyle w:val="HideTWBExt"/>
      </w:rPr>
      <w:t>&lt;/Version&gt;</w:t>
    </w:r>
    <w:r w:rsidRPr="005E381D">
      <w:tab/>
    </w:r>
    <w:r w:rsidRPr="005E381D">
      <w:fldChar w:fldCharType="begin"/>
    </w:r>
    <w:r w:rsidRPr="005E381D">
      <w:instrText xml:space="preserve"> PAGE  \* MERGEFORMAT </w:instrText>
    </w:r>
    <w:r w:rsidRPr="005E381D">
      <w:fldChar w:fldCharType="separate"/>
    </w:r>
    <w:r w:rsidR="005E381D" w:rsidRPr="005E381D">
      <w:rPr>
        <w:noProof/>
      </w:rPr>
      <w:t>2</w:t>
    </w:r>
    <w:r w:rsidRPr="005E381D">
      <w:fldChar w:fldCharType="end"/>
    </w:r>
    <w:r w:rsidRPr="005E381D">
      <w:t>/</w:t>
    </w:r>
    <w:r w:rsidR="00A40802">
      <w:fldChar w:fldCharType="begin"/>
    </w:r>
    <w:r w:rsidR="00A40802">
      <w:instrText xml:space="preserve"> NUMPAGES  \* MERGEFORMAT </w:instrText>
    </w:r>
    <w:r w:rsidR="00A40802">
      <w:fldChar w:fldCharType="separate"/>
    </w:r>
    <w:r w:rsidR="005E381D" w:rsidRPr="005E381D">
      <w:rPr>
        <w:noProof/>
      </w:rPr>
      <w:t>4</w:t>
    </w:r>
    <w:r w:rsidR="00A40802">
      <w:rPr>
        <w:noProof/>
      </w:rPr>
      <w:fldChar w:fldCharType="end"/>
    </w:r>
    <w:r w:rsidRPr="005E381D">
      <w:tab/>
    </w:r>
    <w:r w:rsidRPr="005E381D">
      <w:rPr>
        <w:rStyle w:val="HideTWBExt"/>
      </w:rPr>
      <w:t>&lt;PathFdR&gt;</w:t>
    </w:r>
    <w:r w:rsidRPr="005E381D">
      <w:t>RR\1298731DA.docx</w:t>
    </w:r>
    <w:r w:rsidRPr="005E381D">
      <w:rPr>
        <w:rStyle w:val="HideTWBExt"/>
      </w:rPr>
      <w:t>&lt;/PathFdR&gt;</w:t>
    </w:r>
  </w:p>
  <w:p w14:paraId="6183BB19" w14:textId="77777777" w:rsidR="00A836A0" w:rsidRPr="005E381D" w:rsidRDefault="00A836A0" w:rsidP="00645704">
    <w:pPr>
      <w:pStyle w:val="EPFooter2"/>
    </w:pPr>
    <w:r w:rsidRPr="005E381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E4901" w14:textId="77777777" w:rsidR="00A836A0" w:rsidRPr="005E381D" w:rsidRDefault="00A836A0" w:rsidP="0064570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3F0C0" w14:textId="77777777" w:rsidR="00A836A0" w:rsidRPr="005E381D" w:rsidRDefault="00A836A0" w:rsidP="00645704">
    <w:pPr>
      <w:pStyle w:val="EPFooter"/>
    </w:pPr>
    <w:r w:rsidRPr="005E381D">
      <w:rPr>
        <w:rStyle w:val="HideTWBExt"/>
      </w:rPr>
      <w:t>&lt;PathFdR&gt;</w:t>
    </w:r>
    <w:r w:rsidRPr="005E381D">
      <w:t>RR\1298731DA.docx</w:t>
    </w:r>
    <w:r w:rsidRPr="005E381D">
      <w:rPr>
        <w:rStyle w:val="HideTWBExt"/>
      </w:rPr>
      <w:t>&lt;/PathFdR&gt;</w:t>
    </w:r>
    <w:r w:rsidRPr="005E381D">
      <w:tab/>
    </w:r>
    <w:r w:rsidRPr="005E381D">
      <w:tab/>
      <w:t>PE</w:t>
    </w:r>
    <w:r w:rsidRPr="005E381D">
      <w:rPr>
        <w:rStyle w:val="HideTWBExt"/>
      </w:rPr>
      <w:t>&lt;NoPE&gt;</w:t>
    </w:r>
    <w:r w:rsidRPr="005E381D">
      <w:t>753.528</w:t>
    </w:r>
    <w:r w:rsidRPr="005E381D">
      <w:rPr>
        <w:rStyle w:val="HideTWBExt"/>
      </w:rPr>
      <w:t>&lt;/NoPE&gt;&lt;Version&gt;</w:t>
    </w:r>
    <w:r w:rsidRPr="005E381D">
      <w:t>v02-00</w:t>
    </w:r>
    <w:r w:rsidRPr="005E381D">
      <w:rPr>
        <w:rStyle w:val="HideTWBExt"/>
      </w:rPr>
      <w:t>&lt;/Version&gt;</w:t>
    </w:r>
  </w:p>
  <w:p w14:paraId="1EC7C94C" w14:textId="77777777" w:rsidR="00A836A0" w:rsidRPr="005E381D" w:rsidRDefault="00A836A0" w:rsidP="00645704">
    <w:pPr>
      <w:pStyle w:val="EPFooter2"/>
    </w:pPr>
    <w:r w:rsidRPr="005E381D">
      <w:t>DA</w:t>
    </w:r>
    <w:r w:rsidRPr="005E381D">
      <w:tab/>
    </w:r>
    <w:r w:rsidRPr="005E381D">
      <w:rPr>
        <w:b w:val="0"/>
        <w:i/>
        <w:color w:val="C0C0C0"/>
        <w:sz w:val="22"/>
      </w:rPr>
      <w:t>Forenet i mangfoldighed</w:t>
    </w:r>
    <w:r w:rsidRPr="005E381D">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14138" w14:textId="77777777" w:rsidR="00064002" w:rsidRPr="005E381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59648" w14:textId="77777777" w:rsidR="00064002" w:rsidRPr="005E381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1C5FD" w14:textId="77777777" w:rsidR="00064002" w:rsidRPr="005E38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DF17D" w14:textId="77777777" w:rsidR="00560FAB" w:rsidRPr="005E381D" w:rsidRDefault="00560FAB">
      <w:r w:rsidRPr="005E381D">
        <w:separator/>
      </w:r>
    </w:p>
  </w:footnote>
  <w:footnote w:type="continuationSeparator" w:id="0">
    <w:p w14:paraId="4BB97B7A" w14:textId="77777777" w:rsidR="00560FAB" w:rsidRPr="005E381D" w:rsidRDefault="00560FAB">
      <w:r w:rsidRPr="005E381D">
        <w:continuationSeparator/>
      </w:r>
    </w:p>
  </w:footnote>
  <w:footnote w:id="1">
    <w:p w14:paraId="44D74793" w14:textId="77777777" w:rsidR="00A836A0" w:rsidRPr="00131B74" w:rsidRDefault="00A836A0" w:rsidP="005E381D">
      <w:pPr>
        <w:pStyle w:val="FootnoteText"/>
        <w:ind w:left="567" w:hanging="567"/>
        <w:rPr>
          <w:sz w:val="24"/>
        </w:rPr>
      </w:pPr>
      <w:r w:rsidRPr="005E381D">
        <w:rPr>
          <w:rStyle w:val="FootnoteReference"/>
          <w:sz w:val="24"/>
          <w:lang w:val="da-DK"/>
        </w:rPr>
        <w:footnoteRef/>
      </w:r>
      <w:r w:rsidR="005E381D" w:rsidRPr="00131B74">
        <w:rPr>
          <w:sz w:val="24"/>
        </w:rPr>
        <w:t xml:space="preserve"> </w:t>
      </w:r>
      <w:r w:rsidR="005E381D" w:rsidRPr="00131B74">
        <w:rPr>
          <w:sz w:val="24"/>
        </w:rPr>
        <w:tab/>
      </w:r>
      <w:r w:rsidRPr="00131B74">
        <w:rPr>
          <w:sz w:val="24"/>
        </w:rPr>
        <w:t>EUT C, C/2023/594, 27.10 2023.</w:t>
      </w:r>
    </w:p>
  </w:footnote>
  <w:footnote w:id="2">
    <w:p w14:paraId="11E1994A" w14:textId="77777777" w:rsidR="00A836A0" w:rsidRPr="00131B74" w:rsidRDefault="00A836A0" w:rsidP="005E381D">
      <w:pPr>
        <w:pStyle w:val="FootnoteText"/>
        <w:ind w:left="567" w:hanging="567"/>
        <w:rPr>
          <w:sz w:val="24"/>
        </w:rPr>
      </w:pPr>
      <w:r w:rsidRPr="005E381D">
        <w:rPr>
          <w:rStyle w:val="FootnoteReference"/>
          <w:sz w:val="24"/>
          <w:lang w:val="da-DK"/>
        </w:rPr>
        <w:footnoteRef/>
      </w:r>
      <w:r w:rsidR="005E381D" w:rsidRPr="00131B74">
        <w:rPr>
          <w:sz w:val="24"/>
        </w:rPr>
        <w:t xml:space="preserve"> </w:t>
      </w:r>
      <w:r w:rsidR="005E381D" w:rsidRPr="00131B74">
        <w:rPr>
          <w:sz w:val="24"/>
        </w:rPr>
        <w:tab/>
      </w:r>
      <w:r w:rsidRPr="00131B74">
        <w:rPr>
          <w:sz w:val="24"/>
        </w:rPr>
        <w:t>EUT C, C/2023/112, 12.10.2023.</w:t>
      </w:r>
    </w:p>
  </w:footnote>
  <w:footnote w:id="3">
    <w:p w14:paraId="16C258EB" w14:textId="77777777" w:rsidR="00A836A0" w:rsidRPr="005E381D" w:rsidRDefault="00A836A0" w:rsidP="005E381D">
      <w:pPr>
        <w:pStyle w:val="FootnoteText"/>
        <w:ind w:left="567" w:hanging="567"/>
        <w:rPr>
          <w:sz w:val="24"/>
          <w:lang w:val="da-DK"/>
        </w:rPr>
      </w:pPr>
      <w:r w:rsidRPr="005E381D">
        <w:rPr>
          <w:rStyle w:val="FootnoteReference"/>
          <w:sz w:val="24"/>
          <w:lang w:val="da-DK"/>
        </w:rPr>
        <w:footnoteRef/>
      </w:r>
      <w:r w:rsidR="005E381D" w:rsidRPr="005E381D">
        <w:rPr>
          <w:sz w:val="24"/>
          <w:lang w:val="da-DK"/>
        </w:rPr>
        <w:t xml:space="preserve"> </w:t>
      </w:r>
      <w:r w:rsidR="005E381D" w:rsidRPr="005E381D">
        <w:rPr>
          <w:sz w:val="24"/>
          <w:lang w:val="da-DK"/>
        </w:rPr>
        <w:tab/>
      </w:r>
      <w:r w:rsidRPr="005E381D">
        <w:rPr>
          <w:sz w:val="24"/>
          <w:lang w:val="da-DK"/>
        </w:rPr>
        <w:t>EUT L 193 af 30.7.2018, s. 1.</w:t>
      </w:r>
    </w:p>
  </w:footnote>
  <w:footnote w:id="4">
    <w:p w14:paraId="38D9E937" w14:textId="77777777" w:rsidR="00A836A0" w:rsidRPr="005E381D" w:rsidRDefault="00A836A0" w:rsidP="005E381D">
      <w:pPr>
        <w:pStyle w:val="FootnoteText"/>
        <w:ind w:left="567" w:hanging="567"/>
        <w:rPr>
          <w:sz w:val="24"/>
          <w:lang w:val="da-DK"/>
        </w:rPr>
      </w:pPr>
      <w:r w:rsidRPr="005E381D">
        <w:rPr>
          <w:rStyle w:val="FootnoteReference"/>
          <w:sz w:val="24"/>
          <w:lang w:val="da-DK"/>
        </w:rPr>
        <w:footnoteRef/>
      </w:r>
      <w:r w:rsidR="005E381D" w:rsidRPr="005E381D">
        <w:rPr>
          <w:sz w:val="24"/>
          <w:lang w:val="da-DK"/>
        </w:rPr>
        <w:t xml:space="preserve"> </w:t>
      </w:r>
      <w:r w:rsidR="005E381D" w:rsidRPr="005E381D">
        <w:rPr>
          <w:sz w:val="24"/>
          <w:lang w:val="da-DK"/>
        </w:rPr>
        <w:tab/>
      </w:r>
      <w:r w:rsidRPr="005E381D">
        <w:rPr>
          <w:sz w:val="24"/>
          <w:lang w:val="da-DK"/>
        </w:rPr>
        <w:t>EUT L 138 af 26.5.2016, s. 1.</w:t>
      </w:r>
    </w:p>
  </w:footnote>
  <w:footnote w:id="5">
    <w:p w14:paraId="1AD4C584" w14:textId="77777777" w:rsidR="00A836A0" w:rsidRPr="005E381D" w:rsidRDefault="00A836A0" w:rsidP="005E381D">
      <w:pPr>
        <w:pStyle w:val="FootnoteText"/>
        <w:ind w:left="567" w:hanging="567"/>
        <w:rPr>
          <w:sz w:val="24"/>
          <w:lang w:val="da-DK"/>
        </w:rPr>
      </w:pPr>
      <w:r w:rsidRPr="005E381D">
        <w:rPr>
          <w:rStyle w:val="FootnoteReference"/>
          <w:sz w:val="24"/>
          <w:lang w:val="da-DK"/>
        </w:rPr>
        <w:footnoteRef/>
      </w:r>
      <w:r w:rsidR="005E381D" w:rsidRPr="005E381D">
        <w:rPr>
          <w:sz w:val="24"/>
          <w:lang w:val="da-DK"/>
        </w:rPr>
        <w:t xml:space="preserve"> </w:t>
      </w:r>
      <w:r w:rsidR="005E381D" w:rsidRPr="005E381D">
        <w:rPr>
          <w:sz w:val="24"/>
          <w:lang w:val="da-DK"/>
        </w:rPr>
        <w:tab/>
      </w:r>
      <w:r w:rsidRPr="005E381D">
        <w:rPr>
          <w:sz w:val="24"/>
          <w:lang w:val="da-DK"/>
        </w:rPr>
        <w:t>EUT L 122 af 10.5.2019, s. 1.</w:t>
      </w:r>
    </w:p>
  </w:footnote>
  <w:footnote w:id="6">
    <w:p w14:paraId="6FAA06F5" w14:textId="77777777" w:rsidR="00A836A0" w:rsidRPr="005E381D" w:rsidRDefault="00A836A0" w:rsidP="005E381D">
      <w:pPr>
        <w:pStyle w:val="FootnoteText"/>
        <w:ind w:left="567" w:hanging="567"/>
        <w:rPr>
          <w:sz w:val="24"/>
          <w:lang w:val="da-DK"/>
        </w:rPr>
      </w:pPr>
      <w:r w:rsidRPr="005E381D">
        <w:rPr>
          <w:rStyle w:val="FootnoteReference"/>
          <w:sz w:val="24"/>
          <w:lang w:val="da-DK"/>
        </w:rPr>
        <w:footnoteRef/>
      </w:r>
      <w:r w:rsidR="005E381D" w:rsidRPr="005E381D">
        <w:rPr>
          <w:sz w:val="24"/>
          <w:lang w:val="da-DK"/>
        </w:rPr>
        <w:t xml:space="preserve"> </w:t>
      </w:r>
      <w:r w:rsidR="005E381D" w:rsidRPr="005E381D">
        <w:rPr>
          <w:sz w:val="24"/>
          <w:lang w:val="da-DK"/>
        </w:rPr>
        <w:tab/>
      </w:r>
      <w:r w:rsidRPr="005E381D">
        <w:rPr>
          <w:sz w:val="24"/>
          <w:lang w:val="da-DK"/>
        </w:rPr>
        <w:t>EUT C, C/2023/594, 27.10 2023.</w:t>
      </w:r>
    </w:p>
  </w:footnote>
  <w:footnote w:id="7">
    <w:p w14:paraId="68D9D312" w14:textId="77777777" w:rsidR="00A836A0" w:rsidRPr="00131B74" w:rsidRDefault="00A836A0" w:rsidP="005E381D">
      <w:pPr>
        <w:pStyle w:val="FootnoteText"/>
        <w:ind w:left="567" w:hanging="567"/>
        <w:rPr>
          <w:sz w:val="24"/>
        </w:rPr>
      </w:pPr>
      <w:r w:rsidRPr="005E381D">
        <w:rPr>
          <w:rStyle w:val="FootnoteReference"/>
          <w:sz w:val="24"/>
          <w:lang w:val="da-DK"/>
        </w:rPr>
        <w:footnoteRef/>
      </w:r>
      <w:r w:rsidR="005E381D" w:rsidRPr="00131B74">
        <w:rPr>
          <w:sz w:val="24"/>
        </w:rPr>
        <w:t xml:space="preserve"> </w:t>
      </w:r>
      <w:r w:rsidR="005E381D" w:rsidRPr="00131B74">
        <w:rPr>
          <w:sz w:val="24"/>
        </w:rPr>
        <w:tab/>
      </w:r>
      <w:r w:rsidRPr="00131B74">
        <w:rPr>
          <w:sz w:val="24"/>
        </w:rPr>
        <w:t>EUT C, C/2023/112, 12.10.2023.</w:t>
      </w:r>
    </w:p>
  </w:footnote>
  <w:footnote w:id="8">
    <w:p w14:paraId="0783534D" w14:textId="77777777" w:rsidR="00A836A0" w:rsidRPr="00131B74" w:rsidRDefault="00A836A0" w:rsidP="005E381D">
      <w:pPr>
        <w:pStyle w:val="FootnoteText"/>
        <w:ind w:left="567" w:hanging="567"/>
        <w:rPr>
          <w:sz w:val="24"/>
        </w:rPr>
      </w:pPr>
      <w:r w:rsidRPr="005E381D">
        <w:rPr>
          <w:rStyle w:val="FootnoteReference"/>
          <w:sz w:val="24"/>
          <w:lang w:val="da-DK"/>
        </w:rPr>
        <w:footnoteRef/>
      </w:r>
      <w:r w:rsidR="005E381D" w:rsidRPr="00131B74">
        <w:rPr>
          <w:sz w:val="24"/>
        </w:rPr>
        <w:t xml:space="preserve"> </w:t>
      </w:r>
      <w:r w:rsidR="005E381D" w:rsidRPr="00131B74">
        <w:rPr>
          <w:sz w:val="24"/>
        </w:rPr>
        <w:tab/>
      </w:r>
      <w:r w:rsidRPr="00131B74">
        <w:rPr>
          <w:sz w:val="24"/>
        </w:rPr>
        <w:t xml:space="preserve">EUT L 193 </w:t>
      </w:r>
      <w:proofErr w:type="spellStart"/>
      <w:r w:rsidRPr="00131B74">
        <w:rPr>
          <w:sz w:val="24"/>
        </w:rPr>
        <w:t>af</w:t>
      </w:r>
      <w:proofErr w:type="spellEnd"/>
      <w:r w:rsidRPr="00131B74">
        <w:rPr>
          <w:sz w:val="24"/>
        </w:rPr>
        <w:t xml:space="preserve"> 30.7.2018, s. 1.</w:t>
      </w:r>
    </w:p>
  </w:footnote>
  <w:footnote w:id="9">
    <w:p w14:paraId="541F6AD1" w14:textId="77777777" w:rsidR="00A836A0" w:rsidRPr="005E381D" w:rsidRDefault="00A836A0" w:rsidP="005E381D">
      <w:pPr>
        <w:pStyle w:val="FootnoteText"/>
        <w:ind w:left="567" w:hanging="567"/>
        <w:rPr>
          <w:sz w:val="24"/>
          <w:lang w:val="da-DK"/>
        </w:rPr>
      </w:pPr>
      <w:r w:rsidRPr="005E381D">
        <w:rPr>
          <w:rStyle w:val="FootnoteReference"/>
          <w:sz w:val="24"/>
          <w:lang w:val="da-DK"/>
        </w:rPr>
        <w:footnoteRef/>
      </w:r>
      <w:r w:rsidR="005E381D" w:rsidRPr="005E381D">
        <w:rPr>
          <w:sz w:val="24"/>
          <w:lang w:val="da-DK"/>
        </w:rPr>
        <w:t xml:space="preserve"> </w:t>
      </w:r>
      <w:r w:rsidR="005E381D" w:rsidRPr="005E381D">
        <w:rPr>
          <w:sz w:val="24"/>
          <w:lang w:val="da-DK"/>
        </w:rPr>
        <w:tab/>
      </w:r>
      <w:r w:rsidRPr="005E381D">
        <w:rPr>
          <w:sz w:val="24"/>
          <w:lang w:val="da-DK"/>
        </w:rPr>
        <w:t>EUT L 138 af 26.5.2016, s. 1.</w:t>
      </w:r>
    </w:p>
  </w:footnote>
  <w:footnote w:id="10">
    <w:p w14:paraId="5451B675" w14:textId="77777777" w:rsidR="00A836A0" w:rsidRPr="005E381D" w:rsidRDefault="00A836A0" w:rsidP="005E381D">
      <w:pPr>
        <w:pStyle w:val="FootnoteText"/>
        <w:ind w:left="567" w:hanging="567"/>
        <w:rPr>
          <w:sz w:val="24"/>
          <w:lang w:val="da-DK"/>
        </w:rPr>
      </w:pPr>
      <w:r w:rsidRPr="005E381D">
        <w:rPr>
          <w:rStyle w:val="FootnoteReference"/>
          <w:sz w:val="24"/>
          <w:lang w:val="da-DK"/>
        </w:rPr>
        <w:footnoteRef/>
      </w:r>
      <w:r w:rsidR="005E381D" w:rsidRPr="005E381D">
        <w:rPr>
          <w:sz w:val="24"/>
          <w:lang w:val="da-DK"/>
        </w:rPr>
        <w:t xml:space="preserve"> </w:t>
      </w:r>
      <w:r w:rsidR="005E381D" w:rsidRPr="005E381D">
        <w:rPr>
          <w:sz w:val="24"/>
          <w:lang w:val="da-DK"/>
        </w:rPr>
        <w:tab/>
      </w:r>
      <w:r w:rsidRPr="005E381D">
        <w:rPr>
          <w:sz w:val="24"/>
          <w:lang w:val="da-DK"/>
        </w:rPr>
        <w:t>EUT L 122 af 10.5.2019, s. 1.</w:t>
      </w:r>
    </w:p>
  </w:footnote>
  <w:footnote w:id="11">
    <w:p w14:paraId="5DD17ADF" w14:textId="5E74902A" w:rsidR="00A836A0" w:rsidRPr="005E381D" w:rsidRDefault="00A836A0" w:rsidP="005E381D">
      <w:pPr>
        <w:pStyle w:val="FootnoteText"/>
        <w:ind w:left="567" w:hanging="567"/>
        <w:rPr>
          <w:sz w:val="24"/>
          <w:lang w:val="da-DK"/>
        </w:rPr>
      </w:pPr>
      <w:r w:rsidRPr="005E381D">
        <w:rPr>
          <w:rStyle w:val="FootnoteReference"/>
          <w:sz w:val="24"/>
          <w:lang w:val="da-DK"/>
        </w:rPr>
        <w:footnoteRef/>
      </w:r>
      <w:r w:rsidR="005E381D" w:rsidRPr="005E381D">
        <w:rPr>
          <w:sz w:val="24"/>
          <w:lang w:val="da-DK"/>
        </w:rPr>
        <w:t xml:space="preserve"> </w:t>
      </w:r>
      <w:r w:rsidR="005E381D" w:rsidRPr="005E381D">
        <w:rPr>
          <w:sz w:val="24"/>
          <w:lang w:val="da-DK"/>
        </w:rPr>
        <w:tab/>
      </w:r>
      <w:r w:rsidRPr="005E381D">
        <w:rPr>
          <w:sz w:val="24"/>
          <w:lang w:val="da-DK"/>
        </w:rPr>
        <w:t xml:space="preserve">EUT </w:t>
      </w:r>
      <w:r w:rsidR="00ED1B91">
        <w:rPr>
          <w:sz w:val="24"/>
          <w:lang w:val="da-DK"/>
        </w:rPr>
        <w:t>C</w:t>
      </w:r>
      <w:r w:rsidRPr="005E381D">
        <w:rPr>
          <w:sz w:val="24"/>
          <w:lang w:val="da-DK"/>
        </w:rPr>
        <w:t xml:space="preserve"> 38 af 31.1.2023, s. </w:t>
      </w:r>
      <w:r w:rsidR="00A40802">
        <w:rPr>
          <w:sz w:val="24"/>
          <w:lang w:val="da-DK"/>
        </w:rPr>
        <w:t>51</w:t>
      </w:r>
      <w:bookmarkStart w:id="8" w:name="_GoBack"/>
      <w:bookmarkEnd w:id="8"/>
      <w:r w:rsidRPr="005E381D">
        <w:rPr>
          <w:sz w:val="24"/>
          <w:lang w:val="da-DK"/>
        </w:rPr>
        <w:t>.</w:t>
      </w:r>
    </w:p>
  </w:footnote>
  <w:footnote w:id="12">
    <w:p w14:paraId="4863AB15" w14:textId="767557E4" w:rsidR="00A836A0" w:rsidRPr="005E381D" w:rsidRDefault="00A836A0" w:rsidP="005E381D">
      <w:pPr>
        <w:pStyle w:val="FootnoteText"/>
        <w:ind w:left="567" w:hanging="567"/>
        <w:rPr>
          <w:sz w:val="24"/>
          <w:lang w:val="da-DK"/>
        </w:rPr>
      </w:pPr>
      <w:r w:rsidRPr="005E381D">
        <w:rPr>
          <w:rStyle w:val="FootnoteReference"/>
          <w:sz w:val="24"/>
          <w:lang w:val="da-DK"/>
        </w:rPr>
        <w:footnoteRef/>
      </w:r>
      <w:r w:rsidR="005E381D" w:rsidRPr="005E381D">
        <w:rPr>
          <w:sz w:val="24"/>
          <w:lang w:val="da-DK"/>
        </w:rPr>
        <w:t xml:space="preserve"> </w:t>
      </w:r>
      <w:r w:rsidR="005E381D" w:rsidRPr="005E381D">
        <w:rPr>
          <w:sz w:val="24"/>
          <w:lang w:val="da-DK"/>
        </w:rPr>
        <w:tab/>
      </w:r>
      <w:r w:rsidRPr="005E381D">
        <w:rPr>
          <w:sz w:val="24"/>
          <w:lang w:val="da-DK"/>
        </w:rPr>
        <w:t>Vedtagne tekster, P9_</w:t>
      </w:r>
      <w:proofErr w:type="gramStart"/>
      <w:r w:rsidRPr="005E381D">
        <w:rPr>
          <w:sz w:val="24"/>
          <w:lang w:val="da-DK"/>
        </w:rPr>
        <w:t>TA(</w:t>
      </w:r>
      <w:proofErr w:type="gramEnd"/>
      <w:r w:rsidRPr="005E381D">
        <w:rPr>
          <w:sz w:val="24"/>
          <w:lang w:val="da-DK"/>
        </w:rPr>
        <w:t>2024)0</w:t>
      </w:r>
      <w:r w:rsidR="00FB08C5">
        <w:rPr>
          <w:sz w:val="24"/>
          <w:lang w:val="da-DK"/>
        </w:rPr>
        <w:t>280</w:t>
      </w:r>
      <w:r w:rsidRPr="005E381D">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FC233" w14:textId="77777777" w:rsidR="00A836A0" w:rsidRPr="005E381D" w:rsidRDefault="00A83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1AAEC" w14:textId="77777777" w:rsidR="00A836A0" w:rsidRPr="005E381D" w:rsidRDefault="00A83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4F0AA" w14:textId="77777777" w:rsidR="00A836A0" w:rsidRPr="005E381D" w:rsidRDefault="00A836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7469E" w14:textId="77777777" w:rsidR="00064002" w:rsidRPr="005E381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6BED9" w14:textId="77777777" w:rsidR="00064002" w:rsidRPr="005E381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23D2D" w14:textId="77777777" w:rsidR="00064002" w:rsidRPr="005E38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DA"/>
    <w:docVar w:name="dvnumam" w:val="0"/>
    <w:docVar w:name="dvpe" w:val="753.528"/>
    <w:docVar w:name="dvrapporteur" w:val="Ordfører: "/>
    <w:docVar w:name="dvtitre" w:val="Europa-Parlamentets afgørelse af xx.xx 2024 om decharge for gennemførelsen af budgettet for Den Europæiske Unions Jernbaneagentur for regnskabsåret 2022(2023/2160(DEC))"/>
  </w:docVars>
  <w:rsids>
    <w:rsidRoot w:val="00560FAB"/>
    <w:rsid w:val="00002272"/>
    <w:rsid w:val="00064002"/>
    <w:rsid w:val="000677B9"/>
    <w:rsid w:val="000831BA"/>
    <w:rsid w:val="000A42CC"/>
    <w:rsid w:val="000E7DD9"/>
    <w:rsid w:val="0010095E"/>
    <w:rsid w:val="00125B37"/>
    <w:rsid w:val="00131B74"/>
    <w:rsid w:val="00187494"/>
    <w:rsid w:val="001F32AE"/>
    <w:rsid w:val="002767FF"/>
    <w:rsid w:val="002B18FE"/>
    <w:rsid w:val="002B5493"/>
    <w:rsid w:val="00312E47"/>
    <w:rsid w:val="00343214"/>
    <w:rsid w:val="00361C00"/>
    <w:rsid w:val="00395FA1"/>
    <w:rsid w:val="003E15D4"/>
    <w:rsid w:val="00411CCE"/>
    <w:rsid w:val="00413DBE"/>
    <w:rsid w:val="0041666E"/>
    <w:rsid w:val="00421060"/>
    <w:rsid w:val="00471C19"/>
    <w:rsid w:val="004867E3"/>
    <w:rsid w:val="00494A28"/>
    <w:rsid w:val="004C0004"/>
    <w:rsid w:val="004C5D52"/>
    <w:rsid w:val="0050519A"/>
    <w:rsid w:val="005072A1"/>
    <w:rsid w:val="00514517"/>
    <w:rsid w:val="00545827"/>
    <w:rsid w:val="00560270"/>
    <w:rsid w:val="00560FAB"/>
    <w:rsid w:val="005C2568"/>
    <w:rsid w:val="005E381D"/>
    <w:rsid w:val="006037C0"/>
    <w:rsid w:val="006631B6"/>
    <w:rsid w:val="00680577"/>
    <w:rsid w:val="006F424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802"/>
    <w:rsid w:val="00A43E52"/>
    <w:rsid w:val="00A4678D"/>
    <w:rsid w:val="00A467F1"/>
    <w:rsid w:val="00A778C7"/>
    <w:rsid w:val="00A836A0"/>
    <w:rsid w:val="00AB441E"/>
    <w:rsid w:val="00AB6293"/>
    <w:rsid w:val="00AE0928"/>
    <w:rsid w:val="00AF3B82"/>
    <w:rsid w:val="00B12E95"/>
    <w:rsid w:val="00B22876"/>
    <w:rsid w:val="00B53B7A"/>
    <w:rsid w:val="00B558F0"/>
    <w:rsid w:val="00BD48FE"/>
    <w:rsid w:val="00BD7BD8"/>
    <w:rsid w:val="00BE6ADC"/>
    <w:rsid w:val="00C05BFE"/>
    <w:rsid w:val="00C23CD4"/>
    <w:rsid w:val="00C43F2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1B91"/>
    <w:rsid w:val="00ED4235"/>
    <w:rsid w:val="00F04346"/>
    <w:rsid w:val="00F075DC"/>
    <w:rsid w:val="00F149E9"/>
    <w:rsid w:val="00F5134D"/>
    <w:rsid w:val="00F74202"/>
    <w:rsid w:val="00F87713"/>
    <w:rsid w:val="00FB08C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EB4E1"/>
  <w15:chartTrackingRefBased/>
  <w15:docId w15:val="{8D0F6F6A-C717-417D-91D4-69CD9DCE0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36A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36A0"/>
    <w:pPr>
      <w:spacing w:before="480" w:after="240"/>
    </w:pPr>
  </w:style>
  <w:style w:type="paragraph" w:customStyle="1" w:styleId="PageHeading">
    <w:name w:val="PageHeading"/>
    <w:basedOn w:val="Normal"/>
    <w:rsid w:val="00A836A0"/>
    <w:pPr>
      <w:keepNext/>
      <w:spacing w:after="480"/>
      <w:jc w:val="center"/>
    </w:pPr>
    <w:rPr>
      <w:rFonts w:ascii="Arial" w:hAnsi="Arial" w:cs="Arial"/>
      <w:b/>
    </w:rPr>
  </w:style>
  <w:style w:type="paragraph" w:customStyle="1" w:styleId="NormalBold">
    <w:name w:val="NormalBold"/>
    <w:basedOn w:val="Normal"/>
    <w:rsid w:val="00A836A0"/>
    <w:rPr>
      <w:b/>
    </w:rPr>
  </w:style>
  <w:style w:type="paragraph" w:customStyle="1" w:styleId="NormalHanging12a">
    <w:name w:val="NormalHanging12a"/>
    <w:basedOn w:val="Normal"/>
    <w:link w:val="NormalHanging12aChar"/>
    <w:rsid w:val="00A836A0"/>
    <w:pPr>
      <w:spacing w:after="240"/>
      <w:ind w:left="567" w:hanging="567"/>
    </w:pPr>
  </w:style>
  <w:style w:type="paragraph" w:customStyle="1" w:styleId="NormalCenter12a">
    <w:name w:val="NormalCenter12a"/>
    <w:basedOn w:val="Normal"/>
    <w:rsid w:val="00A836A0"/>
    <w:pPr>
      <w:spacing w:after="240"/>
      <w:jc w:val="center"/>
    </w:pPr>
  </w:style>
  <w:style w:type="paragraph" w:styleId="Header">
    <w:name w:val="header"/>
    <w:basedOn w:val="Normal"/>
    <w:link w:val="HeaderChar"/>
    <w:rsid w:val="00A836A0"/>
    <w:pPr>
      <w:tabs>
        <w:tab w:val="center" w:pos="4513"/>
        <w:tab w:val="right" w:pos="9026"/>
      </w:tabs>
    </w:pPr>
  </w:style>
  <w:style w:type="character" w:customStyle="1" w:styleId="HeaderChar">
    <w:name w:val="Header Char"/>
    <w:basedOn w:val="DefaultParagraphFont"/>
    <w:link w:val="Header"/>
    <w:rsid w:val="00A836A0"/>
    <w:rPr>
      <w:sz w:val="24"/>
      <w:lang w:val="da-DK"/>
    </w:rPr>
  </w:style>
  <w:style w:type="paragraph" w:customStyle="1" w:styleId="EPFooter">
    <w:name w:val="EPFooter"/>
    <w:basedOn w:val="Normal"/>
    <w:rsid w:val="00A836A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836A0"/>
    <w:rPr>
      <w:sz w:val="24"/>
      <w:lang w:val="da-DK"/>
    </w:rPr>
  </w:style>
  <w:style w:type="paragraph" w:customStyle="1" w:styleId="Normal24a">
    <w:name w:val="Normal24a"/>
    <w:basedOn w:val="Normal"/>
    <w:rsid w:val="00A836A0"/>
    <w:pPr>
      <w:spacing w:after="480"/>
    </w:pPr>
  </w:style>
  <w:style w:type="paragraph" w:customStyle="1" w:styleId="Normal12a">
    <w:name w:val="Normal12a"/>
    <w:basedOn w:val="Normal"/>
    <w:rsid w:val="00A836A0"/>
    <w:pPr>
      <w:spacing w:after="240"/>
    </w:pPr>
  </w:style>
  <w:style w:type="paragraph" w:customStyle="1" w:styleId="PageHeadingNotTOC">
    <w:name w:val="PageHeadingNotTOC"/>
    <w:basedOn w:val="Normal"/>
    <w:rsid w:val="00A836A0"/>
    <w:pPr>
      <w:keepNext/>
      <w:spacing w:after="480"/>
      <w:jc w:val="center"/>
    </w:pPr>
    <w:rPr>
      <w:rFonts w:ascii="Arial" w:hAnsi="Arial" w:cs="Arial"/>
      <w:b/>
    </w:rPr>
  </w:style>
  <w:style w:type="paragraph" w:styleId="BalloonText">
    <w:name w:val="Balloon Text"/>
    <w:basedOn w:val="Normal"/>
    <w:link w:val="BalloonTextChar"/>
    <w:rsid w:val="00413DBE"/>
    <w:rPr>
      <w:rFonts w:ascii="Segoe UI" w:hAnsi="Segoe UI" w:cs="Segoe UI"/>
      <w:sz w:val="18"/>
      <w:szCs w:val="18"/>
    </w:rPr>
  </w:style>
  <w:style w:type="character" w:customStyle="1" w:styleId="BalloonTextChar">
    <w:name w:val="Balloon Text Char"/>
    <w:basedOn w:val="DefaultParagraphFont"/>
    <w:link w:val="BalloonText"/>
    <w:rsid w:val="00413DBE"/>
    <w:rPr>
      <w:rFonts w:ascii="Segoe UI" w:hAnsi="Segoe UI" w:cs="Segoe UI"/>
      <w:sz w:val="18"/>
      <w:szCs w:val="18"/>
      <w:lang w:val="da-DK"/>
    </w:rPr>
  </w:style>
  <w:style w:type="character" w:styleId="CommentReference">
    <w:name w:val="annotation reference"/>
    <w:basedOn w:val="DefaultParagraphFont"/>
    <w:rsid w:val="00C43F24"/>
    <w:rPr>
      <w:sz w:val="16"/>
      <w:szCs w:val="16"/>
    </w:rPr>
  </w:style>
  <w:style w:type="paragraph" w:styleId="CommentText">
    <w:name w:val="annotation text"/>
    <w:basedOn w:val="Normal"/>
    <w:link w:val="CommentTextChar"/>
    <w:rsid w:val="00C43F24"/>
    <w:rPr>
      <w:sz w:val="20"/>
    </w:rPr>
  </w:style>
  <w:style w:type="character" w:customStyle="1" w:styleId="CommentTextChar">
    <w:name w:val="Comment Text Char"/>
    <w:basedOn w:val="DefaultParagraphFont"/>
    <w:link w:val="CommentText"/>
    <w:rsid w:val="00C43F24"/>
    <w:rPr>
      <w:lang w:val="da-DK"/>
    </w:rPr>
  </w:style>
  <w:style w:type="paragraph" w:styleId="CommentSubject">
    <w:name w:val="annotation subject"/>
    <w:basedOn w:val="CommentText"/>
    <w:next w:val="CommentText"/>
    <w:link w:val="CommentSubjectChar"/>
    <w:rsid w:val="00C43F24"/>
    <w:rPr>
      <w:b/>
      <w:bCs/>
    </w:rPr>
  </w:style>
  <w:style w:type="character" w:customStyle="1" w:styleId="CommentSubjectChar">
    <w:name w:val="Comment Subject Char"/>
    <w:basedOn w:val="CommentTextChar"/>
    <w:link w:val="CommentSubject"/>
    <w:rsid w:val="00C43F2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1174-B0A6-4A45-8C1E-32B6F6D2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4471</Words>
  <Characters>28772</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Karina Pesa</cp:lastModifiedBy>
  <cp:revision>3</cp:revision>
  <cp:lastPrinted>2004-11-19T15:42:00Z</cp:lastPrinted>
  <dcterms:created xsi:type="dcterms:W3CDTF">2024-05-15T07:18:00Z</dcterms:created>
  <dcterms:modified xsi:type="dcterms:W3CDTF">2024-10-30T16:27:00Z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P9_TA(2024)0253_</vt:lpwstr>
  </property>
  <property fmtid="{D5CDD505-2E9C-101B-9397-08002B2CF9AE}" pid="4" name="&lt;Type&gt;">
    <vt:lpwstr>RR</vt:lpwstr>
  </property>
</Properties>
</file>