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643E" w:rsidTr="0010095E">
        <w:trPr>
          <w:trHeight w:hRule="exact" w:val="1418"/>
        </w:trPr>
        <w:tc>
          <w:tcPr>
            <w:tcW w:w="6804" w:type="dxa"/>
            <w:shd w:val="clear" w:color="auto" w:fill="auto"/>
            <w:vAlign w:val="center"/>
          </w:tcPr>
          <w:p w:rsidR="00751A4A" w:rsidRPr="0026643E" w:rsidRDefault="00B8341C" w:rsidP="0010095E">
            <w:pPr>
              <w:pStyle w:val="EPName"/>
            </w:pPr>
            <w:r w:rsidRPr="0026643E">
              <w:t>Europski parlament</w:t>
            </w:r>
          </w:p>
          <w:p w:rsidR="00751A4A" w:rsidRPr="0026643E" w:rsidRDefault="00817416" w:rsidP="00756632">
            <w:pPr>
              <w:pStyle w:val="EPTerm"/>
              <w:rPr>
                <w:rStyle w:val="HideTWBExt"/>
                <w:noProof w:val="0"/>
                <w:vanish w:val="0"/>
                <w:color w:val="auto"/>
              </w:rPr>
            </w:pPr>
            <w:r w:rsidRPr="0026643E">
              <w:t>2019-2024</w:t>
            </w:r>
          </w:p>
        </w:tc>
        <w:tc>
          <w:tcPr>
            <w:tcW w:w="2268" w:type="dxa"/>
            <w:shd w:val="clear" w:color="auto" w:fill="auto"/>
          </w:tcPr>
          <w:p w:rsidR="00751A4A" w:rsidRPr="0026643E" w:rsidRDefault="00187494" w:rsidP="0010095E">
            <w:pPr>
              <w:pStyle w:val="EPLogo"/>
            </w:pPr>
            <w:r w:rsidRPr="0026643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6643E" w:rsidRDefault="00D058B8" w:rsidP="004C5D52">
      <w:pPr>
        <w:pStyle w:val="LineTop"/>
      </w:pPr>
    </w:p>
    <w:p w:rsidR="00680577" w:rsidRPr="0026643E" w:rsidRDefault="00B8341C" w:rsidP="00680577">
      <w:pPr>
        <w:pStyle w:val="EPBodyTA1"/>
      </w:pPr>
      <w:r w:rsidRPr="0026643E">
        <w:t>USVOJENI TEKSTOVI</w:t>
      </w:r>
    </w:p>
    <w:p w:rsidR="00D058B8" w:rsidRPr="0026643E" w:rsidRDefault="00D058B8" w:rsidP="00D058B8">
      <w:pPr>
        <w:pStyle w:val="LineBottom"/>
      </w:pPr>
    </w:p>
    <w:p w:rsidR="00B8341C" w:rsidRPr="0026643E" w:rsidRDefault="00B8341C" w:rsidP="00B8341C">
      <w:pPr>
        <w:pStyle w:val="ATHeading1"/>
      </w:pPr>
      <w:bookmarkStart w:id="0" w:name="TANumber"/>
      <w:r w:rsidRPr="0026643E">
        <w:t>P9_TA(2024)0</w:t>
      </w:r>
      <w:r w:rsidR="00372729">
        <w:t>253</w:t>
      </w:r>
      <w:bookmarkEnd w:id="0"/>
    </w:p>
    <w:p w:rsidR="00B8341C" w:rsidRPr="0026643E" w:rsidRDefault="00B8341C" w:rsidP="00B8341C">
      <w:pPr>
        <w:pStyle w:val="ATHeading2"/>
      </w:pPr>
      <w:bookmarkStart w:id="1" w:name="title"/>
      <w:r w:rsidRPr="0026643E">
        <w:t>Razrješnica za 2022.: Agencija Europske unije za željeznice</w:t>
      </w:r>
      <w:bookmarkEnd w:id="1"/>
    </w:p>
    <w:p w:rsidR="00B8341C" w:rsidRPr="0026643E" w:rsidRDefault="00B8341C" w:rsidP="00B8341C">
      <w:pPr>
        <w:rPr>
          <w:i/>
          <w:vanish/>
        </w:rPr>
      </w:pPr>
      <w:r w:rsidRPr="0026643E">
        <w:rPr>
          <w:i/>
        </w:rPr>
        <w:fldChar w:fldCharType="begin"/>
      </w:r>
      <w:r w:rsidRPr="0026643E">
        <w:rPr>
          <w:i/>
        </w:rPr>
        <w:instrText xml:space="preserve"> TC"(</w:instrText>
      </w:r>
      <w:bookmarkStart w:id="2" w:name="DocNumber"/>
      <w:r w:rsidRPr="0026643E">
        <w:rPr>
          <w:i/>
        </w:rPr>
        <w:instrText>A9-0092/2024</w:instrText>
      </w:r>
      <w:bookmarkEnd w:id="2"/>
      <w:r w:rsidRPr="0026643E">
        <w:rPr>
          <w:i/>
        </w:rPr>
        <w:instrText xml:space="preserve"> - Izvjestitelj: Petri Sarvamaa)"\l3 \n&gt; \* MERGEFORMAT </w:instrText>
      </w:r>
      <w:r w:rsidRPr="0026643E">
        <w:rPr>
          <w:i/>
        </w:rPr>
        <w:fldChar w:fldCharType="end"/>
      </w:r>
    </w:p>
    <w:p w:rsidR="00B8341C" w:rsidRPr="0026643E" w:rsidRDefault="00B8341C" w:rsidP="00B8341C">
      <w:pPr>
        <w:rPr>
          <w:vanish/>
        </w:rPr>
      </w:pPr>
      <w:bookmarkStart w:id="3" w:name="Commission"/>
      <w:r w:rsidRPr="0026643E">
        <w:rPr>
          <w:vanish/>
        </w:rPr>
        <w:t>Odbor za proračunski nadzor</w:t>
      </w:r>
      <w:bookmarkEnd w:id="3"/>
    </w:p>
    <w:p w:rsidR="00B8341C" w:rsidRPr="0026643E" w:rsidRDefault="00B8341C" w:rsidP="00B8341C">
      <w:pPr>
        <w:rPr>
          <w:vanish/>
        </w:rPr>
      </w:pPr>
      <w:bookmarkStart w:id="4" w:name="PE"/>
      <w:r w:rsidRPr="0026643E">
        <w:rPr>
          <w:vanish/>
        </w:rPr>
        <w:t>PE753.528</w:t>
      </w:r>
      <w:bookmarkEnd w:id="4"/>
    </w:p>
    <w:p w:rsidR="00B8341C" w:rsidRPr="0026643E" w:rsidRDefault="0026643E" w:rsidP="00B8341C">
      <w:pPr>
        <w:pStyle w:val="ATHeading3"/>
      </w:pPr>
      <w:bookmarkStart w:id="5" w:name="Sujet"/>
      <w:r>
        <w:t xml:space="preserve">1. </w:t>
      </w:r>
      <w:r w:rsidR="00B8341C" w:rsidRPr="0026643E">
        <w:t>Od</w:t>
      </w:r>
      <w:r>
        <w:t>luka Europskog parlamenta od 11</w:t>
      </w:r>
      <w:r w:rsidR="00B8341C" w:rsidRPr="0026643E">
        <w:t xml:space="preserve">. </w:t>
      </w:r>
      <w:r>
        <w:t xml:space="preserve">travnja </w:t>
      </w:r>
      <w:r w:rsidR="00B8341C" w:rsidRPr="0026643E">
        <w:t>2024. o razrješnici za izvršenje proračuna Agencije Europske unije za željeznice za financijsku godinu 2022.</w:t>
      </w:r>
      <w:bookmarkEnd w:id="5"/>
      <w:r w:rsidR="00B8341C" w:rsidRPr="0026643E">
        <w:t xml:space="preserve"> </w:t>
      </w:r>
      <w:bookmarkStart w:id="6" w:name="References"/>
      <w:r w:rsidR="00B8341C" w:rsidRPr="0026643E">
        <w:t>(2023/2160(DEC))</w:t>
      </w:r>
      <w:bookmarkEnd w:id="6"/>
    </w:p>
    <w:p w:rsidR="00A21F20" w:rsidRPr="0026643E" w:rsidRDefault="00A21F20" w:rsidP="00A21F20">
      <w:pPr>
        <w:pStyle w:val="EPComma"/>
      </w:pPr>
      <w:bookmarkStart w:id="7" w:name="TextBodyBegin"/>
      <w:bookmarkEnd w:id="7"/>
      <w:r w:rsidRPr="0026643E">
        <w:rPr>
          <w:i/>
        </w:rPr>
        <w:t>Europski parlament</w:t>
      </w:r>
      <w:r w:rsidRPr="0026643E">
        <w:t>,</w:t>
      </w:r>
    </w:p>
    <w:p w:rsidR="00A21F20" w:rsidRPr="0026643E" w:rsidRDefault="00A21F20" w:rsidP="00A21F20">
      <w:pPr>
        <w:pStyle w:val="NormalHanging12a"/>
      </w:pPr>
      <w:r w:rsidRPr="0026643E">
        <w:t>–</w:t>
      </w:r>
      <w:r w:rsidRPr="0026643E">
        <w:tab/>
        <w:t>uzimajući u obzir završnu godišnju računovodstvenu dokumentaciju Agencije Europske unije za željeznice za financijsku godinu 2022.,</w:t>
      </w:r>
    </w:p>
    <w:p w:rsidR="00A21F20" w:rsidRPr="0026643E" w:rsidRDefault="00A21F20" w:rsidP="00A21F20">
      <w:pPr>
        <w:pStyle w:val="NormalHanging12a"/>
      </w:pPr>
      <w:r w:rsidRPr="0026643E">
        <w:t>–</w:t>
      </w:r>
      <w:r w:rsidRPr="0026643E">
        <w:tab/>
        <w:t>uzimajući u obzir godišnje izvješće Revizorskog suda o agencijama EU-a za financijsku godinu 2022., kojemu su priloženi odgovori agencija</w:t>
      </w:r>
      <w:r w:rsidRPr="0026643E">
        <w:rPr>
          <w:rStyle w:val="FootnoteReference"/>
        </w:rPr>
        <w:footnoteReference w:id="1"/>
      </w:r>
      <w:r w:rsidRPr="0026643E">
        <w:t>,</w:t>
      </w:r>
    </w:p>
    <w:p w:rsidR="00A21F20" w:rsidRPr="0026643E" w:rsidRDefault="00A21F20" w:rsidP="00A21F20">
      <w:pPr>
        <w:pStyle w:val="NormalHanging12a"/>
      </w:pPr>
      <w:r w:rsidRPr="0026643E">
        <w:t>–</w:t>
      </w:r>
      <w:r w:rsidRPr="0026643E">
        <w:tab/>
        <w:t>uzimajući u obzir izjavu o jamstvu</w:t>
      </w:r>
      <w:r w:rsidRPr="0026643E">
        <w:rPr>
          <w:rStyle w:val="FootnoteReference"/>
        </w:rPr>
        <w:footnoteReference w:id="2"/>
      </w:r>
      <w:r w:rsidRPr="0026643E">
        <w:t xml:space="preserve"> u pogledu pouzdanosti računovodstvene dokumentacije te zakonitosti i pravilnosti temeljnih transakcija koju je u skladu s člankom 287. Ugovora o funkcioniranju Europske unije Revizorski sud podnio za financijsku godinu 2022.,</w:t>
      </w:r>
    </w:p>
    <w:p w:rsidR="00A21F20" w:rsidRPr="0026643E" w:rsidRDefault="00A21F20" w:rsidP="00A21F20">
      <w:pPr>
        <w:pStyle w:val="NormalHanging12a"/>
      </w:pPr>
      <w:r w:rsidRPr="0026643E">
        <w:t>–</w:t>
      </w:r>
      <w:r w:rsidRPr="0026643E">
        <w:tab/>
        <w:t>uzimajući u obzir preporuku Vijeća od 22. veljače 2024. o razrješnici koju Agencija treba dobiti za izvršenje proračuna za financijsku godinu 2022. (0</w:t>
      </w:r>
      <w:r w:rsidR="00456632">
        <w:t>6180</w:t>
      </w:r>
      <w:r w:rsidRPr="0026643E">
        <w:t>/2024 – C9</w:t>
      </w:r>
      <w:r w:rsidRPr="0026643E">
        <w:noBreakHyphen/>
        <w:t>00</w:t>
      </w:r>
      <w:r w:rsidR="00456632">
        <w:t>98</w:t>
      </w:r>
      <w:r w:rsidRPr="0026643E">
        <w:t>/2024),</w:t>
      </w:r>
    </w:p>
    <w:p w:rsidR="00A21F20" w:rsidRPr="0026643E" w:rsidRDefault="00A21F20" w:rsidP="00A21F20">
      <w:pPr>
        <w:pStyle w:val="NormalHanging12a"/>
      </w:pPr>
      <w:r w:rsidRPr="0026643E">
        <w:t>–</w:t>
      </w:r>
      <w:r w:rsidRPr="0026643E">
        <w:tab/>
        <w:t>uzimajući u obzir članak 319. Ugovora o funkcioniranju Europske unije,</w:t>
      </w:r>
    </w:p>
    <w:p w:rsidR="00A21F20" w:rsidRPr="0026643E" w:rsidRDefault="00A21F20" w:rsidP="00A21F20">
      <w:pPr>
        <w:pStyle w:val="NormalHanging12a"/>
      </w:pPr>
      <w:r w:rsidRPr="0026643E">
        <w:t>–</w:t>
      </w:r>
      <w:r w:rsidRPr="0026643E">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26643E">
        <w:rPr>
          <w:rStyle w:val="FootnoteReference"/>
        </w:rPr>
        <w:footnoteReference w:id="3"/>
      </w:r>
      <w:r w:rsidRPr="0026643E">
        <w:t>, a posebno njezin članak 70.,</w:t>
      </w:r>
    </w:p>
    <w:p w:rsidR="00A21F20" w:rsidRPr="0026643E" w:rsidRDefault="00A21F20" w:rsidP="00A21F20">
      <w:pPr>
        <w:pStyle w:val="NormalHanging12a"/>
      </w:pPr>
      <w:r w:rsidRPr="0026643E">
        <w:t>–</w:t>
      </w:r>
      <w:r w:rsidRPr="0026643E">
        <w:tab/>
        <w:t>u</w:t>
      </w:r>
      <w:r w:rsidR="001A2E9C">
        <w:t>zimajući u obzir Uredbu (EU)</w:t>
      </w:r>
      <w:r w:rsidRPr="0026643E">
        <w:t xml:space="preserve"> 2016/796 Europskog parlamenta i Vijeća od 11. svibnja 2016. o Agenciji Europske unije za željeznice i stavljanju izvan snage Uredbe (EZ) br. 881/2004</w:t>
      </w:r>
      <w:r w:rsidRPr="0026643E">
        <w:rPr>
          <w:rStyle w:val="FootnoteReference"/>
        </w:rPr>
        <w:footnoteReference w:id="4"/>
      </w:r>
      <w:r w:rsidRPr="0026643E">
        <w:t>, a posebno njezin članak 65.,</w:t>
      </w:r>
    </w:p>
    <w:p w:rsidR="00A21F20" w:rsidRPr="0026643E" w:rsidRDefault="00A21F20" w:rsidP="00A21F20">
      <w:pPr>
        <w:pStyle w:val="NormalHanging12a"/>
      </w:pPr>
      <w:r w:rsidRPr="0026643E">
        <w:lastRenderedPageBreak/>
        <w:t>–</w:t>
      </w:r>
      <w:r w:rsidRPr="0026643E">
        <w:tab/>
        <w:t xml:space="preserve">uzimajući u obzir Delegiranu uredbu Komisije (EU) 2019/715 od 18. prosinca 2018. o okvirnoj financijskoj uredbi za tijela osnovana na temelju Ugovora o funkcioniranju Europske unije i Ugovora o </w:t>
      </w:r>
      <w:proofErr w:type="spellStart"/>
      <w:r w:rsidRPr="0026643E">
        <w:t>Euratomu</w:t>
      </w:r>
      <w:proofErr w:type="spellEnd"/>
      <w:r w:rsidRPr="0026643E">
        <w:t xml:space="preserve"> na koja se upućuje u članku 70. Uredbe (EU, Euratom) 2018/1046 Europskog parlamenta i Vijeća</w:t>
      </w:r>
      <w:r w:rsidRPr="0026643E">
        <w:rPr>
          <w:rStyle w:val="FootnoteReference"/>
        </w:rPr>
        <w:footnoteReference w:id="5"/>
      </w:r>
      <w:r w:rsidRPr="0026643E">
        <w:t>, a posebno njezin članak 105.,</w:t>
      </w:r>
    </w:p>
    <w:p w:rsidR="00A21F20" w:rsidRPr="0026643E" w:rsidRDefault="00A21F20" w:rsidP="00A21F20">
      <w:pPr>
        <w:pStyle w:val="NormalHanging12a"/>
      </w:pPr>
      <w:r w:rsidRPr="0026643E">
        <w:t>–</w:t>
      </w:r>
      <w:r w:rsidRPr="0026643E">
        <w:tab/>
        <w:t>uzimajući u obzir članak 100. Poslovnika i Prilog V. Poslovniku,</w:t>
      </w:r>
    </w:p>
    <w:p w:rsidR="00A21F20" w:rsidRPr="0026643E" w:rsidRDefault="00A21F20" w:rsidP="00A21F20">
      <w:pPr>
        <w:pStyle w:val="NormalHanging12a"/>
      </w:pPr>
      <w:r w:rsidRPr="0026643E">
        <w:t>–</w:t>
      </w:r>
      <w:r w:rsidRPr="0026643E">
        <w:tab/>
        <w:t>uzimajući u obzir mišljenje Odbora za promet i turizam,</w:t>
      </w:r>
    </w:p>
    <w:p w:rsidR="00A21F20" w:rsidRPr="0026643E" w:rsidRDefault="00A21F20" w:rsidP="00A21F20">
      <w:pPr>
        <w:pStyle w:val="NormalHanging12a"/>
      </w:pPr>
      <w:r w:rsidRPr="0026643E">
        <w:t>–</w:t>
      </w:r>
      <w:r w:rsidRPr="0026643E">
        <w:tab/>
        <w:t>uzimajući u obzir izvješće Odbora za proračunski nadzor (A9</w:t>
      </w:r>
      <w:r w:rsidRPr="0026643E">
        <w:noBreakHyphen/>
        <w:t>0092/2024),</w:t>
      </w:r>
    </w:p>
    <w:p w:rsidR="00A21F20" w:rsidRPr="0026643E" w:rsidRDefault="00A21F20" w:rsidP="00A21F20">
      <w:pPr>
        <w:pStyle w:val="NormalHanging12a"/>
      </w:pPr>
      <w:r w:rsidRPr="0026643E">
        <w:t>1.</w:t>
      </w:r>
      <w:r w:rsidRPr="0026643E">
        <w:tab/>
        <w:t>daje razrješnicu izvršnom direktoru Agencije Europske unije za željeznice za izvršenje proračuna Agencije za financijsku godinu 2022.;</w:t>
      </w:r>
    </w:p>
    <w:p w:rsidR="00A21F20" w:rsidRPr="0026643E" w:rsidRDefault="00A21F20" w:rsidP="00A21F20">
      <w:pPr>
        <w:pStyle w:val="NormalHanging12a"/>
      </w:pPr>
      <w:r w:rsidRPr="0026643E">
        <w:t>2.</w:t>
      </w:r>
      <w:r w:rsidRPr="0026643E">
        <w:tab/>
        <w:t>iznosi svoje primjedbe u Rezoluciji u nastavku;</w:t>
      </w:r>
    </w:p>
    <w:p w:rsidR="00A21F20" w:rsidRPr="0026643E" w:rsidRDefault="00A21F20" w:rsidP="00A21F20">
      <w:pPr>
        <w:pStyle w:val="NormalHanging12a"/>
      </w:pPr>
      <w:r w:rsidRPr="0026643E">
        <w:t>3.</w:t>
      </w:r>
      <w:r w:rsidRPr="0026643E">
        <w:tab/>
        <w:t xml:space="preserve">nalaže svojoj predsjednici da ovu Odluku i Rezoluciju, koja je njezin sastavni dio, proslijedi izvršnom direktoru Agencije Europske unije za željeznice, Vijeću, Komisiji i Revizorskom sudu te da ih da na objavu u </w:t>
      </w:r>
      <w:r w:rsidRPr="0026643E">
        <w:rPr>
          <w:i/>
        </w:rPr>
        <w:t>Službenom listu Europske unije</w:t>
      </w:r>
      <w:r w:rsidRPr="0026643E">
        <w:t xml:space="preserve"> (serija L).</w:t>
      </w:r>
    </w:p>
    <w:p w:rsidR="00A21F20" w:rsidRPr="0026643E" w:rsidRDefault="00A21F20" w:rsidP="00A21F20"/>
    <w:p w:rsidR="00A21F20" w:rsidRPr="0026643E" w:rsidRDefault="00A21F20" w:rsidP="00A21F20">
      <w:pPr>
        <w:pStyle w:val="PageHeading"/>
        <w:sectPr w:rsidR="00A21F20" w:rsidRPr="0026643E" w:rsidSect="0059245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21F20" w:rsidRPr="0026643E" w:rsidRDefault="0026643E" w:rsidP="0026643E">
      <w:pPr>
        <w:pStyle w:val="ATHeading3"/>
      </w:pPr>
      <w:bookmarkStart w:id="8" w:name="_Toc161761497"/>
      <w:r w:rsidRPr="0026643E">
        <w:lastRenderedPageBreak/>
        <w:t xml:space="preserve">2. </w:t>
      </w:r>
      <w:r>
        <w:t>Odluka E</w:t>
      </w:r>
      <w:r w:rsidRPr="0026643E">
        <w:t>uropskog parlamenta</w:t>
      </w:r>
      <w:bookmarkEnd w:id="8"/>
      <w:r w:rsidRPr="0026643E">
        <w:t xml:space="preserve"> </w:t>
      </w:r>
      <w:r>
        <w:t xml:space="preserve">od 11. travnja 2024. </w:t>
      </w:r>
      <w:r w:rsidR="00A21F20" w:rsidRPr="0026643E">
        <w:t>o zaključenju poslovnih knjiga Agencije Europske unije za željeznice za financijsku godinu 2022.</w:t>
      </w:r>
      <w:r w:rsidRPr="0026643E">
        <w:t xml:space="preserve"> </w:t>
      </w:r>
      <w:r w:rsidR="00A21F20" w:rsidRPr="0026643E">
        <w:t>(2023/2160(DEC))</w:t>
      </w:r>
    </w:p>
    <w:p w:rsidR="00A21F20" w:rsidRPr="0026643E" w:rsidRDefault="00A21F20" w:rsidP="00A21F20">
      <w:pPr>
        <w:pStyle w:val="EPComma"/>
      </w:pPr>
      <w:r w:rsidRPr="0026643E">
        <w:rPr>
          <w:i/>
        </w:rPr>
        <w:t>Europski parlament</w:t>
      </w:r>
      <w:r w:rsidRPr="0026643E">
        <w:t>,</w:t>
      </w:r>
    </w:p>
    <w:p w:rsidR="00A21F20" w:rsidRPr="0026643E" w:rsidRDefault="00A21F20" w:rsidP="00A21F20">
      <w:pPr>
        <w:pStyle w:val="NormalHanging12a"/>
      </w:pPr>
      <w:r w:rsidRPr="0026643E">
        <w:t>–</w:t>
      </w:r>
      <w:r w:rsidRPr="0026643E">
        <w:tab/>
        <w:t>uzimajući u obzir završnu godišnju računovodstvenu dokumentaciju Agencije Europske unije za željeznice za financijsku godinu 2022.,</w:t>
      </w:r>
    </w:p>
    <w:p w:rsidR="00A21F20" w:rsidRPr="0026643E" w:rsidRDefault="00A21F20" w:rsidP="00A21F20">
      <w:pPr>
        <w:pStyle w:val="NormalHanging12a"/>
      </w:pPr>
      <w:r w:rsidRPr="0026643E">
        <w:t>–</w:t>
      </w:r>
      <w:r w:rsidRPr="0026643E">
        <w:tab/>
        <w:t>uzimajući u obzir godišnje izvješće Revizorskog suda o agencijama EU-a za financijsku godinu 2022., kojemu su priloženi odgovori agencija</w:t>
      </w:r>
      <w:r w:rsidRPr="0026643E">
        <w:rPr>
          <w:rStyle w:val="FootnoteReference"/>
        </w:rPr>
        <w:footnoteReference w:id="6"/>
      </w:r>
      <w:r w:rsidRPr="0026643E">
        <w:t>,</w:t>
      </w:r>
    </w:p>
    <w:p w:rsidR="00A21F20" w:rsidRPr="0026643E" w:rsidRDefault="00A21F20" w:rsidP="00A21F20">
      <w:pPr>
        <w:pStyle w:val="NormalHanging12a"/>
      </w:pPr>
      <w:r w:rsidRPr="0026643E">
        <w:t>–</w:t>
      </w:r>
      <w:r w:rsidRPr="0026643E">
        <w:tab/>
        <w:t>uzimajući u obzir izjavu o jamstvu</w:t>
      </w:r>
      <w:r w:rsidRPr="0026643E">
        <w:rPr>
          <w:rStyle w:val="FootnoteReference"/>
        </w:rPr>
        <w:footnoteReference w:id="7"/>
      </w:r>
      <w:r w:rsidRPr="0026643E">
        <w:t xml:space="preserve"> u pogledu pouzdanosti računovodstvene dokumentacije te zakonitosti i pravilnosti temeljnih transakcija koju je u skladu s člankom 287. Ugovora o funkcioniranju Europske unije Revizorski sud podnio za financijsku godinu 2022.,</w:t>
      </w:r>
    </w:p>
    <w:p w:rsidR="00A21F20" w:rsidRPr="0026643E" w:rsidRDefault="00A21F20" w:rsidP="00A21F20">
      <w:pPr>
        <w:pStyle w:val="NormalHanging12a"/>
      </w:pPr>
      <w:r w:rsidRPr="0026643E">
        <w:t>–</w:t>
      </w:r>
      <w:r w:rsidRPr="0026643E">
        <w:tab/>
        <w:t>uzimajući u obzir preporuku Vijeća od 22. veljače 2024. o razrješnici koju Agencija treba dobiti za izvršenje proračuna za financijsku godinu 2022. (0</w:t>
      </w:r>
      <w:r w:rsidR="00456632">
        <w:t>618</w:t>
      </w:r>
      <w:r w:rsidRPr="0026643E">
        <w:t>0/2024 – C9</w:t>
      </w:r>
      <w:r w:rsidRPr="0026643E">
        <w:noBreakHyphen/>
        <w:t>00</w:t>
      </w:r>
      <w:r w:rsidR="00456632">
        <w:t>98</w:t>
      </w:r>
      <w:r w:rsidRPr="0026643E">
        <w:t>/2024),</w:t>
      </w:r>
    </w:p>
    <w:p w:rsidR="00A21F20" w:rsidRPr="0026643E" w:rsidRDefault="00A21F20" w:rsidP="00A21F20">
      <w:pPr>
        <w:pStyle w:val="NormalHanging12a"/>
      </w:pPr>
      <w:r w:rsidRPr="0026643E">
        <w:t>–</w:t>
      </w:r>
      <w:r w:rsidRPr="0026643E">
        <w:tab/>
        <w:t>uzimajući u obzir članak 319. Ugovora o funkcioniranju Europske unije,</w:t>
      </w:r>
    </w:p>
    <w:p w:rsidR="00A21F20" w:rsidRPr="0026643E" w:rsidRDefault="00A21F20" w:rsidP="00A21F20">
      <w:pPr>
        <w:pStyle w:val="NormalHanging12a"/>
      </w:pPr>
      <w:r w:rsidRPr="0026643E">
        <w:t>–</w:t>
      </w:r>
      <w:r w:rsidRPr="0026643E">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26643E">
        <w:rPr>
          <w:rStyle w:val="FootnoteReference"/>
        </w:rPr>
        <w:footnoteReference w:id="8"/>
      </w:r>
      <w:r w:rsidRPr="0026643E">
        <w:t>, a posebno njezin članak 70.,</w:t>
      </w:r>
    </w:p>
    <w:p w:rsidR="00A21F20" w:rsidRPr="0026643E" w:rsidRDefault="00A21F20" w:rsidP="00A21F20">
      <w:pPr>
        <w:pStyle w:val="NormalHanging12a"/>
      </w:pPr>
      <w:r w:rsidRPr="0026643E">
        <w:t>–</w:t>
      </w:r>
      <w:r w:rsidRPr="0026643E">
        <w:tab/>
        <w:t>uz</w:t>
      </w:r>
      <w:r w:rsidR="001A2E9C">
        <w:t xml:space="preserve">imajući u obzir Uredbu (EU) </w:t>
      </w:r>
      <w:r w:rsidRPr="0026643E">
        <w:t>2016/796 Europskog parlamenta i Vijeća od 11. svibnja 2016. o Agenciji Europske unije za željeznice i stavljanju izvan snage Uredbe (EZ) br. 881/2004</w:t>
      </w:r>
      <w:r w:rsidRPr="0026643E">
        <w:rPr>
          <w:rStyle w:val="FootnoteReference"/>
        </w:rPr>
        <w:footnoteReference w:id="9"/>
      </w:r>
      <w:r w:rsidRPr="0026643E">
        <w:t>, a posebno njezin članak 65.,</w:t>
      </w:r>
    </w:p>
    <w:p w:rsidR="00A21F20" w:rsidRPr="0026643E" w:rsidRDefault="00A21F20" w:rsidP="00A21F20">
      <w:pPr>
        <w:pStyle w:val="NormalHanging12a"/>
      </w:pPr>
      <w:r w:rsidRPr="0026643E">
        <w:t>–</w:t>
      </w:r>
      <w:r w:rsidRPr="0026643E">
        <w:tab/>
        <w:t xml:space="preserve">uzimajući u obzir Delegiranu uredbu Komisije (EU) 2019/715 od 18. prosinca 2018. o okvirnoj financijskoj uredbi za tijela osnovana na temelju Ugovora o funkcioniranju Europske unije i Ugovora o </w:t>
      </w:r>
      <w:proofErr w:type="spellStart"/>
      <w:r w:rsidRPr="0026643E">
        <w:t>Euratomu</w:t>
      </w:r>
      <w:proofErr w:type="spellEnd"/>
      <w:r w:rsidRPr="0026643E">
        <w:t xml:space="preserve"> na koja se upućuje u članku 70. Uredbe (EU, Euratom) 2018/1046 Europskog parlamenta i Vijeća</w:t>
      </w:r>
      <w:r w:rsidRPr="0026643E">
        <w:rPr>
          <w:rStyle w:val="FootnoteReference"/>
        </w:rPr>
        <w:footnoteReference w:id="10"/>
      </w:r>
      <w:r w:rsidRPr="0026643E">
        <w:t>, a posebno njezin članak 105.,</w:t>
      </w:r>
    </w:p>
    <w:p w:rsidR="00A21F20" w:rsidRPr="0026643E" w:rsidRDefault="00A21F20" w:rsidP="00A21F20">
      <w:pPr>
        <w:pStyle w:val="NormalHanging12a"/>
      </w:pPr>
      <w:r w:rsidRPr="0026643E">
        <w:t>–</w:t>
      </w:r>
      <w:r w:rsidRPr="0026643E">
        <w:tab/>
        <w:t>uzimajući u obzir članak 100. Poslovnika i Prilog V. Poslovniku,</w:t>
      </w:r>
    </w:p>
    <w:p w:rsidR="00A21F20" w:rsidRPr="0026643E" w:rsidRDefault="00A21F20" w:rsidP="00A21F20">
      <w:pPr>
        <w:pStyle w:val="NormalHanging12a"/>
      </w:pPr>
      <w:r w:rsidRPr="0026643E">
        <w:t>–</w:t>
      </w:r>
      <w:r w:rsidRPr="0026643E">
        <w:tab/>
        <w:t>uzimajući u obzir mišljenje Odbora za promet i turizam,</w:t>
      </w:r>
    </w:p>
    <w:p w:rsidR="00A21F20" w:rsidRPr="0026643E" w:rsidRDefault="00A21F20" w:rsidP="00A21F20">
      <w:pPr>
        <w:pStyle w:val="NormalHanging12a"/>
      </w:pPr>
      <w:r w:rsidRPr="0026643E">
        <w:t>–</w:t>
      </w:r>
      <w:r w:rsidRPr="0026643E">
        <w:tab/>
        <w:t>uzimajući u obzir izvješće Odbora za proračunski nadzor (A9</w:t>
      </w:r>
      <w:r w:rsidRPr="0026643E">
        <w:noBreakHyphen/>
        <w:t>0092/2024),</w:t>
      </w:r>
    </w:p>
    <w:p w:rsidR="00A21F20" w:rsidRPr="0026643E" w:rsidRDefault="00A21F20" w:rsidP="00A21F20">
      <w:pPr>
        <w:pStyle w:val="NormalHanging12a"/>
      </w:pPr>
      <w:r w:rsidRPr="0026643E">
        <w:t>1.</w:t>
      </w:r>
      <w:r w:rsidRPr="0026643E">
        <w:tab/>
        <w:t>odobrava zaključenje poslovnih knjiga Agencije Europske unije za željeznice za financijsku godinu 2022.;</w:t>
      </w:r>
    </w:p>
    <w:p w:rsidR="00A21F20" w:rsidRPr="0026643E" w:rsidRDefault="00A21F20" w:rsidP="00A21F20">
      <w:pPr>
        <w:pStyle w:val="NormalHanging12a"/>
      </w:pPr>
      <w:r w:rsidRPr="0026643E">
        <w:lastRenderedPageBreak/>
        <w:t>2.</w:t>
      </w:r>
      <w:r w:rsidRPr="0026643E">
        <w:tab/>
        <w:t xml:space="preserve">nalaže svojoj predsjednici da ovu Odluku proslijedi izvršnom direktoru Agencije Europske unije za željeznice, Vijeću, Komisiji i Revizorskom sudu te da je da na objavu u </w:t>
      </w:r>
      <w:r w:rsidRPr="0026643E">
        <w:rPr>
          <w:i/>
        </w:rPr>
        <w:t>Službenom listu Europske unije</w:t>
      </w:r>
      <w:r w:rsidRPr="0026643E">
        <w:t xml:space="preserve"> (serija L).</w:t>
      </w:r>
    </w:p>
    <w:p w:rsidR="00A21F20" w:rsidRPr="0026643E" w:rsidRDefault="00A21F20" w:rsidP="00A21F20"/>
    <w:p w:rsidR="00A21F20" w:rsidRPr="0026643E" w:rsidRDefault="00A21F20" w:rsidP="00A21F20">
      <w:pPr>
        <w:pStyle w:val="PageHeading"/>
        <w:sectPr w:rsidR="00A21F20" w:rsidRPr="0026643E" w:rsidSect="00592454">
          <w:footnotePr>
            <w:numRestart w:val="eachPage"/>
          </w:footnotePr>
          <w:endnotePr>
            <w:numFmt w:val="decimal"/>
          </w:endnotePr>
          <w:pgSz w:w="11906" w:h="16838" w:code="9"/>
          <w:pgMar w:top="1134" w:right="1418" w:bottom="1418" w:left="1418" w:header="567" w:footer="567" w:gutter="0"/>
          <w:cols w:space="720"/>
          <w:noEndnote/>
          <w:docGrid w:linePitch="326"/>
        </w:sectPr>
      </w:pPr>
    </w:p>
    <w:p w:rsidR="00A21F20" w:rsidRPr="0026643E" w:rsidRDefault="0026643E" w:rsidP="0026643E">
      <w:pPr>
        <w:pStyle w:val="ATHeading3"/>
      </w:pPr>
      <w:bookmarkStart w:id="10" w:name="_Toc161761498"/>
      <w:r w:rsidRPr="0026643E">
        <w:lastRenderedPageBreak/>
        <w:t xml:space="preserve">3. </w:t>
      </w:r>
      <w:r>
        <w:t>Rezolucija E</w:t>
      </w:r>
      <w:r w:rsidRPr="0026643E">
        <w:t>uropskog parlamenta</w:t>
      </w:r>
      <w:bookmarkEnd w:id="10"/>
      <w:r w:rsidRPr="0026643E">
        <w:t xml:space="preserve"> </w:t>
      </w:r>
      <w:r>
        <w:t xml:space="preserve">od 11. travnja 2024. </w:t>
      </w:r>
      <w:r w:rsidR="00A21F20" w:rsidRPr="0026643E">
        <w:t>s primjedbama koje su sastavni dio Odluke o razrješnici za izvršenje proračuna Agencije Europske unije za željeznice za financijsku godinu 2022.</w:t>
      </w:r>
      <w:r w:rsidRPr="0026643E">
        <w:t xml:space="preserve"> </w:t>
      </w:r>
      <w:r w:rsidR="00A21F20" w:rsidRPr="0026643E">
        <w:t>(2023/2160(DEC))</w:t>
      </w:r>
    </w:p>
    <w:p w:rsidR="00A21F20" w:rsidRPr="0026643E" w:rsidRDefault="00A21F20" w:rsidP="00A21F20">
      <w:pPr>
        <w:pStyle w:val="EPComma"/>
      </w:pPr>
      <w:r w:rsidRPr="0026643E">
        <w:rPr>
          <w:i/>
        </w:rPr>
        <w:t>Europski parlament</w:t>
      </w:r>
      <w:r w:rsidRPr="0026643E">
        <w:t>,</w:t>
      </w:r>
    </w:p>
    <w:p w:rsidR="00A21F20" w:rsidRPr="0026643E" w:rsidRDefault="00A21F20" w:rsidP="00A21F20">
      <w:pPr>
        <w:pStyle w:val="NormalHanging12a"/>
      </w:pPr>
      <w:r w:rsidRPr="0026643E">
        <w:t>–</w:t>
      </w:r>
      <w:r w:rsidRPr="0026643E">
        <w:tab/>
        <w:t>uzimajući u obzir svoju Odluku o razrješnici za izvršenje proračuna Agencije Europske unije za željeznice za financijsku godinu 2022.,</w:t>
      </w:r>
    </w:p>
    <w:p w:rsidR="00A21F20" w:rsidRPr="0026643E" w:rsidRDefault="00A21F20" w:rsidP="00A21F20">
      <w:pPr>
        <w:pStyle w:val="NormalHanging12a"/>
      </w:pPr>
      <w:r w:rsidRPr="0026643E">
        <w:t>–</w:t>
      </w:r>
      <w:r w:rsidRPr="0026643E">
        <w:tab/>
        <w:t>uzimajući u obzir članak 100. Poslovnika i Prilog V. Poslovniku,</w:t>
      </w:r>
    </w:p>
    <w:p w:rsidR="00A21F20" w:rsidRPr="0026643E" w:rsidRDefault="00A21F20" w:rsidP="00A21F20">
      <w:pPr>
        <w:pStyle w:val="NormalHanging12a"/>
      </w:pPr>
      <w:r w:rsidRPr="0026643E">
        <w:t>–</w:t>
      </w:r>
      <w:r w:rsidRPr="0026643E">
        <w:tab/>
        <w:t>uzimajući u obzir mišljenje Odbora za promet i turizam,</w:t>
      </w:r>
    </w:p>
    <w:p w:rsidR="00A21F20" w:rsidRPr="0026643E" w:rsidRDefault="00A21F20" w:rsidP="00A21F20">
      <w:pPr>
        <w:pStyle w:val="NormalHanging12a"/>
      </w:pPr>
      <w:r w:rsidRPr="0026643E">
        <w:t>–</w:t>
      </w:r>
      <w:r w:rsidRPr="0026643E">
        <w:tab/>
        <w:t>uzimajući u obzir izvješće Odbora za proračunski nadzor (A9</w:t>
      </w:r>
      <w:r w:rsidRPr="0026643E">
        <w:noBreakHyphen/>
        <w:t>0092/2024),</w:t>
      </w:r>
    </w:p>
    <w:p w:rsidR="00A21F20" w:rsidRPr="0026643E" w:rsidRDefault="00A21F20" w:rsidP="00A21F20">
      <w:pPr>
        <w:spacing w:after="240"/>
        <w:ind w:left="567" w:hanging="567"/>
        <w:rPr>
          <w:szCs w:val="24"/>
        </w:rPr>
      </w:pPr>
      <w:r w:rsidRPr="0026643E">
        <w:t>A.</w:t>
      </w:r>
      <w:r w:rsidRPr="0026643E">
        <w:tab/>
        <w:t>budući da je, prema njezinu izvještaju o prihodima i rashodima</w:t>
      </w:r>
      <w:r w:rsidRPr="0026643E">
        <w:rPr>
          <w:rStyle w:val="FootnoteReference"/>
          <w:szCs w:val="24"/>
        </w:rPr>
        <w:footnoteReference w:id="11"/>
      </w:r>
      <w:r w:rsidRPr="0026643E">
        <w:t>, konačni proračun Agencije Europske unije za željeznice („Agencija”) za financijsku godinu 2022. iznosio 34 814 691 EUR, što je povećanje od 9,38 % u odnosu na 2021.; budući da se proračun Agencije uglavnom financira iz proračuna Unije;</w:t>
      </w:r>
    </w:p>
    <w:p w:rsidR="00A21F20" w:rsidRPr="0026643E" w:rsidRDefault="00A21F20" w:rsidP="00A21F20">
      <w:pPr>
        <w:spacing w:after="240"/>
        <w:ind w:left="567" w:hanging="567"/>
        <w:rPr>
          <w:szCs w:val="24"/>
        </w:rPr>
      </w:pPr>
      <w:r w:rsidRPr="0026643E">
        <w:t>B.</w:t>
      </w:r>
      <w:r w:rsidRPr="0026643E">
        <w:tab/>
        <w:t>budući da je Revizorski sud u svojem izvješću o godišnjoj računovodstvenoj dokumentaciji Agencije za financijsku godinu 2022. („izvješće Revizorskog suda”) izjavio da je dobio razumno jamstvo da je godišnja računovodstvena dokumentacija Agencije pouzdana te da su temeljne transakcije zakonite i pravilne;</w:t>
      </w:r>
    </w:p>
    <w:p w:rsidR="00A21F20" w:rsidRPr="0026643E" w:rsidRDefault="00A21F20" w:rsidP="00A21F20">
      <w:pPr>
        <w:spacing w:after="240"/>
        <w:ind w:left="567" w:hanging="567"/>
        <w:rPr>
          <w:b/>
          <w:i/>
          <w:szCs w:val="24"/>
        </w:rPr>
      </w:pPr>
      <w:r w:rsidRPr="0026643E">
        <w:rPr>
          <w:b/>
          <w:i/>
        </w:rPr>
        <w:t>Proračunsko i financijsko upravljanje</w:t>
      </w:r>
    </w:p>
    <w:p w:rsidR="00A21F20" w:rsidRPr="0026643E" w:rsidRDefault="00A21F20" w:rsidP="00A21F20">
      <w:pPr>
        <w:spacing w:after="240"/>
        <w:ind w:left="567" w:hanging="567"/>
        <w:rPr>
          <w:szCs w:val="24"/>
        </w:rPr>
      </w:pPr>
      <w:r w:rsidRPr="0026643E">
        <w:t>1.</w:t>
      </w:r>
      <w:r w:rsidRPr="0026643E">
        <w:tab/>
        <w:t>sa zadovoljstvom prima na znanje da je praćenje proračuna tijekom financijske godine 2022. rezultiralo stopom izvršenja proračuna od 99,95 % za odobrena sredstva za tu godinu, što je malo povećanje od 0,13 % u odnosu na 2021.; također prima na znanje da je stopa izvršenja odobrenih sredstava za plaćanje za tekuću godinu iznosila 94,97 %, što je povećanje od 1,43 % u odnosu na 2021.; primjećuje da je realizacija proračuna za 2022. iznosila 81 821 EUR, što je povećanje u odnosu na 2021. kad je iznosila 69 638 EUR;</w:t>
      </w:r>
    </w:p>
    <w:p w:rsidR="00A21F20" w:rsidRPr="0026643E" w:rsidRDefault="00A21F20" w:rsidP="00A21F20">
      <w:pPr>
        <w:spacing w:after="240"/>
        <w:ind w:left="567" w:hanging="567"/>
        <w:rPr>
          <w:szCs w:val="24"/>
        </w:rPr>
      </w:pPr>
      <w:r w:rsidRPr="0026643E">
        <w:t>2.</w:t>
      </w:r>
      <w:r w:rsidRPr="0026643E">
        <w:tab/>
        <w:t>potvrđuje da su na izvršenje proračuna 2022. najviše utjecali vanjski globalni faktori kao što su nestabilni geopolitički kontekst i energetska kriza, koji su doveli do velike nestabilnosti i nepredvidivog povećanja troškova Agencije; napominje da je Agencija provela snažne mjere za kontrolu svojih rashoda, prilagodila razinu naknada i pristojbi (tj. satnica se povećala i redovito prilagođavala u skladu sa stopom inflacije) te da je uvela redoviti postupak praćenja izvršenja proračuna s nekoliko alata za planiranje i praćenje kako bi se taj postupak automatizirao;</w:t>
      </w:r>
    </w:p>
    <w:p w:rsidR="00A21F20" w:rsidRPr="0026643E" w:rsidRDefault="00A21F20" w:rsidP="00A21F20">
      <w:pPr>
        <w:spacing w:after="240"/>
        <w:ind w:left="567" w:hanging="567"/>
        <w:rPr>
          <w:szCs w:val="24"/>
        </w:rPr>
      </w:pPr>
      <w:r w:rsidRPr="0026643E">
        <w:t>3.</w:t>
      </w:r>
      <w:r w:rsidRPr="0026643E">
        <w:tab/>
        <w:t xml:space="preserve">prima na znanje da se Agencija pridružila Komisijinoj pilot-fazi zamjene svojeg proračunskog i računovodstvenog sustava novim sustavom, nazvanim SUMMA; u tom kontekstu prima na znanje, iz izvješća Revizorskog suda, opažanja o nedostacima i manjkavostima s kojima se Agencija suočila, a to su nedostatak strategije za upravljanje rizicima i kontrolu za provedbu novog sustava, neažurirani financijski tokovi i neažurirana strategija ex </w:t>
      </w:r>
      <w:proofErr w:type="spellStart"/>
      <w:r w:rsidRPr="0026643E">
        <w:t>ante</w:t>
      </w:r>
      <w:proofErr w:type="spellEnd"/>
      <w:r w:rsidRPr="0026643E">
        <w:t xml:space="preserve"> i ex post provjera, kao i u pogledu neprovjeravanja </w:t>
      </w:r>
      <w:r w:rsidRPr="0026643E">
        <w:lastRenderedPageBreak/>
        <w:t xml:space="preserve">korisničkih prava dodjele; prima na znanje, iz odgovora Agencije na opažanja Revizorskog suda, da su mjere ublažavanja </w:t>
      </w:r>
      <w:proofErr w:type="spellStart"/>
      <w:r w:rsidRPr="0026643E">
        <w:t>proaktivno</w:t>
      </w:r>
      <w:proofErr w:type="spellEnd"/>
      <w:r w:rsidRPr="0026643E">
        <w:t xml:space="preserve"> poduzete u skladu s inherentnom krivuljom učenja, među ostalim početkom ažuriranja financijskih tokova Agencije i strategije ex </w:t>
      </w:r>
      <w:proofErr w:type="spellStart"/>
      <w:r w:rsidRPr="0026643E">
        <w:t>ante</w:t>
      </w:r>
      <w:proofErr w:type="spellEnd"/>
      <w:r w:rsidRPr="0026643E">
        <w:t xml:space="preserve"> i ex post provjera u drugoj polovini 2022., pri čemu se očekuje da će se relevantni dokumenti ažurirati 2023.; poziva Agenciju da odgovori na opažanja Revizorskog suda na sveobuhvatan način i da obavještava tijelo nadležno za davanje razrješnice o napretku postignutom u tom pogledu;</w:t>
      </w:r>
    </w:p>
    <w:p w:rsidR="00A21F20" w:rsidRPr="0026643E" w:rsidRDefault="00A21F20" w:rsidP="00A21F20">
      <w:pPr>
        <w:spacing w:after="240"/>
        <w:ind w:left="567" w:hanging="567"/>
        <w:rPr>
          <w:szCs w:val="24"/>
        </w:rPr>
      </w:pPr>
      <w:r w:rsidRPr="0026643E">
        <w:t>4.</w:t>
      </w:r>
      <w:r w:rsidRPr="0026643E">
        <w:tab/>
        <w:t>prima na znanje opažanje Revizorskog suda o tome da Agencija ne poštuje rok predviđen Financijskom uredbom u pogledu plaćanja i da je 12,2 % plaćanja 2022. kasnilo više od 30 dana; prima na znanje stajalište Agencije da su takva kašnjenja povezana s provedbom novog sustava SUMMA i da su u međuvremenu uvedene mjere kako bi se izbjegla kašnjenja u plaćanjima;</w:t>
      </w:r>
    </w:p>
    <w:p w:rsidR="00A21F20" w:rsidRPr="0026643E" w:rsidRDefault="00A21F20" w:rsidP="00A21F20">
      <w:pPr>
        <w:spacing w:after="240"/>
        <w:ind w:left="567" w:hanging="567"/>
        <w:rPr>
          <w:szCs w:val="24"/>
        </w:rPr>
      </w:pPr>
      <w:r w:rsidRPr="0026643E">
        <w:t>5.</w:t>
      </w:r>
      <w:r w:rsidRPr="0026643E">
        <w:tab/>
        <w:t xml:space="preserve">nadalje napominje da je Agencija imala kašnjenja i s izdavanjem računa (ili „obavijesti o terećenju”) za povezane naknade i pristojbe, koje također pripisuje provedbi novog sustava SUMMA, kao i s primanjem izvještaja o troškovima od nacionalnih tijela nadležnih za sigurnost, što je u suprotnosti s relevantnim člancima Financijske uredbe i Uredbe </w:t>
      </w:r>
      <w:r w:rsidR="00A559F4">
        <w:t>(EU</w:t>
      </w:r>
      <w:r w:rsidR="001A2E9C">
        <w:t xml:space="preserve">) </w:t>
      </w:r>
      <w:r w:rsidRPr="0026643E">
        <w:t>2018/764 o naknadama i pristojbama Agencije; prima na znanje, iz odgovora Agencije na opažanja Revizorskog suda, da bi izbjegavanje ili smanjenje takvih kašnjenja bilo moguće kad bi nacionalna tijela nadležna za sigurnost Agenciji pravodobno podnijela svoje izjave o troškovima, ali da Agencija nema mogućnost osigurati da nacionalna tijela nadležna za sigurnost poštuju rokove;</w:t>
      </w:r>
    </w:p>
    <w:p w:rsidR="00A21F20" w:rsidRPr="0026643E" w:rsidRDefault="00A21F20" w:rsidP="001A2E9C">
      <w:pPr>
        <w:pStyle w:val="NormalHanging12a"/>
      </w:pPr>
      <w:r w:rsidRPr="0026643E">
        <w:t>6.</w:t>
      </w:r>
      <w:r w:rsidRPr="0026643E">
        <w:tab/>
        <w:t xml:space="preserve">podsjeća da Agencija ima najmanji proračun među agencijama u sektoru prometa unatoč izvanrednim ekološkim prednostima željezničkog prijevoza kojima Komisija daje prioritet; pohvaljuje povećanje proračuna za fiskalnu godinu 2022., popraćeno brojnim nastojanjima oko jačanja konkurentnosti, poboljšanja sigurnosti i promicanja prekogranične </w:t>
      </w:r>
      <w:proofErr w:type="spellStart"/>
      <w:r w:rsidRPr="0026643E">
        <w:t>interoperabilnosti</w:t>
      </w:r>
      <w:proofErr w:type="spellEnd"/>
      <w:r w:rsidRPr="0026643E">
        <w:t>; ipak traži povećanje proračuna kako bi se osiguralo da Agencija raspolaže nužnim sredstvima da djeluje kao učinkovito tijelo i uspješno ispunjava svoje zadaće;</w:t>
      </w:r>
    </w:p>
    <w:p w:rsidR="00A21F20" w:rsidRPr="0026643E" w:rsidRDefault="00A21F20" w:rsidP="00A21F20">
      <w:pPr>
        <w:spacing w:after="240"/>
        <w:ind w:left="567" w:hanging="567"/>
        <w:rPr>
          <w:b/>
          <w:i/>
          <w:szCs w:val="24"/>
        </w:rPr>
      </w:pPr>
      <w:r w:rsidRPr="0026643E">
        <w:rPr>
          <w:b/>
          <w:i/>
        </w:rPr>
        <w:t>Uspješnost</w:t>
      </w:r>
    </w:p>
    <w:p w:rsidR="00A21F20" w:rsidRPr="0026643E" w:rsidRDefault="00A21F20" w:rsidP="00A21F20">
      <w:pPr>
        <w:spacing w:after="240"/>
        <w:ind w:left="567" w:hanging="567"/>
        <w:rPr>
          <w:szCs w:val="24"/>
        </w:rPr>
      </w:pPr>
      <w:r w:rsidRPr="0026643E">
        <w:t>7.</w:t>
      </w:r>
      <w:r w:rsidRPr="0026643E">
        <w:tab/>
        <w:t xml:space="preserve">prima na znanje da je Agencija izvijestila da je njezin godišnji program rada za 2022. ostvaren u mjeri od 81,13 %, u usporedbi sa 76,41 % 2021., što je dobrodošlo povećanje već drugu godinu zaredom; konstatira da je Agencija 2022. usvojila novu strukturu za svoj program rada i da je s programa rada utemeljenog na aktivnostima prešla na program rada koji se temelji na strateškim izjavama te da je pokrenula novu platformu za mjesečno izvješćivanje o svim projektima i uslugama i novi pregled pokazatelja za praćenje; prima na znanje da program rada Agencije sadržava devet strateških izjava koje su osmišljene u skladu s učinkom koji Agencija nastoji imati na društvo; prima na znanje da je Agencija uspješno postupila u skladu sa svojim strateškim izjavama uz visok stupanj ostvarenja svojih ciljeva za različite rezultate i utvrđene ključne pokazatelje uspješnosti za 2022.; napominje, međutim, da neki ključni pokazatelji uspješnosti nisu ostvareni, primjerice oni povezani s pokretanjem „studijske faze 3” za novu zgradu Agencije u </w:t>
      </w:r>
      <w:proofErr w:type="spellStart"/>
      <w:r w:rsidRPr="0026643E">
        <w:t>Valenciennesu</w:t>
      </w:r>
      <w:proofErr w:type="spellEnd"/>
      <w:r w:rsidRPr="0026643E">
        <w:t>, uvođenjem novog sustava za upravljanje dokumentima (ARES), plaćanjima izvršenima na temelju ugovornih rokova povezanih s usvajanjem novog financijskog sustava (SUMMA) u pilot-fazi i inicijativom „Žene u prometu”;</w:t>
      </w:r>
    </w:p>
    <w:p w:rsidR="00A21F20" w:rsidRPr="0026643E" w:rsidRDefault="00A21F20" w:rsidP="00A21F20">
      <w:pPr>
        <w:spacing w:after="240"/>
        <w:ind w:left="567" w:hanging="567"/>
      </w:pPr>
      <w:r w:rsidRPr="0026643E">
        <w:lastRenderedPageBreak/>
        <w:t>8.</w:t>
      </w:r>
      <w:r w:rsidRPr="0026643E">
        <w:tab/>
        <w:t xml:space="preserve">prima na znanje neka od glavnih postignuća Agencije u 2022., kao što su donošenje akcijskog plana za jačanje za razdoblje 2023. – 2027., pravodobna isporuka znatno povećanog broja odobrenja za vozila (1861) i jedinstvene potvrde o sigurnosti (66), finalizacija preporuke Agencije o paketu revizije instrumenta za tehničku potporu za 2022., kojim će se poduprijeti jačanje </w:t>
      </w:r>
      <w:proofErr w:type="spellStart"/>
      <w:r w:rsidRPr="0026643E">
        <w:t>interoperabilnosti</w:t>
      </w:r>
      <w:proofErr w:type="spellEnd"/>
      <w:r w:rsidRPr="0026643E">
        <w:t xml:space="preserve"> željeznica u cijeloj Uniji, pokretanje drugog ciklusa revizije nadzora nacionalnih tijela nadležnih za sigurnost koji obuhvaća sve zadaće koje su nacionalnim tijelima nadležnima za sigurnost dodijeljene zakonodavstvom Unije, dostavljanje iznimno velikog broja izvješća (osam umjesto očekivana tri) u području praćenja prijavljenih tijela i rad na prvom izvješću Agencije na temelju rezultata istraživanja o sigurnosnom stanju (koje je pokrenuto 2021. i obuhvaćalo 46 500 odgovora); pohvaljuje Agenciju za razvoj modula osposobljavanja u području sigurnosti kojima bi se poboljšala sigurnost u cijelom sektoru kao i za njezina postignuća (alati, smjernice i materijali za osposobljavanje, mjere za podizanje svijesti, moduli osposobljavanja) u pogledu integracije ljudskih i organizacijskih faktora, što će pomoći u poboljšanju učinkovitosti željeznica i njihovim rezultatima u području sigurnosti;</w:t>
      </w:r>
    </w:p>
    <w:p w:rsidR="00A21F20" w:rsidRPr="0026643E" w:rsidRDefault="00A21F20" w:rsidP="00A21F20">
      <w:pPr>
        <w:pStyle w:val="NormalHanging12a"/>
      </w:pPr>
      <w:r w:rsidRPr="0026643E">
        <w:t>9.</w:t>
      </w:r>
      <w:r w:rsidRPr="0026643E">
        <w:tab/>
        <w:t xml:space="preserve">naglašava važnost kontinuirane potpore svim inicijativama za bolje zajedničko razumijevanje tehničkih specifikacija za </w:t>
      </w:r>
      <w:proofErr w:type="spellStart"/>
      <w:r w:rsidRPr="0026643E">
        <w:t>interoperabilnost</w:t>
      </w:r>
      <w:proofErr w:type="spellEnd"/>
      <w:r w:rsidRPr="0026643E">
        <w:t xml:space="preserve"> koje doprinose razvoju snažne i konkurentne europske željezničke industrije; zahtijeva veću potporu za inovacije u željezničkom prijevozu robe i uslugama </w:t>
      </w:r>
      <w:proofErr w:type="spellStart"/>
      <w:r w:rsidRPr="0026643E">
        <w:t>intermodalnog</w:t>
      </w:r>
      <w:proofErr w:type="spellEnd"/>
      <w:r w:rsidRPr="0026643E">
        <w:t xml:space="preserve"> prijevoza radi postizanja konkurentne integracije u logistički lanac vrijednosti, s automatizacijom i digitalizacijom željezničkog prijevoza robe;</w:t>
      </w:r>
    </w:p>
    <w:p w:rsidR="00A21F20" w:rsidRPr="0026643E" w:rsidRDefault="00A21F20" w:rsidP="00A21F20">
      <w:pPr>
        <w:spacing w:after="240"/>
        <w:ind w:left="567" w:hanging="567"/>
      </w:pPr>
      <w:r w:rsidRPr="0026643E">
        <w:t>10.</w:t>
      </w:r>
      <w:r w:rsidRPr="0026643E">
        <w:tab/>
        <w:t xml:space="preserve">pozdravlja izvješće o sigurnosti i </w:t>
      </w:r>
      <w:proofErr w:type="spellStart"/>
      <w:r w:rsidRPr="0026643E">
        <w:t>interoperabilnosti</w:t>
      </w:r>
      <w:proofErr w:type="spellEnd"/>
      <w:r w:rsidRPr="0026643E">
        <w:t xml:space="preserve"> željeznica u EU-u; uviđa stalno zalaganje za cilj Agencije za uspostavu jedinstvenog europskog željezničkog prostora i njezin kontinuirani rad u ključnim područjima kao što su smanjenje nacionalnih pravila te osiguravanje zrelosti tehničkih specifikacija za </w:t>
      </w:r>
      <w:proofErr w:type="spellStart"/>
      <w:r w:rsidRPr="0026643E">
        <w:t>interoperabilnost</w:t>
      </w:r>
      <w:proofErr w:type="spellEnd"/>
      <w:r w:rsidRPr="0026643E">
        <w:t xml:space="preserve">; napominje da će rad važan poput ovog poduprijeti jačanje željezničke </w:t>
      </w:r>
      <w:proofErr w:type="spellStart"/>
      <w:r w:rsidRPr="0026643E">
        <w:t>interoperabilnosti</w:t>
      </w:r>
      <w:proofErr w:type="spellEnd"/>
      <w:r w:rsidRPr="0026643E">
        <w:t xml:space="preserve"> diljem Europe, u skladu s političkim očekivanjima Komisije; pozdravlja kontinuirani doprinos Agencije u području nacionalnih pravila, imajući na umu čišćenje, provedeno 2022., preostalih nacionalnih tehničkih pravila (za Češku i Nizozemsku) koja su predstavljala prepreke za neometan željeznički promet;</w:t>
      </w:r>
    </w:p>
    <w:p w:rsidR="00A21F20" w:rsidRPr="0026643E" w:rsidRDefault="00A21F20" w:rsidP="00A21F20">
      <w:pPr>
        <w:pStyle w:val="NormalHanging12a"/>
        <w:jc w:val="both"/>
      </w:pPr>
      <w:r w:rsidRPr="0026643E">
        <w:t>11.</w:t>
      </w:r>
      <w:r w:rsidRPr="0026643E">
        <w:tab/>
        <w:t xml:space="preserve">pohvaljuje </w:t>
      </w:r>
      <w:proofErr w:type="spellStart"/>
      <w:r w:rsidRPr="0026643E">
        <w:t>proaktivan</w:t>
      </w:r>
      <w:proofErr w:type="spellEnd"/>
      <w:r w:rsidRPr="0026643E">
        <w:t xml:space="preserve"> odgovor Agencije na preporuke iznesene u prošlogodišnjem opažanju, kada je Agencija pozvana na uvođenje djelotvornih kontrola kojima se provjerava imaju li podnositelji zahtjeva status malih i srednjih poduzeća; pozdravlja provedbu pojačanih kontrola kojima se provjerava status malih i srednjih poduzeća pri podnošenju zahtjeva za izdavanje jedinstvenih sigurnosnih potvrda i odobrenja za vozila; ističe da je Agencija pokrenula nekoliko inicijativa usmjerenih na poticanje željezničkog prometa (i putničkog i teretnog), uključujući mjere za koordinaciju međunarodnog željezničkog prometa i razvoj novih tehnologija, kao što je automatizacija vlakova, i tako </w:t>
      </w:r>
      <w:proofErr w:type="spellStart"/>
      <w:r w:rsidRPr="0026643E">
        <w:t>dopridonijela</w:t>
      </w:r>
      <w:proofErr w:type="spellEnd"/>
      <w:r w:rsidRPr="0026643E">
        <w:t xml:space="preserve"> koheziji, poticanju gospodarstva EU-a te zelenoj i digitalnoj tranziciji; pozdravlja činjenicu da je upravljačka skupina za željeznički paket uspješno nastavila s aktivnostima ocjenjivanja pripravnosti Agencije za četvrti željeznički paket;</w:t>
      </w:r>
    </w:p>
    <w:p w:rsidR="00A21F20" w:rsidRPr="0026643E" w:rsidRDefault="00A21F20" w:rsidP="0026643E">
      <w:pPr>
        <w:pStyle w:val="NormalHanging12a"/>
      </w:pPr>
      <w:r w:rsidRPr="0026643E">
        <w:t>12.</w:t>
      </w:r>
      <w:r w:rsidRPr="0026643E">
        <w:tab/>
        <w:t xml:space="preserve">naglašava da je nezakonita i neopravdana ruska ratna agresija na Ukrajinu pokazala ključnu ulogu koju željeznice mogu imati; napominje da od invazije na Ukrajinu željeznice predstavljaju bitnu prednost za kretanje ljudi i robe, posebno nakon što je ukrajinski zračni prostor zatvoren za civilno zrakoplovstvo; ističe da ukrajinske željeznice prevoze vojnike, neophodne radnike, stanovnike, kao i brojne osnovne </w:t>
      </w:r>
      <w:r w:rsidRPr="0026643E">
        <w:lastRenderedPageBreak/>
        <w:t>proizvode poput poljoprivrednih proizvoda; uviđa da je Agencija doprinijela suradnju EU-a s Ukrajinom na otpornosti i razvoju željezničkih veza, da je poduprla Ukrajinu i ljude diljem svijeta tako što je iznašla dodatne načine za povećanje obujma prijevoza ukrajinskih prehrambenih proizvoda željeznicom;</w:t>
      </w:r>
    </w:p>
    <w:p w:rsidR="00A21F20" w:rsidRPr="0026643E" w:rsidRDefault="00A21F20" w:rsidP="00A21F20">
      <w:pPr>
        <w:spacing w:after="240"/>
        <w:ind w:left="567" w:hanging="567"/>
        <w:rPr>
          <w:b/>
          <w:i/>
          <w:szCs w:val="24"/>
        </w:rPr>
      </w:pPr>
      <w:r w:rsidRPr="0026643E">
        <w:rPr>
          <w:b/>
          <w:i/>
        </w:rPr>
        <w:t>Učinkovitost i ostvareno</w:t>
      </w:r>
    </w:p>
    <w:p w:rsidR="00A21F20" w:rsidRPr="0026643E" w:rsidRDefault="00A21F20" w:rsidP="00A21F20">
      <w:pPr>
        <w:spacing w:after="240"/>
        <w:ind w:left="567" w:hanging="567"/>
        <w:rPr>
          <w:szCs w:val="24"/>
        </w:rPr>
      </w:pPr>
      <w:r w:rsidRPr="0026643E">
        <w:t>13.</w:t>
      </w:r>
      <w:r w:rsidRPr="0026643E">
        <w:tab/>
        <w:t xml:space="preserve">pohvaljuje Agenciju za donošenje, 2022., plana za jačanje i akcijskog plana za jačanje za razdoblje 2023. – 2027.; napominje da je akcijski plan za jačanje strukturiran u skladu sa sastavnicama i ciljevima i da je stavljen u središte </w:t>
      </w:r>
      <w:proofErr w:type="spellStart"/>
      <w:r w:rsidRPr="0026643E">
        <w:t>Agencijine</w:t>
      </w:r>
      <w:proofErr w:type="spellEnd"/>
      <w:r w:rsidRPr="0026643E">
        <w:t xml:space="preserve"> strategije za povećanje učinkovitosti u sljedećih pet godina; prima na znanje da je u Agenciji osnovana interna radna skupina za akcijski plan za jačanje i njegove ključne etape i da će se imenovati izvjestitelj koji će podupirati, usmjeravati i pratiti provedbu akcijskog plana za jačanje;</w:t>
      </w:r>
    </w:p>
    <w:p w:rsidR="00A21F20" w:rsidRPr="0026643E" w:rsidRDefault="00A21F20" w:rsidP="00A21F20">
      <w:pPr>
        <w:spacing w:after="240"/>
        <w:ind w:left="567" w:hanging="567"/>
      </w:pPr>
      <w:r w:rsidRPr="0026643E">
        <w:t>14.</w:t>
      </w:r>
      <w:r w:rsidRPr="0026643E">
        <w:tab/>
        <w:t xml:space="preserve">prima na znanje da je Agencija 2022. zahvaljujući svojem akcijskom planu za jačanje primila 12 dodatnih privremenih djelatnika, što je povećanje koje Agenciji može pružiti dobru osnovu za nastavak provedbe plana za jačanje; žali zbog toga što raspodjela radnih mjesta nije bila popraćena odgovarajućom raspodjelom subvencija koja je, zajedno s izvanrednom </w:t>
      </w:r>
      <w:proofErr w:type="spellStart"/>
      <w:r w:rsidRPr="0026643E">
        <w:t>indeksacijom</w:t>
      </w:r>
      <w:proofErr w:type="spellEnd"/>
      <w:r w:rsidRPr="0026643E">
        <w:t xml:space="preserve"> plaća i općim povećanjem cijena komunalnih usluga, izvršila dodatni pritisak na planove rada i resurse Agencije, pri čemu je za 2022. zabilježeno nekoliko negativnih prioriteta, kao što su rad na godišnjem pregledu uspješnosti nacionalnih tijela nadležnih za sigurnost ili razvoj sustava za razmjenu informacija o događajima povezanima sa sigurnošću u Europi;</w:t>
      </w:r>
    </w:p>
    <w:p w:rsidR="00A21F20" w:rsidRPr="0026643E" w:rsidRDefault="00A21F20" w:rsidP="00A21F20">
      <w:pPr>
        <w:spacing w:after="240"/>
        <w:ind w:left="567" w:hanging="567"/>
        <w:rPr>
          <w:szCs w:val="24"/>
        </w:rPr>
      </w:pPr>
      <w:r w:rsidRPr="0026643E">
        <w:t>15.</w:t>
      </w:r>
      <w:r w:rsidRPr="0026643E">
        <w:tab/>
        <w:t>prima na znanje da su, na temelju kontinuirane provjere usluga koje pružaju agencije i službe Komisije, utvrđeni „kapaciteti za dijeljenje” pri čemu Agencija postupno provodi elemente suradnje u području organizacije sastanaka, informatičke sigurnosti, ljudskih resursa (npr. obračun plaća i upravljanje individualnim pravima osoblja, istrage povezane sa slučajevima uznemiravanja), javne nabave (npr. međuagencijski natječaji, zajednički okvirni ugovori), prevođenja i računovodstva; napominje da je Agencija 2022. sklopila Memorandum o suradnji s Agencijom Europske unije za sigurnost zračnog prometa (EASA) kojim se uspostavlja redoviti strukturirani dijalog između tih dviju agencija i poboljšava razmjena informacija, znanja i iskustava u različitim područjima suradnje, među ostalim u pogledu istraživanja mogućnosti da se jedno od postojećih informatičkih rješenja u zrakoplovnom sektoru (Europski koordinacijski centar za sustave za izvješćivanje o nesrećama i nezgodama) prilagodi kako bi se sustav za razmjenu informacija o željeznicama prilagodio prikupljanju i analizi izvješća o događajima povezanima sa sigurnošću željeznica; poziva Agenciju da obavješćuje tijelo nadležno za davanje razrješnice o rezultatu te faze istraživanja;</w:t>
      </w:r>
    </w:p>
    <w:p w:rsidR="00A21F20" w:rsidRPr="0026643E" w:rsidRDefault="00A21F20" w:rsidP="00A21F20">
      <w:pPr>
        <w:spacing w:after="240"/>
        <w:ind w:left="567" w:hanging="567"/>
        <w:rPr>
          <w:szCs w:val="24"/>
        </w:rPr>
      </w:pPr>
      <w:r w:rsidRPr="0026643E">
        <w:t>16.</w:t>
      </w:r>
      <w:r w:rsidRPr="0026643E">
        <w:tab/>
        <w:t xml:space="preserve">prima na znanje da je </w:t>
      </w:r>
      <w:proofErr w:type="spellStart"/>
      <w:r w:rsidRPr="0026643E">
        <w:t>Agencijina</w:t>
      </w:r>
      <w:proofErr w:type="spellEnd"/>
      <w:r w:rsidRPr="0026643E">
        <w:t xml:space="preserve"> prva strategija za upravljanje okolišem izrađena i objavljena 2022. kao dio jedinstvenog programskog dokumenta Agencije za razdoblje 2023. – 2025.; pohvaljuje Agenciju što je neke inicijative i mjere predvidjela i provela već do kraja 2022., a među njima su smanjenje temperature u zgradi, popravak/zamjena neispravnih senzora radi rješavanja problema stalno upaljenih svjetala u nekim uredima, prilagodba automatskih postavki gašenja svjetala i osnivanje (volonterske) skupine ERA-e za okoliš radi poticanja aktivnosti širenja informacija, prikupljanja ideja i poticanja napretka mjera u području okoliša; sa zadovoljstvom prima na znanje, iz izvješća Revizorskog suda, da je Agencija jedna od agencija koje planiraju poboljšati energetsku učinkovitost i klimatsku neutralnost u svojim operacijama; potiče Agenciju </w:t>
      </w:r>
      <w:r w:rsidRPr="0026643E">
        <w:lastRenderedPageBreak/>
        <w:t xml:space="preserve">da u taj plan uključi kvantificirane polazne vrijednosti i ciljeve za smanjenje ugljičnog otiska i potrošnje energije te da zajamči da će njezina nova zgrada u </w:t>
      </w:r>
      <w:proofErr w:type="spellStart"/>
      <w:r w:rsidRPr="0026643E">
        <w:t>Valenciennesu</w:t>
      </w:r>
      <w:proofErr w:type="spellEnd"/>
      <w:r w:rsidRPr="0026643E">
        <w:t xml:space="preserve"> biti certificirana u okviru sustava EMAS;</w:t>
      </w:r>
    </w:p>
    <w:p w:rsidR="00A21F20" w:rsidRPr="0026643E" w:rsidRDefault="00A21F20" w:rsidP="00A21F20">
      <w:pPr>
        <w:pStyle w:val="NormalHanging12a"/>
      </w:pPr>
      <w:r w:rsidRPr="0026643E">
        <w:t>17.</w:t>
      </w:r>
      <w:r w:rsidRPr="0026643E">
        <w:tab/>
        <w:t>potvrđuje da je Agencija postigla vrlo visok stupanj digitalizacije kako bi povećala svoju učinkovitost i to prekidom ispisivanja dokumenata i poticanjem internetskih rješenja kao što su e-nabava, e-fakturiranje, elektroničko rezerviranje putovanja, među ostalim uvođenjem Komisijina sustava za upravljanje ljudskim resursima (SYSPER) 2022. i migracijom, koja je u pilot-fazi, na novi proračunski, računovodstveni i financijski sustav, SUMMA; pozdravlja činjenicu da je u jedinstvenom programskom dokumentu Agencije za razdoblje 2023. – 2025. predviđena daljnja digitalizacija njezinih radnih postupaka;</w:t>
      </w:r>
    </w:p>
    <w:p w:rsidR="00A21F20" w:rsidRPr="0026643E" w:rsidRDefault="00A21F20" w:rsidP="00A21F20">
      <w:pPr>
        <w:pStyle w:val="NormalHanging12a"/>
      </w:pPr>
      <w:r w:rsidRPr="0026643E">
        <w:t>18.</w:t>
      </w:r>
      <w:r w:rsidRPr="0026643E">
        <w:tab/>
        <w:t xml:space="preserve">prima na znanje, iz mišljenja Agencije u pogledu daljnjih mjera poduzetih u svjetlu razrješnice za izvršenje proračuna Agencije za financijsku godinu 2021. (dalje u tekstu „mišljenje Agencije”), da je Agencija provela nekoliko mjera za smanjenje troškova poslovanja u </w:t>
      </w:r>
      <w:proofErr w:type="spellStart"/>
      <w:r w:rsidRPr="0026643E">
        <w:t>Lilleu</w:t>
      </w:r>
      <w:proofErr w:type="spellEnd"/>
      <w:r w:rsidRPr="0026643E">
        <w:t xml:space="preserve"> (tj. da su znatno smanjeni službena putovanja i putni troškovi za osoblje i vanjske dionike) i da je okončala postojeći ugovor o najmu prostora u </w:t>
      </w:r>
      <w:proofErr w:type="spellStart"/>
      <w:r w:rsidRPr="0026643E">
        <w:t>Lilleu</w:t>
      </w:r>
      <w:proofErr w:type="spellEnd"/>
      <w:r w:rsidRPr="0026643E">
        <w:t xml:space="preserve">; prima na znanje da Agencija namjerava organizirati samo obvezne sastanke u </w:t>
      </w:r>
      <w:proofErr w:type="spellStart"/>
      <w:r w:rsidRPr="0026643E">
        <w:t>Lilleu</w:t>
      </w:r>
      <w:proofErr w:type="spellEnd"/>
      <w:r w:rsidRPr="0026643E">
        <w:t xml:space="preserve"> kako bi se poštovala odluka Europskog vijeća o dvostrukom sjedištu, </w:t>
      </w:r>
      <w:proofErr w:type="spellStart"/>
      <w:r w:rsidRPr="0026643E">
        <w:t>Lilleu</w:t>
      </w:r>
      <w:proofErr w:type="spellEnd"/>
      <w:r w:rsidRPr="0026643E">
        <w:t xml:space="preserve"> i </w:t>
      </w:r>
      <w:proofErr w:type="spellStart"/>
      <w:r w:rsidRPr="0026643E">
        <w:t>Valenciennesu</w:t>
      </w:r>
      <w:proofErr w:type="spellEnd"/>
      <w:r w:rsidRPr="0026643E">
        <w:t xml:space="preserve">; pozdravlja činjenicu da je Agencija 2022. odobrila svoju strategiju za ljudske resurse (2023. – 2027.) na temelju opažanja Parlamenta, s naglaskom na poboljšanju svoje djelotvornosti i učinkovitosti; u tom pogledu prima na znanje pozitivno iskustvo i razvoj događaja u Agenciji u vezi s primjenom režima rada na daljinu tijekom razdoblja nakon </w:t>
      </w:r>
      <w:proofErr w:type="spellStart"/>
      <w:r w:rsidRPr="0026643E">
        <w:t>pandemije</w:t>
      </w:r>
      <w:proofErr w:type="spellEnd"/>
      <w:r w:rsidRPr="0026643E">
        <w:t xml:space="preserve"> bolesti COVID-19, na temelju čega je Agencija zaključila da je nova uobičajena praksa da je rad na daljinu prihvaćen kao jednak radu u uredu za većinu osoblja, dok je fizička prisutnost i dalje ključna za određena radna mjesta;</w:t>
      </w:r>
    </w:p>
    <w:p w:rsidR="00A21F20" w:rsidRPr="0026643E" w:rsidRDefault="00A21F20" w:rsidP="00A21F20">
      <w:pPr>
        <w:spacing w:after="240"/>
        <w:ind w:left="567" w:hanging="567"/>
        <w:rPr>
          <w:b/>
          <w:i/>
          <w:szCs w:val="24"/>
        </w:rPr>
      </w:pPr>
      <w:r w:rsidRPr="0026643E">
        <w:rPr>
          <w:b/>
          <w:i/>
        </w:rPr>
        <w:t>Kadrovska politika</w:t>
      </w:r>
    </w:p>
    <w:p w:rsidR="00A21F20" w:rsidRPr="0026643E" w:rsidRDefault="00A21F20" w:rsidP="00A21F20">
      <w:pPr>
        <w:spacing w:after="240"/>
        <w:ind w:left="567" w:hanging="567"/>
        <w:rPr>
          <w:szCs w:val="24"/>
        </w:rPr>
      </w:pPr>
      <w:r w:rsidRPr="0026643E">
        <w:t>19.</w:t>
      </w:r>
      <w:r w:rsidRPr="0026643E">
        <w:tab/>
        <w:t>konstatira da je plan radnih mjesta 31. prosinca 2022. bio izvršen u mjeri od 97,40 %, odnosno da je od 154 odobrena radna mjesta privremenih djelatnika u okviru proračuna Unije (u odnosu na 151 odobrena radna mjesta 2021.) bilo popunjeno 150 radnih mjesta; također napominje da je 2022. za Agenciju radilo 36 ugovornih djelatnika (od 36 odobrenih radnih mjesta) i dva upućena nacionalna stručnjaka (od četiri odobrena radna mjesta);</w:t>
      </w:r>
    </w:p>
    <w:p w:rsidR="00A21F20" w:rsidRPr="0026643E" w:rsidRDefault="00A21F20" w:rsidP="00A21F20">
      <w:pPr>
        <w:pStyle w:val="NormalHanging12a"/>
      </w:pPr>
      <w:r w:rsidRPr="0026643E">
        <w:t>20.</w:t>
      </w:r>
      <w:r w:rsidRPr="0026643E">
        <w:tab/>
        <w:t xml:space="preserve">sa zabrinutošću prima na znanje rodnu neravnotežu u višem rukovodstvu Agencije, u kojemu su od 10 članova njih 8 muškarci (80 %); prima na znanje rodnu raspodjelu u upravnom odboru Agencije, u kojem je 34 muškaraca od 64 članova (53 %); nadalje, prima na znanje rodnu raspodjelu među osobljem Agencije, među kojim je od ukupno 188 članova 120 muškaraca (64 %); podsjeća na važnost osiguravanja rodne ravnoteže osoblja i poziva Agenciju da taj aspekt uzme u obzir kad je riječ o budućem zapošljavanju novog osoblja i imenovanjima na položaje višeg rukovodstva; prima na znanje da Agencija kontinuirano radi na uklanjanju rodnog jaza, provedbom posebnih projekata kao što je projekt „Žene u prometu” kako bi se ojačalo zapošljavanje žena i jednake mogućnosti u prometnom sektoru; u tom kontekstu prima na znanje nastojanja Agencije da poveća broj žena u prometnom sektoru s pomoću primjerice događanja za brzo umrežavanje i internetskih seminara s naglaskom na raznolikost i </w:t>
      </w:r>
      <w:proofErr w:type="spellStart"/>
      <w:r w:rsidRPr="0026643E">
        <w:t>inkluziju</w:t>
      </w:r>
      <w:proofErr w:type="spellEnd"/>
      <w:r w:rsidRPr="0026643E">
        <w:t xml:space="preserve"> 2022.;</w:t>
      </w:r>
    </w:p>
    <w:p w:rsidR="00A21F20" w:rsidRPr="0026643E" w:rsidRDefault="00A21F20" w:rsidP="00A21F20">
      <w:pPr>
        <w:spacing w:after="240"/>
        <w:ind w:left="567" w:hanging="567"/>
        <w:rPr>
          <w:szCs w:val="24"/>
        </w:rPr>
      </w:pPr>
      <w:r w:rsidRPr="0026643E">
        <w:lastRenderedPageBreak/>
        <w:t>21.</w:t>
      </w:r>
      <w:r w:rsidRPr="0026643E">
        <w:tab/>
        <w:t xml:space="preserve">prima na znanje, iz mišljenja Agencije, da je Agencija u drugoj polovini 2022. provela participativno praćenje rodno osviještene politike i da su rezultati tog praćenja zatim upotrijebljeni kako bi se pomoglo u određivanju prioritetnih ciljeva </w:t>
      </w:r>
      <w:proofErr w:type="spellStart"/>
      <w:r w:rsidRPr="0026643E">
        <w:t>Agencijine</w:t>
      </w:r>
      <w:proofErr w:type="spellEnd"/>
      <w:r w:rsidRPr="0026643E">
        <w:t xml:space="preserve"> strategije za ljudske resurse za razdoblje 2023. – 2027. te da su poslužili kao doprinos za dokument u kojem se opisuju obveze upravljačkog tima Agencije koje se odnose na raznolikost i </w:t>
      </w:r>
      <w:proofErr w:type="spellStart"/>
      <w:r w:rsidRPr="0026643E">
        <w:t>inkluziju</w:t>
      </w:r>
      <w:proofErr w:type="spellEnd"/>
      <w:r w:rsidRPr="0026643E">
        <w:t xml:space="preserve">; nadalje napominje da su definirane konkretne kratkoročne mjere kako bi se povećala raznolikost i </w:t>
      </w:r>
      <w:proofErr w:type="spellStart"/>
      <w:r w:rsidRPr="0026643E">
        <w:t>inkluzija</w:t>
      </w:r>
      <w:proofErr w:type="spellEnd"/>
      <w:r w:rsidRPr="0026643E">
        <w:t xml:space="preserve"> unutar Agencije na svim razinama, npr. rad na zapošljavanju i angažmanu (korištenje popisa uspješnih kandidata, uvođenje u posao, mentorstvo);</w:t>
      </w:r>
    </w:p>
    <w:p w:rsidR="00A21F20" w:rsidRPr="0026643E" w:rsidRDefault="00A21F20" w:rsidP="00A21F20">
      <w:pPr>
        <w:pStyle w:val="NormalHanging12a"/>
      </w:pPr>
      <w:r w:rsidRPr="0026643E">
        <w:t>22.</w:t>
      </w:r>
      <w:r w:rsidRPr="0026643E">
        <w:tab/>
        <w:t>pozdravlja činjenicu da Agencija nastoji osigurati geografsku ravnotežu među svojim članovima osoblja poticanjem kandidata iz svih država članica da se prijave za njezina radna mjesta; prima na znanje da se privremena radna mjesta objavljuju na svim jezicima EU-a i da se pozivi na prijavu ne objavljuju samo na internetskim stranicama Agencije, već i na razini stalnih predstavništava država članica;</w:t>
      </w:r>
    </w:p>
    <w:p w:rsidR="00A21F20" w:rsidRPr="0026643E" w:rsidRDefault="00A21F20" w:rsidP="00A21F20">
      <w:pPr>
        <w:spacing w:after="240"/>
        <w:ind w:left="567" w:hanging="567"/>
        <w:rPr>
          <w:szCs w:val="24"/>
        </w:rPr>
      </w:pPr>
      <w:r w:rsidRPr="0026643E">
        <w:t>23.</w:t>
      </w:r>
      <w:r w:rsidRPr="0026643E">
        <w:tab/>
        <w:t>prima na znanje, iz odgovora Agencije na pisana pitanja Parlamenta, da su, u vezi s prijavljenim slučajevima uznemiravanja u Agenciji koje su obradili unutarnji povjerljivi savjetnici, četiri člana osoblja uvrštena u registar, pri čemu su krajem 2022. dva člana osoblja uklonjena iz registra, a da nije provedena istraga niti su doneseni zaključci; potiče Agenciju da dodatno razvije svoje politike i metode kako bi u budućnosti učinkovitije sprečavala takve slučajeve;</w:t>
      </w:r>
    </w:p>
    <w:p w:rsidR="00A21F20" w:rsidRPr="0026643E" w:rsidRDefault="00A21F20" w:rsidP="00A21F20">
      <w:pPr>
        <w:spacing w:after="240"/>
        <w:ind w:left="567" w:hanging="567"/>
        <w:rPr>
          <w:b/>
          <w:i/>
          <w:szCs w:val="24"/>
        </w:rPr>
      </w:pPr>
      <w:r w:rsidRPr="0026643E">
        <w:rPr>
          <w:b/>
          <w:i/>
        </w:rPr>
        <w:t>Javna nabava</w:t>
      </w:r>
    </w:p>
    <w:p w:rsidR="00A21F20" w:rsidRPr="0026643E" w:rsidRDefault="00A21F20" w:rsidP="00A21F20">
      <w:pPr>
        <w:spacing w:after="240"/>
        <w:ind w:left="567" w:hanging="567"/>
        <w:rPr>
          <w:szCs w:val="24"/>
        </w:rPr>
      </w:pPr>
      <w:r w:rsidRPr="0026643E">
        <w:t>24.</w:t>
      </w:r>
      <w:r w:rsidRPr="0026643E">
        <w:tab/>
        <w:t>prima na znanje da je Agencija 2022. provela dva otvorena postupka javne nabave, tri pregovaračka postupka i jedno ponovno otvaranje nadmetanja te dva otvorena postupka javne nabave i tri pregovaračka postupka financirana administrativnim odobrenim sredstvima;</w:t>
      </w:r>
    </w:p>
    <w:p w:rsidR="00A21F20" w:rsidRPr="0026643E" w:rsidRDefault="00A21F20" w:rsidP="00A21F20">
      <w:pPr>
        <w:spacing w:after="240"/>
        <w:ind w:left="567" w:hanging="567"/>
      </w:pPr>
      <w:r w:rsidRPr="0026643E">
        <w:t>25.</w:t>
      </w:r>
      <w:r w:rsidRPr="0026643E">
        <w:tab/>
        <w:t xml:space="preserve">prima na znanje, iz odgovora Agencije na pisana pitanja Parlamenta, da je u tijeku provedba zelene javne nabave i da je ona jedna od inicijativa/mjera </w:t>
      </w:r>
      <w:proofErr w:type="spellStart"/>
      <w:r w:rsidRPr="0026643E">
        <w:t>Agencijine</w:t>
      </w:r>
      <w:proofErr w:type="spellEnd"/>
      <w:r w:rsidRPr="0026643E">
        <w:t xml:space="preserve"> strategije za upravljanje okolišem;</w:t>
      </w:r>
    </w:p>
    <w:p w:rsidR="00A21F20" w:rsidRPr="0026643E" w:rsidRDefault="00A21F20" w:rsidP="00A21F20">
      <w:pPr>
        <w:spacing w:after="240"/>
        <w:ind w:left="567" w:hanging="567"/>
        <w:rPr>
          <w:szCs w:val="24"/>
        </w:rPr>
      </w:pPr>
      <w:r w:rsidRPr="0026643E">
        <w:t>26.</w:t>
      </w:r>
      <w:r w:rsidRPr="0026643E">
        <w:tab/>
        <w:t>prima na znanje, iz odgovora Agencije na pitanja tijela nadležnog za davanje razrješnice, da su 2022. postupci javne nabave Agencije već bili u potpunosti digitalizirani; pozdravlja činjenicu da je Agencija u srpnju 2023. započela s uvođenjem alata za upravljanje javnom nabavom;</w:t>
      </w:r>
    </w:p>
    <w:p w:rsidR="00A21F20" w:rsidRPr="0026643E" w:rsidRDefault="00A21F20" w:rsidP="00A21F20">
      <w:pPr>
        <w:spacing w:after="240"/>
        <w:ind w:left="567" w:hanging="567"/>
        <w:rPr>
          <w:b/>
          <w:i/>
          <w:szCs w:val="24"/>
        </w:rPr>
      </w:pPr>
      <w:r w:rsidRPr="0026643E">
        <w:rPr>
          <w:b/>
          <w:i/>
        </w:rPr>
        <w:t>Postupanje u slučaju sukoba interesa i njihovo sprečavanje te transparentnost</w:t>
      </w:r>
    </w:p>
    <w:p w:rsidR="00A21F20" w:rsidRPr="0026643E" w:rsidRDefault="00A21F20" w:rsidP="00A21F20">
      <w:pPr>
        <w:spacing w:after="240"/>
        <w:ind w:left="567" w:hanging="567"/>
        <w:rPr>
          <w:szCs w:val="24"/>
        </w:rPr>
      </w:pPr>
      <w:r w:rsidRPr="0026643E">
        <w:t>27.</w:t>
      </w:r>
      <w:r w:rsidRPr="0026643E">
        <w:tab/>
        <w:t>konstatira da je Agencija na svojim internetskim stranicama objavila životopise i izjave o financijskim interesima članova upravnog odbora i višeg rukovodstva; konstatira da Agencija ne objavljuje životopise vanjskih i internih stručnjaka;</w:t>
      </w:r>
    </w:p>
    <w:p w:rsidR="00A21F20" w:rsidRPr="0026643E" w:rsidRDefault="00A21F20" w:rsidP="00A21F20">
      <w:pPr>
        <w:spacing w:after="240"/>
        <w:ind w:left="567" w:hanging="567"/>
        <w:rPr>
          <w:bCs/>
          <w:szCs w:val="24"/>
        </w:rPr>
      </w:pPr>
      <w:r w:rsidRPr="0026643E">
        <w:t>28.</w:t>
      </w:r>
      <w:r w:rsidRPr="0026643E">
        <w:tab/>
        <w:t xml:space="preserve">pozdravlja napore Agencije da poveća transparentnost svojih aktivnosti tako što na svojim internetskim stranicama redovito objavljuje informacije o svim sastancima izvršnog direktora s organizacijama ili samozaposlenim osobama; prima na znanje da Agencija primjenjuje nekoliko mehanizama za utvrđivanje i sprečavanje sukoba interesa i da pruža popis interesa koji pripadaju određenim kategorijama (npr. profesionalna, obiteljska), preispituje izjave o financijskim interesima, traži spontane izjave o </w:t>
      </w:r>
      <w:r w:rsidRPr="0026643E">
        <w:lastRenderedPageBreak/>
        <w:t>nepostojanju sukoba interesa i provodi redovito osposobljavanje;</w:t>
      </w:r>
    </w:p>
    <w:p w:rsidR="00A21F20" w:rsidRPr="0026643E" w:rsidRDefault="00A21F20" w:rsidP="00A21F20">
      <w:pPr>
        <w:spacing w:after="240"/>
        <w:ind w:left="567" w:hanging="567"/>
      </w:pPr>
      <w:r w:rsidRPr="0026643E">
        <w:t>29.</w:t>
      </w:r>
      <w:r w:rsidRPr="0026643E">
        <w:tab/>
        <w:t>pohvaljuje Agenciju za postupke prijavljivanja nepravilnosti u okviru kojih članovi osoblja mogu prijaviti moguće sukobe bez straha od odmazde; u tom kontekstu napominje da su 2022. prijavljene potencijalne situacije sukoba interesa na razini članova upravnog odbora i članova osoblja Agencije, pri čemu su poduzete i zabilježene mjere ublažavanja na sastancima upravnog odbora ili su dokumentirane u izjavama o financijskim interesima dotičnih članova osoblja;</w:t>
      </w:r>
    </w:p>
    <w:p w:rsidR="00A21F20" w:rsidRPr="0026643E" w:rsidRDefault="00A21F20" w:rsidP="00A21F20">
      <w:pPr>
        <w:spacing w:after="240"/>
        <w:ind w:left="567" w:hanging="567"/>
      </w:pPr>
      <w:r w:rsidRPr="0026643E">
        <w:t>30.</w:t>
      </w:r>
      <w:r w:rsidRPr="0026643E">
        <w:tab/>
        <w:t>prima na znanje, iz odgovora Agencije na pisana pitanja Parlamenta, da Agencija ima uspostavljene postupke za rješavanje mogućih situacija tzv. rotirajućih vrata u slučaju bivših članova osoblja; u tom kontekstu žali zbog toga što Agencija ne provodi sustavno praćenje usklađenosti s primjenjivim pravilima, zbog čega neprijavljene situacije rotirajućih vrata mogu ostati neotkrivene ili se možda neće osigurati usklađenost s uputama koje su prethodno bile nametnute članovima osoblja koji su napustili Agenciju;</w:t>
      </w:r>
    </w:p>
    <w:p w:rsidR="00A21F20" w:rsidRPr="0026643E" w:rsidRDefault="00A21F20" w:rsidP="00A21F20">
      <w:pPr>
        <w:spacing w:after="240"/>
        <w:ind w:left="567" w:hanging="567"/>
        <w:rPr>
          <w:szCs w:val="24"/>
        </w:rPr>
      </w:pPr>
      <w:r w:rsidRPr="0026643E">
        <w:t>31.</w:t>
      </w:r>
      <w:r w:rsidRPr="0026643E">
        <w:tab/>
        <w:t>prima na znanje da je Agencija nastavila s tečajevima osposobljavanja o etici i borbi protiv prijevara, koji su obvezni za cjelokupno osoblje, kao dio četverogodišnjeg kontinuiranog ciklusa osposobljavanja s ciljem postizanja 100-postotnog sudjelovanja na kraju ciklusa; prima na znanje da je ukupna stopa sudjelovanja 2022. iznosila 22,1 % za borbu protiv prijevara i 31,11 % za etiku te da su oba osposobljavanja prilagođena potrebama, u skladu s rizičnim okruženjem Agencije;</w:t>
      </w:r>
    </w:p>
    <w:p w:rsidR="00A21F20" w:rsidRPr="0026643E" w:rsidRDefault="00A21F20" w:rsidP="00A21F20">
      <w:pPr>
        <w:spacing w:after="240"/>
        <w:ind w:left="567" w:hanging="567"/>
        <w:rPr>
          <w:szCs w:val="24"/>
        </w:rPr>
      </w:pPr>
      <w:r w:rsidRPr="0026643E">
        <w:rPr>
          <w:b/>
          <w:i/>
        </w:rPr>
        <w:t>Unutarnja kontrola</w:t>
      </w:r>
    </w:p>
    <w:p w:rsidR="00A21F20" w:rsidRPr="0026643E" w:rsidRDefault="00A21F20" w:rsidP="00A21F20">
      <w:pPr>
        <w:spacing w:after="240"/>
        <w:ind w:left="567" w:hanging="567"/>
        <w:rPr>
          <w:szCs w:val="24"/>
        </w:rPr>
      </w:pPr>
      <w:r w:rsidRPr="0026643E">
        <w:t>32.</w:t>
      </w:r>
      <w:r w:rsidRPr="0026643E">
        <w:tab/>
        <w:t>sa zabrinutošću prima na znanje, iz izvješća Revizorskog suda, opažanja o nekim nedostacima u sustavima upravljanja i kontrole Agencije, odnosno nedostatak politike za klasifikaciju i zaštitu osjetljivih informacija i primjenu nevaljalih metoda odobrenja, osim fizičkih ili kvalificiranih elektroničkih potpisa, u području postupaka javne nabave; prima na znanje, iz odgovora Agencije na opažanja Revizorskog suda, da su ti nedostaci u međuvremenu riješeni raznim djelovanjima i mjerama; poziva Revizorski sud da te aktivnosti i mjere uključi u svoje naknadne revizije;</w:t>
      </w:r>
    </w:p>
    <w:p w:rsidR="00A21F20" w:rsidRPr="0026643E" w:rsidRDefault="00A21F20" w:rsidP="00A21F20">
      <w:pPr>
        <w:spacing w:after="240"/>
        <w:ind w:left="567" w:hanging="567"/>
      </w:pPr>
      <w:r w:rsidRPr="0026643E">
        <w:t>33.</w:t>
      </w:r>
      <w:r w:rsidRPr="0026643E">
        <w:tab/>
        <w:t xml:space="preserve">prima na znanje, iz mišljenja Agencije, da je, u pogledu preporuka Službe za unutarnju reviziju, nakon revizije upravljanja informacijama i informacijske sigurnosti provedene 2019. godine, Agencija provela vrlo važnu preporuku o okviru za upravljanje podacima i važnu preporuku o podatkovnim i informatičkim operacijama (koje je Služba za unutarnju reviziju već zaključila), dok je rad na provedbi preostalih triju preporuka 2023. u tijeku (o </w:t>
      </w:r>
      <w:proofErr w:type="spellStart"/>
      <w:r w:rsidRPr="0026643E">
        <w:t>interoperabilnosti</w:t>
      </w:r>
      <w:proofErr w:type="spellEnd"/>
      <w:r w:rsidRPr="0026643E">
        <w:t xml:space="preserve"> i kvaliteti podataka, sigurnosti podataka i informatičkoj sigurnosti te kontinuitetu IT-a i fizičkoj sigurnosti); poziva Agenciju da tijelo nadležno za davanje razrješnice obavijesti o napretku u tom pogledu;</w:t>
      </w:r>
    </w:p>
    <w:p w:rsidR="00A21F20" w:rsidRPr="0026643E" w:rsidRDefault="00A21F20" w:rsidP="00A21F20">
      <w:pPr>
        <w:spacing w:after="240"/>
        <w:ind w:left="567" w:hanging="567"/>
        <w:rPr>
          <w:szCs w:val="24"/>
        </w:rPr>
      </w:pPr>
      <w:r w:rsidRPr="0026643E">
        <w:t>34.</w:t>
      </w:r>
      <w:r w:rsidRPr="0026643E">
        <w:tab/>
        <w:t xml:space="preserve">prima na znanje da je svako odstupanje od utvrđenog postupka ili procedure unutar Agencije dokumentirano, opravdano i odobreno na odgovarajućoj upravljačkoj razini; sa zadovoljstvom prima na znanje smanjenje broja registriranih nesukladnosti s 35 u 2021. na 28 u 2022.; primjećuje da je 2022. registrirano 28 nesukladnosti s, primjerice, administrativnim pravilima (odstupanje od pravila o radu na daljinu), postupcima/pravilima javne nabave (nepravilna primjena pregovaračkog postupka), pravilima o službenim putovanjima (odlazak na službeno putovanje bez odobrenog putnog naloga) i pravilima u područjima kao što su upravljanje ugovorima, preuzimanje obveza i odabir osoblja; napominje da je 13 od 28 nesukladnosti bilo iznimno (ex </w:t>
      </w:r>
      <w:proofErr w:type="spellStart"/>
      <w:r w:rsidRPr="0026643E">
        <w:t>ante</w:t>
      </w:r>
      <w:proofErr w:type="spellEnd"/>
      <w:r w:rsidRPr="0026643E">
        <w:t xml:space="preserve"> </w:t>
      </w:r>
      <w:r w:rsidRPr="0026643E">
        <w:lastRenderedPageBreak/>
        <w:t>nesukladnosti) i transparentno dokumentirano i opravdano na temelju, primjerice, osiguravanja kontinuiteta poslovanja ili ekonomskih razloga; pozdravlja činjenicu da je Agencija uvela mjere ublažavanja ili praćenja kako bi riješila svaku nesukladnost; poziva Agenciju da nastavi provoditi periodične i na riziku utemeljene procjene funkcioniranja glavnih područja unutarnje kontrole kojima se podupire postupak davanja jamstva;</w:t>
      </w:r>
    </w:p>
    <w:p w:rsidR="00A21F20" w:rsidRPr="0026643E" w:rsidRDefault="00A21F20" w:rsidP="00A21F20">
      <w:pPr>
        <w:spacing w:after="240"/>
        <w:ind w:left="567" w:hanging="567"/>
        <w:rPr>
          <w:szCs w:val="24"/>
        </w:rPr>
      </w:pPr>
      <w:r w:rsidRPr="0026643E">
        <w:t>35.</w:t>
      </w:r>
      <w:r w:rsidRPr="0026643E">
        <w:tab/>
        <w:t xml:space="preserve">prima na znanje da je Agencija 2022. provela procjenu rizika usklađenu sa svojim godišnjim strateškim planiranjem i da kontinuirano preispituje relevantnost rizika i povezanih mjera ublažavanja tijekom cijele godine; prima na znanje utvrđene glavne izazove/rizike povezane s izvršenjem proračuna, provedbom novog korporativnog financijskog informatičkog alata (SUMMA), ograničenjima u pogledu osoblja, pitanjima informatičke sigurnosti i posljedicama </w:t>
      </w:r>
      <w:proofErr w:type="spellStart"/>
      <w:r w:rsidRPr="0026643E">
        <w:t>pandemije</w:t>
      </w:r>
      <w:proofErr w:type="spellEnd"/>
      <w:r w:rsidRPr="0026643E">
        <w:t xml:space="preserve"> bolesti COVID-19;</w:t>
      </w:r>
    </w:p>
    <w:p w:rsidR="00A21F20" w:rsidRPr="0026643E" w:rsidRDefault="00A21F20" w:rsidP="00A21F20">
      <w:pPr>
        <w:spacing w:after="240"/>
        <w:ind w:left="567" w:hanging="567"/>
        <w:rPr>
          <w:szCs w:val="24"/>
        </w:rPr>
      </w:pPr>
      <w:r w:rsidRPr="0026643E">
        <w:t>36.</w:t>
      </w:r>
      <w:r w:rsidRPr="0026643E">
        <w:tab/>
        <w:t>konstatira da je istraga OLAF-a zaključena u prosincu 2022. bez nalaza i dodatnih preporuka;</w:t>
      </w:r>
    </w:p>
    <w:p w:rsidR="00A21F20" w:rsidRPr="0026643E" w:rsidRDefault="00A21F20" w:rsidP="00A21F20">
      <w:pPr>
        <w:spacing w:after="240"/>
        <w:ind w:left="567" w:hanging="567"/>
        <w:rPr>
          <w:szCs w:val="24"/>
        </w:rPr>
      </w:pPr>
      <w:r w:rsidRPr="0026643E">
        <w:rPr>
          <w:b/>
          <w:i/>
        </w:rPr>
        <w:t>Ostale napomene</w:t>
      </w:r>
    </w:p>
    <w:p w:rsidR="00A21F20" w:rsidRPr="0026643E" w:rsidRDefault="00A21F20" w:rsidP="00A21F20">
      <w:pPr>
        <w:tabs>
          <w:tab w:val="left" w:pos="567"/>
        </w:tabs>
        <w:spacing w:after="240"/>
        <w:ind w:left="567" w:hanging="567"/>
        <w:rPr>
          <w:szCs w:val="24"/>
        </w:rPr>
      </w:pPr>
      <w:r w:rsidRPr="0026643E">
        <w:t>37.</w:t>
      </w:r>
      <w:r w:rsidRPr="0026643E">
        <w:tab/>
        <w:t xml:space="preserve">prima na znanje da je, nakon koraka koji su poduzeti zajedno s Europskim parlamentom i Vijećem u vezi s novom zgradom Agencije, izvršni direktor izvijestio upravni odbor o nekoliko sastanaka s predstavnicima metropolitanskog područja </w:t>
      </w:r>
      <w:proofErr w:type="spellStart"/>
      <w:r w:rsidRPr="0026643E">
        <w:t>Valenciennesa</w:t>
      </w:r>
      <w:proofErr w:type="spellEnd"/>
      <w:r w:rsidRPr="0026643E">
        <w:t xml:space="preserve"> 2023.; nadalje napominje da bi građevinska dozvola trebala biti gotova u ožujku 2024., da bi izgradnja mogla započeti u ljeto 2024. i da bi zgrada trebala bila dovršena 2026.;</w:t>
      </w:r>
    </w:p>
    <w:p w:rsidR="00A21F20" w:rsidRPr="0026643E" w:rsidRDefault="00A21F20" w:rsidP="00A21F20">
      <w:pPr>
        <w:pStyle w:val="NormalHanging12a"/>
      </w:pPr>
      <w:r w:rsidRPr="0026643E">
        <w:t>38.</w:t>
      </w:r>
      <w:r w:rsidRPr="0026643E">
        <w:tab/>
        <w:t>pozdravlja stalne napore Agencije u jačanju svoje komunikacije, koji se provode različitim kanalima kako bi doprla do najšire javnosti; prima na znanje razvoj i pokretanje nove internetske stranice ERA-e u studenome 2022., koja pruža jasniji, pojednostavnjen i moderan alat za predstavljanje doprinosa Agencije željezničkom sektoru i građanima EU-a u cjelini; prima na znanje napore koje je Agencija 2022. uložila u organizaciju devet internetskih seminara i pripremu nekoliko publikacija i videozapisa; pozdravlja činjenicu da je 2022. Agencija zadržala snažnu prisutnost u medijima i stekla brojne pratitelje na svojim društvenim mrežama;</w:t>
      </w:r>
    </w:p>
    <w:p w:rsidR="00A21F20" w:rsidRPr="0026643E" w:rsidRDefault="00A21F20" w:rsidP="0026643E">
      <w:pPr>
        <w:pStyle w:val="NormalHanging12a"/>
      </w:pPr>
      <w:r w:rsidRPr="0026643E">
        <w:t>39.</w:t>
      </w:r>
      <w:r w:rsidRPr="0026643E">
        <w:tab/>
        <w:t xml:space="preserve">naglašava da su 2022. europska željeznička poduzeća nastavila oporavak od </w:t>
      </w:r>
      <w:proofErr w:type="spellStart"/>
      <w:r w:rsidRPr="0026643E">
        <w:t>pandemije</w:t>
      </w:r>
      <w:proofErr w:type="spellEnd"/>
      <w:r w:rsidRPr="0026643E">
        <w:t xml:space="preserve"> bolesti COVID-19; stalna otpornost željezničkog sektora, zajedno s njegovim niskim emisijama ugljika, dva su ključna faktora koji doprinose povratku na razine prije </w:t>
      </w:r>
      <w:proofErr w:type="spellStart"/>
      <w:r w:rsidRPr="0026643E">
        <w:t>pandemije</w:t>
      </w:r>
      <w:proofErr w:type="spellEnd"/>
      <w:r w:rsidRPr="0026643E">
        <w:t xml:space="preserve"> u budućnosti;</w:t>
      </w:r>
    </w:p>
    <w:p w:rsidR="00A21F20" w:rsidRPr="0026643E" w:rsidRDefault="00A21F20" w:rsidP="0026643E">
      <w:pPr>
        <w:pStyle w:val="NormalHanging12a"/>
      </w:pPr>
      <w:r w:rsidRPr="0026643E">
        <w:t>40.</w:t>
      </w:r>
      <w:r w:rsidRPr="0026643E">
        <w:tab/>
        <w:t>žali zbog toga što su aktualni zahtjevi u pogledu izvješćivanja o nesrećama i nezgodama povezanima sa sigurnošću željeznica diljem Europe fragmentirani, ograničeni samo na funkciju nadzora i nisu podržani odgovarajućim alatom za potporu te stoga poziva Komisiju da riješi taj nedostatak i u tu svrhu osigura sva potrebna financijska sredstva;</w:t>
      </w:r>
    </w:p>
    <w:p w:rsidR="00A21F20" w:rsidRPr="0026643E" w:rsidRDefault="00A21F20" w:rsidP="00A21F20">
      <w:pPr>
        <w:spacing w:after="240"/>
        <w:ind w:left="567" w:hanging="567"/>
        <w:rPr>
          <w:szCs w:val="24"/>
        </w:rPr>
      </w:pPr>
      <w:r w:rsidRPr="0026643E">
        <w:t>41.</w:t>
      </w:r>
      <w:r w:rsidRPr="0026643E">
        <w:tab/>
        <w:t xml:space="preserve">napominje da će države kandidatkinje za članstvo u EU-u, kada se pridruže Uniji, imati proveden okvir i pravnu stečevinu EU-a; ističe da će građanima EU-a to omogućiti korištenje željeznice kao ekološki prihvatljivog i sigurnog načina prijevoza i prijevoz robe iz jugoistočne Europe i u nju, s obzirom na to da željeznički teretni koridori danas povezuju zapadni Balkan s EU-om; naglašava ulogu projekta IPA-e i zapadnog Balkana u podupiranju provedbe Direktive o </w:t>
      </w:r>
      <w:proofErr w:type="spellStart"/>
      <w:r w:rsidRPr="0026643E">
        <w:t>interoperabilnosti</w:t>
      </w:r>
      <w:proofErr w:type="spellEnd"/>
      <w:r w:rsidRPr="0026643E">
        <w:t xml:space="preserve"> i Direktive o sigurnosti među korisnicima projekta; također napominje da će to pružiti osnovu za otvaranje tržišta </w:t>
      </w:r>
      <w:r w:rsidRPr="0026643E">
        <w:lastRenderedPageBreak/>
        <w:t>željezničkih usluga i neometane vožnje vlakom iz te susjedne regije i u nju;</w:t>
      </w:r>
    </w:p>
    <w:p w:rsidR="00A21F20" w:rsidRPr="0026643E" w:rsidRDefault="00A21F20" w:rsidP="00A21F20">
      <w:pPr>
        <w:pStyle w:val="NormalCenter12a"/>
      </w:pPr>
      <w:r w:rsidRPr="0026643E">
        <w:t>°</w:t>
      </w:r>
    </w:p>
    <w:p w:rsidR="00A21F20" w:rsidRPr="0026643E" w:rsidRDefault="00A21F20" w:rsidP="00A21F20">
      <w:pPr>
        <w:pStyle w:val="NormalCenter12a"/>
      </w:pPr>
      <w:r w:rsidRPr="0026643E">
        <w:t>°</w:t>
      </w:r>
      <w:r w:rsidRPr="0026643E">
        <w:tab/>
        <w:t>°</w:t>
      </w:r>
    </w:p>
    <w:p w:rsidR="00A21F20" w:rsidRPr="0026643E" w:rsidRDefault="00A21F20" w:rsidP="0026643E">
      <w:pPr>
        <w:ind w:left="567" w:hanging="567"/>
      </w:pPr>
      <w:r w:rsidRPr="0026643E">
        <w:t>42.</w:t>
      </w:r>
      <w:r w:rsidRPr="0026643E">
        <w:tab/>
        <w:t xml:space="preserve">u vezi s drugim opažanjima koja su priložene Odluci o razrješnici i horizontalne su naravi upućuje na svoju rezoluciju od </w:t>
      </w:r>
      <w:r w:rsidR="00456632">
        <w:t>11. travnja</w:t>
      </w:r>
      <w:r w:rsidRPr="0026643E">
        <w:t xml:space="preserve"> 2024.</w:t>
      </w:r>
      <w:r w:rsidRPr="0026643E">
        <w:rPr>
          <w:rStyle w:val="FootnoteReference"/>
        </w:rPr>
        <w:footnoteReference w:id="12"/>
      </w:r>
      <w:r w:rsidRPr="0026643E">
        <w:t xml:space="preserve"> o uspješnosti, financijskom upravljanju i nadzoru agencija.</w:t>
      </w:r>
    </w:p>
    <w:sectPr w:rsidR="00A21F20" w:rsidRPr="0026643E" w:rsidSect="0059245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41C" w:rsidRPr="00592454" w:rsidRDefault="00B8341C">
      <w:r w:rsidRPr="00592454">
        <w:separator/>
      </w:r>
    </w:p>
  </w:endnote>
  <w:endnote w:type="continuationSeparator" w:id="0">
    <w:p w:rsidR="00B8341C" w:rsidRPr="00592454" w:rsidRDefault="00B8341C">
      <w:r w:rsidRPr="005924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F20" w:rsidRPr="00592454" w:rsidRDefault="00A21F20" w:rsidP="00F90A80">
    <w:pPr>
      <w:pStyle w:val="EPFooter"/>
    </w:pPr>
    <w:r w:rsidRPr="00592454">
      <w:t>PE</w:t>
    </w:r>
    <w:r w:rsidRPr="00592454">
      <w:rPr>
        <w:rStyle w:val="HideTWBExt"/>
      </w:rPr>
      <w:t>&lt;NoPE&gt;</w:t>
    </w:r>
    <w:r w:rsidRPr="00592454">
      <w:t>753.528</w:t>
    </w:r>
    <w:r w:rsidRPr="00592454">
      <w:rPr>
        <w:rStyle w:val="HideTWBExt"/>
      </w:rPr>
      <w:t>&lt;/NoPE&gt;&lt;Version&gt;</w:t>
    </w:r>
    <w:r w:rsidRPr="00592454">
      <w:t>v02-00</w:t>
    </w:r>
    <w:r w:rsidRPr="00592454">
      <w:rPr>
        <w:rStyle w:val="HideTWBExt"/>
      </w:rPr>
      <w:t>&lt;/Version&gt;</w:t>
    </w:r>
    <w:r w:rsidRPr="00592454">
      <w:tab/>
    </w:r>
    <w:r w:rsidRPr="00592454">
      <w:fldChar w:fldCharType="begin"/>
    </w:r>
    <w:r w:rsidRPr="00592454">
      <w:instrText xml:space="preserve"> PAGE  \* MERGEFORMAT </w:instrText>
    </w:r>
    <w:r w:rsidRPr="00592454">
      <w:fldChar w:fldCharType="separate"/>
    </w:r>
    <w:r w:rsidR="00592454" w:rsidRPr="00592454">
      <w:rPr>
        <w:noProof/>
      </w:rPr>
      <w:t>2</w:t>
    </w:r>
    <w:r w:rsidRPr="00592454">
      <w:fldChar w:fldCharType="end"/>
    </w:r>
    <w:r w:rsidRPr="00592454">
      <w:t>/</w:t>
    </w:r>
    <w:r w:rsidR="0080200B">
      <w:fldChar w:fldCharType="begin"/>
    </w:r>
    <w:r w:rsidR="0080200B">
      <w:instrText xml:space="preserve"> NUMPAGES  \* MERGEFORMAT </w:instrText>
    </w:r>
    <w:r w:rsidR="0080200B">
      <w:fldChar w:fldCharType="separate"/>
    </w:r>
    <w:r w:rsidR="00592454" w:rsidRPr="00592454">
      <w:rPr>
        <w:noProof/>
      </w:rPr>
      <w:t>4</w:t>
    </w:r>
    <w:r w:rsidR="0080200B">
      <w:rPr>
        <w:noProof/>
      </w:rPr>
      <w:fldChar w:fldCharType="end"/>
    </w:r>
    <w:r w:rsidRPr="00592454">
      <w:tab/>
    </w:r>
    <w:r w:rsidRPr="00592454">
      <w:rPr>
        <w:rStyle w:val="HideTWBExt"/>
      </w:rPr>
      <w:t>&lt;PathFdR&gt;</w:t>
    </w:r>
    <w:r w:rsidRPr="00592454">
      <w:t>RR\1298731HR.docx</w:t>
    </w:r>
    <w:r w:rsidRPr="00592454">
      <w:rPr>
        <w:rStyle w:val="HideTWBExt"/>
      </w:rPr>
      <w:t>&lt;/PathFdR&gt;</w:t>
    </w:r>
  </w:p>
  <w:p w:rsidR="00A21F20" w:rsidRPr="00592454" w:rsidRDefault="00A21F20" w:rsidP="00F90A80">
    <w:pPr>
      <w:pStyle w:val="EPFooter2"/>
    </w:pPr>
    <w:r w:rsidRPr="00592454">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F20" w:rsidRPr="00592454" w:rsidRDefault="00A21F20" w:rsidP="00F90A80">
    <w:pPr>
      <w:pStyle w:val="EPFooter"/>
    </w:pPr>
    <w:r w:rsidRPr="00592454">
      <w:rPr>
        <w:rStyle w:val="HideTWBExt"/>
      </w:rPr>
      <w:t>&lt;PathFdR&gt;</w:t>
    </w:r>
    <w:r w:rsidRPr="00592454">
      <w:t>RR\1298731HR.docx</w:t>
    </w:r>
    <w:r w:rsidRPr="00592454">
      <w:rPr>
        <w:rStyle w:val="HideTWBExt"/>
      </w:rPr>
      <w:t>&lt;/PathFdR&gt;</w:t>
    </w:r>
    <w:r w:rsidRPr="00592454">
      <w:tab/>
    </w:r>
    <w:r w:rsidRPr="00592454">
      <w:tab/>
      <w:t>PE</w:t>
    </w:r>
    <w:r w:rsidRPr="00592454">
      <w:rPr>
        <w:rStyle w:val="HideTWBExt"/>
      </w:rPr>
      <w:t>&lt;NoPE&gt;</w:t>
    </w:r>
    <w:r w:rsidRPr="00592454">
      <w:t>753.528</w:t>
    </w:r>
    <w:r w:rsidRPr="00592454">
      <w:rPr>
        <w:rStyle w:val="HideTWBExt"/>
      </w:rPr>
      <w:t>&lt;/NoPE&gt;&lt;Version&gt;</w:t>
    </w:r>
    <w:r w:rsidRPr="00592454">
      <w:t>v02-00</w:t>
    </w:r>
    <w:r w:rsidRPr="00592454">
      <w:rPr>
        <w:rStyle w:val="HideTWBExt"/>
      </w:rPr>
      <w:t>&lt;/Version&gt;</w:t>
    </w:r>
  </w:p>
  <w:p w:rsidR="00A21F20" w:rsidRPr="00592454" w:rsidRDefault="00A21F20" w:rsidP="00F90A80">
    <w:pPr>
      <w:pStyle w:val="EPFooter2"/>
    </w:pPr>
    <w:r w:rsidRPr="00592454">
      <w:t>HR</w:t>
    </w:r>
    <w:r w:rsidRPr="00592454">
      <w:tab/>
    </w:r>
    <w:r w:rsidRPr="00592454">
      <w:rPr>
        <w:b w:val="0"/>
        <w:i/>
        <w:color w:val="C0C0C0"/>
        <w:sz w:val="22"/>
      </w:rPr>
      <w:t>Ujedinjena u raznolikosti</w:t>
    </w:r>
    <w:r w:rsidRPr="00592454">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245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245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24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41C" w:rsidRPr="00592454" w:rsidRDefault="00B8341C">
      <w:r w:rsidRPr="00592454">
        <w:separator/>
      </w:r>
    </w:p>
  </w:footnote>
  <w:footnote w:type="continuationSeparator" w:id="0">
    <w:p w:rsidR="00B8341C" w:rsidRPr="00592454" w:rsidRDefault="00B8341C">
      <w:r w:rsidRPr="00592454">
        <w:continuationSeparator/>
      </w:r>
    </w:p>
  </w:footnote>
  <w:footnote w:id="1">
    <w:p w:rsidR="00A21F20" w:rsidRPr="00592454" w:rsidRDefault="00A21F20" w:rsidP="00592454">
      <w:pPr>
        <w:pStyle w:val="FootnoteText"/>
        <w:ind w:left="567" w:hanging="567"/>
        <w:rPr>
          <w:sz w:val="24"/>
          <w:lang w:val="hr-HR"/>
        </w:rPr>
      </w:pPr>
      <w:r w:rsidRPr="00592454">
        <w:rPr>
          <w:rStyle w:val="FootnoteReference"/>
          <w:sz w:val="24"/>
          <w:lang w:val="hr-HR"/>
        </w:rPr>
        <w:footnoteRef/>
      </w:r>
      <w:r w:rsidR="00592454" w:rsidRPr="00592454">
        <w:rPr>
          <w:sz w:val="24"/>
          <w:lang w:val="hr-HR"/>
        </w:rPr>
        <w:t xml:space="preserve"> </w:t>
      </w:r>
      <w:r w:rsidR="00592454" w:rsidRPr="00592454">
        <w:rPr>
          <w:sz w:val="24"/>
          <w:lang w:val="hr-HR"/>
        </w:rPr>
        <w:tab/>
      </w:r>
      <w:r w:rsidRPr="00592454">
        <w:rPr>
          <w:sz w:val="24"/>
          <w:lang w:val="hr-HR"/>
        </w:rPr>
        <w:t>SL C</w:t>
      </w:r>
      <w:r w:rsidR="0080200B">
        <w:rPr>
          <w:sz w:val="24"/>
          <w:lang w:val="hr-HR"/>
        </w:rPr>
        <w:t>,</w:t>
      </w:r>
      <w:r w:rsidRPr="00592454">
        <w:rPr>
          <w:sz w:val="24"/>
          <w:lang w:val="hr-HR"/>
        </w:rPr>
        <w:t xml:space="preserve"> C/2023/594, 27.10.2023.</w:t>
      </w:r>
    </w:p>
  </w:footnote>
  <w:footnote w:id="2">
    <w:p w:rsidR="00A21F20" w:rsidRPr="00592454" w:rsidRDefault="00A21F20" w:rsidP="00592454">
      <w:pPr>
        <w:pStyle w:val="FootnoteText"/>
        <w:ind w:left="567" w:hanging="567"/>
        <w:rPr>
          <w:sz w:val="24"/>
          <w:lang w:val="hr-HR"/>
        </w:rPr>
      </w:pPr>
      <w:r w:rsidRPr="00592454">
        <w:rPr>
          <w:rStyle w:val="FootnoteReference"/>
          <w:sz w:val="24"/>
          <w:lang w:val="hr-HR"/>
        </w:rPr>
        <w:footnoteRef/>
      </w:r>
      <w:r w:rsidR="00592454" w:rsidRPr="00592454">
        <w:rPr>
          <w:sz w:val="24"/>
          <w:lang w:val="hr-HR"/>
        </w:rPr>
        <w:t xml:space="preserve"> </w:t>
      </w:r>
      <w:r w:rsidR="00592454" w:rsidRPr="00592454">
        <w:rPr>
          <w:sz w:val="24"/>
          <w:lang w:val="hr-HR"/>
        </w:rPr>
        <w:tab/>
      </w:r>
      <w:r w:rsidRPr="00592454">
        <w:rPr>
          <w:sz w:val="24"/>
          <w:lang w:val="hr-HR"/>
        </w:rPr>
        <w:t>SL C</w:t>
      </w:r>
      <w:r w:rsidR="0080200B">
        <w:rPr>
          <w:sz w:val="24"/>
          <w:lang w:val="hr-HR"/>
        </w:rPr>
        <w:t>,</w:t>
      </w:r>
      <w:r w:rsidRPr="00592454">
        <w:rPr>
          <w:sz w:val="24"/>
          <w:lang w:val="hr-HR"/>
        </w:rPr>
        <w:t xml:space="preserve"> C/2023/112, 12.10.2023.</w:t>
      </w:r>
    </w:p>
  </w:footnote>
  <w:footnote w:id="3">
    <w:p w:rsidR="00A21F20" w:rsidRPr="00592454" w:rsidRDefault="00A21F20" w:rsidP="00592454">
      <w:pPr>
        <w:pStyle w:val="FootnoteText"/>
        <w:ind w:left="567" w:hanging="567"/>
        <w:rPr>
          <w:sz w:val="24"/>
          <w:lang w:val="hr-HR"/>
        </w:rPr>
      </w:pPr>
      <w:r w:rsidRPr="00592454">
        <w:rPr>
          <w:rStyle w:val="FootnoteReference"/>
          <w:sz w:val="24"/>
          <w:lang w:val="hr-HR"/>
        </w:rPr>
        <w:footnoteRef/>
      </w:r>
      <w:r w:rsidR="00592454" w:rsidRPr="00592454">
        <w:rPr>
          <w:sz w:val="24"/>
          <w:lang w:val="hr-HR"/>
        </w:rPr>
        <w:t xml:space="preserve"> </w:t>
      </w:r>
      <w:r w:rsidR="00592454" w:rsidRPr="00592454">
        <w:rPr>
          <w:sz w:val="24"/>
          <w:lang w:val="hr-HR"/>
        </w:rPr>
        <w:tab/>
      </w:r>
      <w:r w:rsidRPr="00592454">
        <w:rPr>
          <w:sz w:val="24"/>
          <w:lang w:val="hr-HR"/>
        </w:rPr>
        <w:t>SL L 193, 30.7.2018., str. 1.</w:t>
      </w:r>
    </w:p>
  </w:footnote>
  <w:footnote w:id="4">
    <w:p w:rsidR="00A21F20" w:rsidRPr="00592454" w:rsidRDefault="00A21F20" w:rsidP="00592454">
      <w:pPr>
        <w:pStyle w:val="FootnoteText"/>
        <w:ind w:left="567" w:hanging="567"/>
        <w:rPr>
          <w:sz w:val="24"/>
          <w:lang w:val="hr-HR"/>
        </w:rPr>
      </w:pPr>
      <w:r w:rsidRPr="00592454">
        <w:rPr>
          <w:rStyle w:val="FootnoteReference"/>
          <w:sz w:val="24"/>
          <w:lang w:val="hr-HR"/>
        </w:rPr>
        <w:footnoteRef/>
      </w:r>
      <w:r w:rsidR="00592454" w:rsidRPr="00592454">
        <w:rPr>
          <w:sz w:val="24"/>
          <w:lang w:val="hr-HR"/>
        </w:rPr>
        <w:t xml:space="preserve"> </w:t>
      </w:r>
      <w:r w:rsidR="00592454" w:rsidRPr="00592454">
        <w:rPr>
          <w:sz w:val="24"/>
          <w:lang w:val="hr-HR"/>
        </w:rPr>
        <w:tab/>
      </w:r>
      <w:r w:rsidRPr="00592454">
        <w:rPr>
          <w:sz w:val="24"/>
          <w:lang w:val="hr-HR"/>
        </w:rPr>
        <w:t>SL L 138, 26.5.2016., str. 1.</w:t>
      </w:r>
    </w:p>
  </w:footnote>
  <w:footnote w:id="5">
    <w:p w:rsidR="00A21F20" w:rsidRPr="00592454" w:rsidRDefault="00A21F20" w:rsidP="00592454">
      <w:pPr>
        <w:pStyle w:val="FootnoteText"/>
        <w:ind w:left="567" w:hanging="567"/>
        <w:rPr>
          <w:sz w:val="24"/>
          <w:lang w:val="hr-HR"/>
        </w:rPr>
      </w:pPr>
      <w:r w:rsidRPr="00592454">
        <w:rPr>
          <w:rStyle w:val="FootnoteReference"/>
          <w:sz w:val="24"/>
          <w:lang w:val="hr-HR"/>
        </w:rPr>
        <w:footnoteRef/>
      </w:r>
      <w:r w:rsidR="00592454" w:rsidRPr="00592454">
        <w:rPr>
          <w:sz w:val="24"/>
          <w:lang w:val="hr-HR"/>
        </w:rPr>
        <w:t xml:space="preserve"> </w:t>
      </w:r>
      <w:r w:rsidR="00592454" w:rsidRPr="00592454">
        <w:rPr>
          <w:sz w:val="24"/>
          <w:lang w:val="hr-HR"/>
        </w:rPr>
        <w:tab/>
      </w:r>
      <w:r w:rsidRPr="00592454">
        <w:rPr>
          <w:sz w:val="24"/>
          <w:lang w:val="hr-HR"/>
        </w:rPr>
        <w:t>SL L 122, 10.5.2019., str. 1.</w:t>
      </w:r>
    </w:p>
  </w:footnote>
  <w:footnote w:id="6">
    <w:p w:rsidR="00A21F20" w:rsidRPr="00592454" w:rsidRDefault="00A21F20" w:rsidP="00592454">
      <w:pPr>
        <w:pStyle w:val="FootnoteText"/>
        <w:ind w:left="567" w:hanging="567"/>
        <w:rPr>
          <w:sz w:val="24"/>
          <w:lang w:val="hr-HR"/>
        </w:rPr>
      </w:pPr>
      <w:r w:rsidRPr="00592454">
        <w:rPr>
          <w:rStyle w:val="FootnoteReference"/>
          <w:sz w:val="24"/>
          <w:lang w:val="hr-HR"/>
        </w:rPr>
        <w:footnoteRef/>
      </w:r>
      <w:r w:rsidR="00592454" w:rsidRPr="00592454">
        <w:rPr>
          <w:sz w:val="24"/>
          <w:lang w:val="hr-HR"/>
        </w:rPr>
        <w:t xml:space="preserve"> </w:t>
      </w:r>
      <w:r w:rsidR="00592454" w:rsidRPr="00592454">
        <w:rPr>
          <w:sz w:val="24"/>
          <w:lang w:val="hr-HR"/>
        </w:rPr>
        <w:tab/>
      </w:r>
      <w:r w:rsidRPr="00592454">
        <w:rPr>
          <w:sz w:val="24"/>
          <w:lang w:val="hr-HR"/>
        </w:rPr>
        <w:t>SL C</w:t>
      </w:r>
      <w:r w:rsidR="0080200B">
        <w:rPr>
          <w:sz w:val="24"/>
          <w:lang w:val="hr-HR"/>
        </w:rPr>
        <w:t>,</w:t>
      </w:r>
      <w:r w:rsidRPr="00592454">
        <w:rPr>
          <w:sz w:val="24"/>
          <w:lang w:val="hr-HR"/>
        </w:rPr>
        <w:t xml:space="preserve"> C/2023/594, 27.10.2023.</w:t>
      </w:r>
    </w:p>
  </w:footnote>
  <w:footnote w:id="7">
    <w:p w:rsidR="00A21F20" w:rsidRPr="00592454" w:rsidRDefault="00A21F20" w:rsidP="00592454">
      <w:pPr>
        <w:pStyle w:val="FootnoteText"/>
        <w:ind w:left="567" w:hanging="567"/>
        <w:rPr>
          <w:sz w:val="24"/>
          <w:lang w:val="hr-HR"/>
        </w:rPr>
      </w:pPr>
      <w:r w:rsidRPr="00592454">
        <w:rPr>
          <w:rStyle w:val="FootnoteReference"/>
          <w:sz w:val="24"/>
          <w:lang w:val="hr-HR"/>
        </w:rPr>
        <w:footnoteRef/>
      </w:r>
      <w:r w:rsidR="00592454" w:rsidRPr="00592454">
        <w:rPr>
          <w:sz w:val="24"/>
          <w:lang w:val="hr-HR"/>
        </w:rPr>
        <w:t xml:space="preserve"> </w:t>
      </w:r>
      <w:r w:rsidR="00592454" w:rsidRPr="00592454">
        <w:rPr>
          <w:sz w:val="24"/>
          <w:lang w:val="hr-HR"/>
        </w:rPr>
        <w:tab/>
      </w:r>
      <w:r w:rsidRPr="00592454">
        <w:rPr>
          <w:sz w:val="24"/>
          <w:lang w:val="hr-HR"/>
        </w:rPr>
        <w:t xml:space="preserve">SL </w:t>
      </w:r>
      <w:r w:rsidRPr="00592454">
        <w:rPr>
          <w:sz w:val="24"/>
          <w:lang w:val="hr-HR"/>
        </w:rPr>
        <w:t>C</w:t>
      </w:r>
      <w:r w:rsidR="0080200B">
        <w:rPr>
          <w:sz w:val="24"/>
          <w:lang w:val="hr-HR"/>
        </w:rPr>
        <w:t>,</w:t>
      </w:r>
      <w:bookmarkStart w:id="9" w:name="_GoBack"/>
      <w:bookmarkEnd w:id="9"/>
      <w:r w:rsidRPr="00592454">
        <w:rPr>
          <w:sz w:val="24"/>
          <w:lang w:val="hr-HR"/>
        </w:rPr>
        <w:t xml:space="preserve"> C/2023/112, 12.10.2023.</w:t>
      </w:r>
    </w:p>
  </w:footnote>
  <w:footnote w:id="8">
    <w:p w:rsidR="00A21F20" w:rsidRPr="00592454" w:rsidRDefault="00A21F20" w:rsidP="00592454">
      <w:pPr>
        <w:pStyle w:val="FootnoteText"/>
        <w:ind w:left="567" w:hanging="567"/>
        <w:rPr>
          <w:sz w:val="24"/>
          <w:lang w:val="hr-HR"/>
        </w:rPr>
      </w:pPr>
      <w:r w:rsidRPr="00592454">
        <w:rPr>
          <w:rStyle w:val="FootnoteReference"/>
          <w:sz w:val="24"/>
          <w:lang w:val="hr-HR"/>
        </w:rPr>
        <w:footnoteRef/>
      </w:r>
      <w:r w:rsidR="00592454" w:rsidRPr="00592454">
        <w:rPr>
          <w:sz w:val="24"/>
          <w:lang w:val="hr-HR"/>
        </w:rPr>
        <w:t xml:space="preserve"> </w:t>
      </w:r>
      <w:r w:rsidR="00592454" w:rsidRPr="00592454">
        <w:rPr>
          <w:sz w:val="24"/>
          <w:lang w:val="hr-HR"/>
        </w:rPr>
        <w:tab/>
      </w:r>
      <w:r w:rsidRPr="00592454">
        <w:rPr>
          <w:sz w:val="24"/>
          <w:lang w:val="hr-HR"/>
        </w:rPr>
        <w:t>SL L 193, 30.7.2018., str. 1.</w:t>
      </w:r>
    </w:p>
  </w:footnote>
  <w:footnote w:id="9">
    <w:p w:rsidR="00A21F20" w:rsidRPr="00592454" w:rsidRDefault="00A21F20" w:rsidP="00592454">
      <w:pPr>
        <w:pStyle w:val="FootnoteText"/>
        <w:ind w:left="567" w:hanging="567"/>
        <w:rPr>
          <w:sz w:val="24"/>
          <w:lang w:val="hr-HR"/>
        </w:rPr>
      </w:pPr>
      <w:r w:rsidRPr="00592454">
        <w:rPr>
          <w:rStyle w:val="FootnoteReference"/>
          <w:sz w:val="24"/>
          <w:lang w:val="hr-HR"/>
        </w:rPr>
        <w:footnoteRef/>
      </w:r>
      <w:r w:rsidR="00592454" w:rsidRPr="00592454">
        <w:rPr>
          <w:sz w:val="24"/>
          <w:lang w:val="hr-HR"/>
        </w:rPr>
        <w:t xml:space="preserve"> </w:t>
      </w:r>
      <w:r w:rsidR="00592454" w:rsidRPr="00592454">
        <w:rPr>
          <w:sz w:val="24"/>
          <w:lang w:val="hr-HR"/>
        </w:rPr>
        <w:tab/>
      </w:r>
      <w:r w:rsidRPr="00592454">
        <w:rPr>
          <w:sz w:val="24"/>
          <w:lang w:val="hr-HR"/>
        </w:rPr>
        <w:t>SL L 138, 26.5.2016., str. 1.</w:t>
      </w:r>
    </w:p>
  </w:footnote>
  <w:footnote w:id="10">
    <w:p w:rsidR="00A21F20" w:rsidRPr="00592454" w:rsidRDefault="00A21F20" w:rsidP="00592454">
      <w:pPr>
        <w:pStyle w:val="FootnoteText"/>
        <w:ind w:left="567" w:hanging="567"/>
        <w:rPr>
          <w:sz w:val="24"/>
          <w:lang w:val="hr-HR"/>
        </w:rPr>
      </w:pPr>
      <w:r w:rsidRPr="00592454">
        <w:rPr>
          <w:rStyle w:val="FootnoteReference"/>
          <w:sz w:val="24"/>
          <w:lang w:val="hr-HR"/>
        </w:rPr>
        <w:footnoteRef/>
      </w:r>
      <w:r w:rsidR="00592454" w:rsidRPr="00592454">
        <w:rPr>
          <w:sz w:val="24"/>
          <w:lang w:val="hr-HR"/>
        </w:rPr>
        <w:t xml:space="preserve"> </w:t>
      </w:r>
      <w:r w:rsidR="00592454" w:rsidRPr="00592454">
        <w:rPr>
          <w:sz w:val="24"/>
          <w:lang w:val="hr-HR"/>
        </w:rPr>
        <w:tab/>
      </w:r>
      <w:r w:rsidRPr="00592454">
        <w:rPr>
          <w:sz w:val="24"/>
          <w:lang w:val="hr-HR"/>
        </w:rPr>
        <w:t>SL L 122, 10.5.2019., str. 1.</w:t>
      </w:r>
    </w:p>
  </w:footnote>
  <w:footnote w:id="11">
    <w:p w:rsidR="00A21F20" w:rsidRPr="00592454" w:rsidRDefault="00A21F20" w:rsidP="00592454">
      <w:pPr>
        <w:pStyle w:val="FootnoteText"/>
        <w:ind w:left="567" w:hanging="567"/>
        <w:rPr>
          <w:sz w:val="24"/>
          <w:lang w:val="hr-HR"/>
        </w:rPr>
      </w:pPr>
      <w:r w:rsidRPr="00592454">
        <w:rPr>
          <w:rStyle w:val="FootnoteReference"/>
          <w:sz w:val="24"/>
          <w:lang w:val="hr-HR"/>
        </w:rPr>
        <w:footnoteRef/>
      </w:r>
      <w:r w:rsidR="00592454" w:rsidRPr="00592454">
        <w:rPr>
          <w:sz w:val="24"/>
          <w:lang w:val="hr-HR"/>
        </w:rPr>
        <w:t xml:space="preserve"> </w:t>
      </w:r>
      <w:r w:rsidR="00592454" w:rsidRPr="00592454">
        <w:rPr>
          <w:sz w:val="24"/>
          <w:lang w:val="hr-HR"/>
        </w:rPr>
        <w:tab/>
      </w:r>
      <w:r w:rsidR="001A2E9C">
        <w:rPr>
          <w:sz w:val="24"/>
          <w:lang w:val="hr-HR"/>
        </w:rPr>
        <w:t>SL C 38, 31.1</w:t>
      </w:r>
      <w:r w:rsidRPr="00592454">
        <w:rPr>
          <w:sz w:val="24"/>
          <w:lang w:val="hr-HR"/>
        </w:rPr>
        <w:t>.2023., str. 51.</w:t>
      </w:r>
    </w:p>
  </w:footnote>
  <w:footnote w:id="12">
    <w:p w:rsidR="00A21F20" w:rsidRPr="00592454" w:rsidRDefault="00A21F20" w:rsidP="00592454">
      <w:pPr>
        <w:pStyle w:val="FootnoteText"/>
        <w:ind w:left="567" w:hanging="567"/>
        <w:rPr>
          <w:sz w:val="24"/>
          <w:lang w:val="hr-HR"/>
        </w:rPr>
      </w:pPr>
      <w:r w:rsidRPr="00592454">
        <w:rPr>
          <w:rStyle w:val="FootnoteReference"/>
          <w:sz w:val="24"/>
          <w:lang w:val="hr-HR"/>
        </w:rPr>
        <w:footnoteRef/>
      </w:r>
      <w:r w:rsidR="00592454" w:rsidRPr="00592454">
        <w:rPr>
          <w:sz w:val="24"/>
          <w:lang w:val="hr-HR"/>
        </w:rPr>
        <w:t xml:space="preserve"> </w:t>
      </w:r>
      <w:r w:rsidR="00592454" w:rsidRPr="00592454">
        <w:rPr>
          <w:sz w:val="24"/>
          <w:lang w:val="hr-HR"/>
        </w:rPr>
        <w:tab/>
      </w:r>
      <w:r w:rsidRPr="00592454">
        <w:rPr>
          <w:sz w:val="24"/>
          <w:lang w:val="hr-HR"/>
        </w:rPr>
        <w:t>Us</w:t>
      </w:r>
      <w:r w:rsidR="00394CFB">
        <w:rPr>
          <w:sz w:val="24"/>
          <w:lang w:val="hr-HR"/>
        </w:rPr>
        <w:t>vojeni tekstovi, P9_TA(2024)0280</w:t>
      </w:r>
      <w:r w:rsidRPr="00592454">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245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245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24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HR"/>
    <w:docVar w:name="dvnumam" w:val="0"/>
    <w:docVar w:name="dvpe" w:val="753.528"/>
    <w:docVar w:name="dvrapporteur" w:val="Izvjestitelj: "/>
    <w:docVar w:name="dvtitre" w:val="Odluka Europskog parlamenta od .... 2024. o razrješnici za izvršenje proračuna Agencije Europske unije za željeznice za financijsku godinu 2022.(2023/2160(DEC))"/>
  </w:docVars>
  <w:rsids>
    <w:rsidRoot w:val="00B8341C"/>
    <w:rsid w:val="00002272"/>
    <w:rsid w:val="00064002"/>
    <w:rsid w:val="000677B9"/>
    <w:rsid w:val="000831BA"/>
    <w:rsid w:val="000A42CC"/>
    <w:rsid w:val="000E7DD9"/>
    <w:rsid w:val="0010095E"/>
    <w:rsid w:val="00125B37"/>
    <w:rsid w:val="00187494"/>
    <w:rsid w:val="001A2E9C"/>
    <w:rsid w:val="001F32AE"/>
    <w:rsid w:val="0026643E"/>
    <w:rsid w:val="002767FF"/>
    <w:rsid w:val="002B18FE"/>
    <w:rsid w:val="002B5493"/>
    <w:rsid w:val="00343214"/>
    <w:rsid w:val="00361C00"/>
    <w:rsid w:val="00372729"/>
    <w:rsid w:val="00394CFB"/>
    <w:rsid w:val="00395FA1"/>
    <w:rsid w:val="003E15D4"/>
    <w:rsid w:val="00411CCE"/>
    <w:rsid w:val="0041666E"/>
    <w:rsid w:val="00421060"/>
    <w:rsid w:val="00456632"/>
    <w:rsid w:val="00471C19"/>
    <w:rsid w:val="004867E3"/>
    <w:rsid w:val="00494A28"/>
    <w:rsid w:val="004C0004"/>
    <w:rsid w:val="004C5D52"/>
    <w:rsid w:val="0050519A"/>
    <w:rsid w:val="005072A1"/>
    <w:rsid w:val="00514517"/>
    <w:rsid w:val="00545827"/>
    <w:rsid w:val="00560270"/>
    <w:rsid w:val="00592454"/>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200B"/>
    <w:rsid w:val="00817416"/>
    <w:rsid w:val="00842779"/>
    <w:rsid w:val="00865F67"/>
    <w:rsid w:val="00881A7B"/>
    <w:rsid w:val="008840E5"/>
    <w:rsid w:val="00887B3E"/>
    <w:rsid w:val="008C2AC6"/>
    <w:rsid w:val="00930C23"/>
    <w:rsid w:val="0093193B"/>
    <w:rsid w:val="009509D8"/>
    <w:rsid w:val="00950B64"/>
    <w:rsid w:val="00981893"/>
    <w:rsid w:val="00A1687D"/>
    <w:rsid w:val="00A21F20"/>
    <w:rsid w:val="00A43E52"/>
    <w:rsid w:val="00A4678D"/>
    <w:rsid w:val="00A559F4"/>
    <w:rsid w:val="00A778C7"/>
    <w:rsid w:val="00AB441E"/>
    <w:rsid w:val="00AB6293"/>
    <w:rsid w:val="00AE0928"/>
    <w:rsid w:val="00AF3B82"/>
    <w:rsid w:val="00B12E95"/>
    <w:rsid w:val="00B22876"/>
    <w:rsid w:val="00B558F0"/>
    <w:rsid w:val="00B8341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343A39"/>
  <w15:chartTrackingRefBased/>
  <w15:docId w15:val="{FFBED494-514B-4DFC-9473-3EFB5F719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21F2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21F20"/>
    <w:pPr>
      <w:spacing w:before="480" w:after="240"/>
    </w:pPr>
  </w:style>
  <w:style w:type="paragraph" w:customStyle="1" w:styleId="PageHeading">
    <w:name w:val="PageHeading"/>
    <w:basedOn w:val="Normal"/>
    <w:rsid w:val="00A21F20"/>
    <w:pPr>
      <w:keepNext/>
      <w:spacing w:after="480"/>
      <w:jc w:val="center"/>
    </w:pPr>
    <w:rPr>
      <w:rFonts w:ascii="Arial" w:hAnsi="Arial" w:cs="Arial"/>
      <w:b/>
    </w:rPr>
  </w:style>
  <w:style w:type="paragraph" w:customStyle="1" w:styleId="NormalBold">
    <w:name w:val="NormalBold"/>
    <w:basedOn w:val="Normal"/>
    <w:rsid w:val="00A21F20"/>
    <w:rPr>
      <w:b/>
    </w:rPr>
  </w:style>
  <w:style w:type="paragraph" w:customStyle="1" w:styleId="NormalHanging12a">
    <w:name w:val="NormalHanging12a"/>
    <w:basedOn w:val="Normal"/>
    <w:link w:val="NormalHanging12aChar"/>
    <w:rsid w:val="00A21F20"/>
    <w:pPr>
      <w:spacing w:after="240"/>
      <w:ind w:left="567" w:hanging="567"/>
    </w:pPr>
  </w:style>
  <w:style w:type="paragraph" w:customStyle="1" w:styleId="NormalCenter12a">
    <w:name w:val="NormalCenter12a"/>
    <w:basedOn w:val="Normal"/>
    <w:rsid w:val="00A21F20"/>
    <w:pPr>
      <w:spacing w:after="240"/>
      <w:jc w:val="center"/>
    </w:pPr>
  </w:style>
  <w:style w:type="paragraph" w:styleId="Header">
    <w:name w:val="header"/>
    <w:basedOn w:val="Normal"/>
    <w:link w:val="HeaderChar"/>
    <w:rsid w:val="00A21F20"/>
    <w:pPr>
      <w:tabs>
        <w:tab w:val="center" w:pos="4513"/>
        <w:tab w:val="right" w:pos="9026"/>
      </w:tabs>
    </w:pPr>
  </w:style>
  <w:style w:type="character" w:customStyle="1" w:styleId="HeaderChar">
    <w:name w:val="Header Char"/>
    <w:basedOn w:val="DefaultParagraphFont"/>
    <w:link w:val="Header"/>
    <w:rsid w:val="00A21F20"/>
    <w:rPr>
      <w:sz w:val="24"/>
      <w:lang w:val="hr-HR"/>
    </w:rPr>
  </w:style>
  <w:style w:type="paragraph" w:customStyle="1" w:styleId="EPFooter">
    <w:name w:val="EPFooter"/>
    <w:basedOn w:val="Normal"/>
    <w:rsid w:val="00A21F2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A21F20"/>
    <w:rPr>
      <w:sz w:val="24"/>
      <w:lang w:val="hr-HR"/>
    </w:rPr>
  </w:style>
  <w:style w:type="paragraph" w:styleId="Footer">
    <w:name w:val="footer"/>
    <w:basedOn w:val="Normal"/>
    <w:link w:val="FooterChar"/>
    <w:rsid w:val="0026643E"/>
    <w:pPr>
      <w:tabs>
        <w:tab w:val="center" w:pos="4513"/>
        <w:tab w:val="right" w:pos="9026"/>
      </w:tabs>
    </w:pPr>
  </w:style>
  <w:style w:type="character" w:customStyle="1" w:styleId="FooterChar">
    <w:name w:val="Footer Char"/>
    <w:basedOn w:val="DefaultParagraphFont"/>
    <w:link w:val="Footer"/>
    <w:rsid w:val="0026643E"/>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BBBE2-D304-495A-8F5D-618052FC7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4645</Words>
  <Characters>28336</Characters>
  <Application>Microsoft Office Word</Application>
  <DocSecurity>0</DocSecurity>
  <Lines>236</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Karina Pesa</cp:lastModifiedBy>
  <cp:revision>3</cp:revision>
  <cp:lastPrinted>2004-11-19T15:42:00Z</cp:lastPrinted>
  <dcterms:created xsi:type="dcterms:W3CDTF">2024-05-23T12:30:00Z</dcterms:created>
  <dcterms:modified xsi:type="dcterms:W3CDTF">2024-10-30T16:24:00Z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P9_TA(2024)0253_</vt:lpwstr>
  </property>
  <property fmtid="{D5CDD505-2E9C-101B-9397-08002B2CF9AE}" pid="4" name="&lt;Type&gt;">
    <vt:lpwstr>RR</vt:lpwstr>
  </property>
</Properties>
</file>