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606D" w:rsidTr="0010095E">
        <w:trPr>
          <w:trHeight w:hRule="exact" w:val="1418"/>
        </w:trPr>
        <w:tc>
          <w:tcPr>
            <w:tcW w:w="6804" w:type="dxa"/>
            <w:shd w:val="clear" w:color="auto" w:fill="auto"/>
            <w:vAlign w:val="center"/>
          </w:tcPr>
          <w:p w:rsidR="00751A4A" w:rsidRPr="00F0606D" w:rsidRDefault="0083601B" w:rsidP="0010095E">
            <w:pPr>
              <w:pStyle w:val="EPName"/>
            </w:pPr>
            <w:r w:rsidRPr="00F0606D">
              <w:t>Europos Parlamentas</w:t>
            </w:r>
          </w:p>
          <w:p w:rsidR="00751A4A" w:rsidRPr="00F0606D" w:rsidRDefault="00817416" w:rsidP="00756632">
            <w:pPr>
              <w:pStyle w:val="EPTerm"/>
              <w:rPr>
                <w:rStyle w:val="HideTWBExt"/>
                <w:noProof w:val="0"/>
                <w:vanish w:val="0"/>
                <w:color w:val="auto"/>
              </w:rPr>
            </w:pPr>
            <w:r w:rsidRPr="00F0606D">
              <w:t>2019-2024</w:t>
            </w:r>
          </w:p>
        </w:tc>
        <w:tc>
          <w:tcPr>
            <w:tcW w:w="2268" w:type="dxa"/>
            <w:shd w:val="clear" w:color="auto" w:fill="auto"/>
          </w:tcPr>
          <w:p w:rsidR="00751A4A" w:rsidRPr="00F0606D" w:rsidRDefault="00187494" w:rsidP="0010095E">
            <w:pPr>
              <w:pStyle w:val="EPLogo"/>
            </w:pPr>
            <w:r w:rsidRPr="00F0606D">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606D" w:rsidRDefault="00D058B8" w:rsidP="004C5D52">
      <w:pPr>
        <w:pStyle w:val="LineTop"/>
      </w:pPr>
    </w:p>
    <w:p w:rsidR="00680577" w:rsidRPr="00F0606D" w:rsidRDefault="0083601B" w:rsidP="00680577">
      <w:pPr>
        <w:pStyle w:val="EPBodyTA1"/>
      </w:pPr>
      <w:r w:rsidRPr="00F0606D">
        <w:t>PRIIMTI TEKSTAI</w:t>
      </w:r>
    </w:p>
    <w:p w:rsidR="00D058B8" w:rsidRPr="00F0606D" w:rsidRDefault="00D058B8" w:rsidP="00D058B8">
      <w:pPr>
        <w:pStyle w:val="LineBottom"/>
      </w:pPr>
    </w:p>
    <w:p w:rsidR="0083601B" w:rsidRPr="00F0606D" w:rsidRDefault="0083601B" w:rsidP="0083601B">
      <w:pPr>
        <w:pStyle w:val="ATHeading1"/>
      </w:pPr>
      <w:bookmarkStart w:id="0" w:name="TANumber"/>
      <w:r w:rsidRPr="00F0606D">
        <w:t>P9_TA(2024)0</w:t>
      </w:r>
      <w:r w:rsidR="00F12F76">
        <w:t>253</w:t>
      </w:r>
      <w:bookmarkEnd w:id="0"/>
    </w:p>
    <w:p w:rsidR="0083601B" w:rsidRPr="00F0606D" w:rsidRDefault="0083601B" w:rsidP="0083601B">
      <w:pPr>
        <w:pStyle w:val="ATHeading2"/>
      </w:pPr>
      <w:bookmarkStart w:id="1" w:name="title"/>
      <w:r w:rsidRPr="00F0606D">
        <w:t>2022 m. biudžeto įvykdymo patvirtinimas: Europos Sąjungos geležinkelių agentūra</w:t>
      </w:r>
      <w:bookmarkEnd w:id="1"/>
    </w:p>
    <w:p w:rsidR="0083601B" w:rsidRPr="00F0606D" w:rsidRDefault="0083601B" w:rsidP="0083601B">
      <w:pPr>
        <w:rPr>
          <w:i/>
          <w:vanish/>
        </w:rPr>
      </w:pPr>
      <w:r w:rsidRPr="00F0606D">
        <w:rPr>
          <w:i/>
        </w:rPr>
        <w:fldChar w:fldCharType="begin"/>
      </w:r>
      <w:r w:rsidRPr="00F0606D">
        <w:rPr>
          <w:i/>
        </w:rPr>
        <w:instrText xml:space="preserve"> TC"(</w:instrText>
      </w:r>
      <w:bookmarkStart w:id="2" w:name="DocNumber"/>
      <w:r w:rsidRPr="00F0606D">
        <w:rPr>
          <w:i/>
        </w:rPr>
        <w:instrText>A9-0092/2024</w:instrText>
      </w:r>
      <w:bookmarkEnd w:id="2"/>
      <w:r w:rsidRPr="00F0606D">
        <w:rPr>
          <w:i/>
        </w:rPr>
        <w:instrText xml:space="preserve"> - Pranešėjas: </w:instrText>
      </w:r>
      <w:proofErr w:type="spellStart"/>
      <w:r w:rsidRPr="00F0606D">
        <w:rPr>
          <w:i/>
        </w:rPr>
        <w:instrText>Petri</w:instrText>
      </w:r>
      <w:proofErr w:type="spellEnd"/>
      <w:r w:rsidRPr="00F0606D">
        <w:rPr>
          <w:i/>
        </w:rPr>
        <w:instrText xml:space="preserve"> </w:instrText>
      </w:r>
      <w:proofErr w:type="spellStart"/>
      <w:r w:rsidRPr="00F0606D">
        <w:rPr>
          <w:i/>
        </w:rPr>
        <w:instrText>Sarvamaa</w:instrText>
      </w:r>
      <w:proofErr w:type="spellEnd"/>
      <w:r w:rsidRPr="00F0606D">
        <w:rPr>
          <w:i/>
        </w:rPr>
        <w:instrText xml:space="preserve">)"\l3 \n&gt; \* MERGEFORMAT </w:instrText>
      </w:r>
      <w:r w:rsidRPr="00F0606D">
        <w:rPr>
          <w:i/>
        </w:rPr>
        <w:fldChar w:fldCharType="end"/>
      </w:r>
    </w:p>
    <w:p w:rsidR="0083601B" w:rsidRPr="00F0606D" w:rsidRDefault="0083601B" w:rsidP="0083601B">
      <w:pPr>
        <w:rPr>
          <w:vanish/>
        </w:rPr>
      </w:pPr>
      <w:bookmarkStart w:id="3" w:name="Commission"/>
      <w:r w:rsidRPr="00F0606D">
        <w:rPr>
          <w:vanish/>
        </w:rPr>
        <w:t>Biudžeto kontrolės komitetas</w:t>
      </w:r>
      <w:bookmarkEnd w:id="3"/>
    </w:p>
    <w:p w:rsidR="0083601B" w:rsidRPr="00F0606D" w:rsidRDefault="0083601B" w:rsidP="0083601B">
      <w:pPr>
        <w:rPr>
          <w:vanish/>
        </w:rPr>
      </w:pPr>
      <w:bookmarkStart w:id="4" w:name="PE"/>
      <w:r w:rsidRPr="00F0606D">
        <w:rPr>
          <w:vanish/>
        </w:rPr>
        <w:t>PE753.528</w:t>
      </w:r>
      <w:bookmarkEnd w:id="4"/>
    </w:p>
    <w:p w:rsidR="0083601B" w:rsidRPr="00F0606D" w:rsidRDefault="007B039C" w:rsidP="007B039C">
      <w:pPr>
        <w:pStyle w:val="ATHeading3"/>
      </w:pPr>
      <w:bookmarkStart w:id="5" w:name="Sujet"/>
      <w:r>
        <w:t xml:space="preserve">1. 2024 m. balandžio 11 d. </w:t>
      </w:r>
      <w:r w:rsidR="0083601B" w:rsidRPr="00F0606D">
        <w:t>Europos Parlamento sprendimas dėl Europos Sąjungos geležinkelių agentūros 2022 finansinių metų biudžeto įvykdymo patvirtinimo</w:t>
      </w:r>
      <w:bookmarkEnd w:id="5"/>
      <w:r w:rsidR="0083601B" w:rsidRPr="00F0606D">
        <w:t xml:space="preserve"> </w:t>
      </w:r>
      <w:bookmarkStart w:id="6" w:name="References"/>
      <w:r w:rsidR="0083601B" w:rsidRPr="00F0606D">
        <w:t>(2023/2160(DEC))</w:t>
      </w:r>
      <w:bookmarkEnd w:id="6"/>
    </w:p>
    <w:p w:rsidR="000E0536" w:rsidRPr="00F0606D" w:rsidRDefault="000E0536" w:rsidP="000E0536">
      <w:pPr>
        <w:pStyle w:val="EPComma"/>
      </w:pPr>
      <w:bookmarkStart w:id="7" w:name="TextBodyBegin"/>
      <w:bookmarkEnd w:id="7"/>
      <w:r w:rsidRPr="00F0606D">
        <w:rPr>
          <w:i/>
        </w:rPr>
        <w:t>Europos Parlamentas</w:t>
      </w:r>
      <w:r w:rsidRPr="00F0606D">
        <w:t>,</w:t>
      </w:r>
    </w:p>
    <w:p w:rsidR="000E0536" w:rsidRPr="00F0606D" w:rsidRDefault="000E0536" w:rsidP="000E0536">
      <w:pPr>
        <w:pStyle w:val="NormalHanging12a"/>
      </w:pPr>
      <w:r w:rsidRPr="00F0606D">
        <w:t>–</w:t>
      </w:r>
      <w:r w:rsidRPr="00F0606D">
        <w:tab/>
        <w:t>atsižvelgdamas į Europos Sąjungos geležinkelių agentūros 2022 finansinių metų galutines metines ataskaitas,</w:t>
      </w:r>
    </w:p>
    <w:p w:rsidR="000E0536" w:rsidRPr="00F0606D" w:rsidRDefault="000E0536" w:rsidP="000E0536">
      <w:pPr>
        <w:pStyle w:val="NormalHanging12a"/>
      </w:pPr>
      <w:r w:rsidRPr="00F0606D">
        <w:t>–</w:t>
      </w:r>
      <w:r w:rsidRPr="00F0606D">
        <w:tab/>
        <w:t>atsižvelgdamas į Audito Rūmų 2022 finansinių metų metinę ataskaitą dėl ES agentūrų kartu su agentūrų atsakymais</w:t>
      </w:r>
      <w:r w:rsidRPr="00F0606D">
        <w:rPr>
          <w:rStyle w:val="FootnoteReference"/>
        </w:rPr>
        <w:footnoteReference w:id="1"/>
      </w:r>
      <w:r w:rsidRPr="00F0606D">
        <w:t>,</w:t>
      </w:r>
    </w:p>
    <w:p w:rsidR="000E0536" w:rsidRPr="00F0606D" w:rsidRDefault="000E0536" w:rsidP="000E0536">
      <w:pPr>
        <w:pStyle w:val="NormalHanging12a"/>
      </w:pPr>
      <w:r w:rsidRPr="00F0606D">
        <w:t>–</w:t>
      </w:r>
      <w:r w:rsidRPr="00F0606D">
        <w:tab/>
        <w:t>atsižvelgdamas į Audito Rūmų pagal Sutarties dėl Europos Sąjungos veikimo 287 straipsnį pateiktą 2022 finansinių metų sąskaitų patikimumo ir pagal jas atliktų operacijų teisėtumo ir tvarkingumo patikinimo pareiškimą</w:t>
      </w:r>
      <w:r w:rsidRPr="00F0606D">
        <w:rPr>
          <w:rStyle w:val="FootnoteReference"/>
        </w:rPr>
        <w:footnoteReference w:id="2"/>
      </w:r>
      <w:r w:rsidRPr="00F0606D">
        <w:t>,</w:t>
      </w:r>
    </w:p>
    <w:p w:rsidR="000E0536" w:rsidRPr="00F0606D" w:rsidRDefault="000E0536" w:rsidP="000E0536">
      <w:pPr>
        <w:pStyle w:val="NormalHanging12a"/>
      </w:pPr>
      <w:r w:rsidRPr="00F0606D">
        <w:t>–</w:t>
      </w:r>
      <w:r w:rsidRPr="00F0606D">
        <w:tab/>
        <w:t xml:space="preserve">atsižvelgdamas į 2024 m. vasario 22 d. </w:t>
      </w:r>
      <w:r w:rsidR="00930476" w:rsidRPr="00F0606D">
        <w:t xml:space="preserve">Tarybos </w:t>
      </w:r>
      <w:r w:rsidRPr="00F0606D">
        <w:t>rekomendaciją dėl patvirtinimo, kad Agentūra įvykdė 2022 finansinių metų biudžetą (</w:t>
      </w:r>
      <w:r w:rsidR="00CC1EF5">
        <w:t>06180</w:t>
      </w:r>
      <w:r w:rsidRPr="00F0606D">
        <w:t>/2024 – C9</w:t>
      </w:r>
      <w:r w:rsidRPr="00F0606D">
        <w:noBreakHyphen/>
        <w:t>00</w:t>
      </w:r>
      <w:r w:rsidR="00CC1EF5">
        <w:t>98</w:t>
      </w:r>
      <w:r w:rsidRPr="00F0606D">
        <w:t>/2024),</w:t>
      </w:r>
    </w:p>
    <w:p w:rsidR="000E0536" w:rsidRPr="00F0606D" w:rsidRDefault="000E0536" w:rsidP="000E0536">
      <w:pPr>
        <w:pStyle w:val="NormalHanging12a"/>
      </w:pPr>
      <w:r w:rsidRPr="00F0606D">
        <w:t>–</w:t>
      </w:r>
      <w:r w:rsidRPr="00F0606D">
        <w:tab/>
        <w:t>atsižvelgdamas į Sutarties dėl Europos Sąjungos veikimo 319 straipsnį,</w:t>
      </w:r>
    </w:p>
    <w:p w:rsidR="000E0536" w:rsidRPr="00F0606D" w:rsidRDefault="000E0536" w:rsidP="000E0536">
      <w:pPr>
        <w:pStyle w:val="NormalHanging12a"/>
      </w:pPr>
      <w:r w:rsidRPr="00F0606D">
        <w:t>–</w:t>
      </w:r>
      <w:r w:rsidRPr="00F0606D">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0606D">
        <w:rPr>
          <w:rStyle w:val="FootnoteReference"/>
        </w:rPr>
        <w:footnoteReference w:id="3"/>
      </w:r>
      <w:r w:rsidRPr="00F0606D">
        <w:t>, ypač į jo 70 straipsnį,</w:t>
      </w:r>
    </w:p>
    <w:p w:rsidR="000E0536" w:rsidRPr="00F0606D" w:rsidRDefault="000E0536" w:rsidP="000E0536">
      <w:pPr>
        <w:pStyle w:val="NormalHanging12a"/>
      </w:pPr>
      <w:r w:rsidRPr="00F0606D">
        <w:t>–</w:t>
      </w:r>
      <w:r w:rsidRPr="00F0606D">
        <w:tab/>
        <w:t xml:space="preserve">atsižvelgdamas į 2016 m. gegužės 11 d. Europos Parlamento ir Tarybos reglamentą (ES) 2016/796 dėl Europos Sąjungos geležinkelių agentūros ir kuriuo panaikinamas </w:t>
      </w:r>
      <w:r w:rsidRPr="00F0606D">
        <w:lastRenderedPageBreak/>
        <w:t>Reglamentas (EB) Nr. 881/2004</w:t>
      </w:r>
      <w:r w:rsidRPr="00F0606D">
        <w:rPr>
          <w:rStyle w:val="FootnoteReference"/>
        </w:rPr>
        <w:footnoteReference w:id="4"/>
      </w:r>
      <w:r w:rsidRPr="00F0606D">
        <w:t>, ypač į jo 65 straipsnį,</w:t>
      </w:r>
    </w:p>
    <w:p w:rsidR="000E0536" w:rsidRPr="00F0606D" w:rsidRDefault="000E0536" w:rsidP="000E0536">
      <w:pPr>
        <w:pStyle w:val="NormalHanging12a"/>
      </w:pPr>
      <w:r w:rsidRPr="00F0606D">
        <w:t>–</w:t>
      </w:r>
      <w:r w:rsidRPr="00F0606D">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F0606D">
        <w:rPr>
          <w:rStyle w:val="FootnoteReference"/>
        </w:rPr>
        <w:footnoteReference w:id="5"/>
      </w:r>
      <w:r w:rsidRPr="00F0606D">
        <w:t>, ypač į jo 105 straipsnį,</w:t>
      </w:r>
    </w:p>
    <w:p w:rsidR="000E0536" w:rsidRPr="00F0606D" w:rsidRDefault="000E0536" w:rsidP="000E0536">
      <w:pPr>
        <w:pStyle w:val="NormalHanging12a"/>
      </w:pPr>
      <w:r w:rsidRPr="00F0606D">
        <w:t>–</w:t>
      </w:r>
      <w:r w:rsidRPr="00F0606D">
        <w:tab/>
        <w:t>atsižvelgdamas į Darbo tvarkos taisyklių 100 straipsnį ir V priedą,</w:t>
      </w:r>
    </w:p>
    <w:p w:rsidR="000E0536" w:rsidRPr="00F0606D" w:rsidRDefault="000E0536" w:rsidP="000E0536">
      <w:pPr>
        <w:pStyle w:val="NormalHanging12a"/>
      </w:pPr>
      <w:r w:rsidRPr="00F0606D">
        <w:t>–</w:t>
      </w:r>
      <w:r w:rsidRPr="00F0606D">
        <w:tab/>
        <w:t>atsižvelgdamas į Transporto ir turizmo komiteto nuomonę,</w:t>
      </w:r>
    </w:p>
    <w:p w:rsidR="000E0536" w:rsidRPr="00F0606D" w:rsidRDefault="000E0536" w:rsidP="000E0536">
      <w:pPr>
        <w:pStyle w:val="NormalHanging12a"/>
      </w:pPr>
      <w:r w:rsidRPr="00F0606D">
        <w:t>–</w:t>
      </w:r>
      <w:r w:rsidRPr="00F0606D">
        <w:tab/>
        <w:t>atsižvelgdamas į Biudžeto kontrolės komiteto pranešimą (A9-0092/2024),</w:t>
      </w:r>
    </w:p>
    <w:p w:rsidR="000E0536" w:rsidRPr="00F0606D" w:rsidRDefault="000E0536" w:rsidP="000E0536">
      <w:pPr>
        <w:pStyle w:val="NormalHanging12a"/>
      </w:pPr>
      <w:r w:rsidRPr="00F0606D">
        <w:t>1.</w:t>
      </w:r>
      <w:r w:rsidRPr="00F0606D">
        <w:tab/>
        <w:t>patvirtina Europos Sąjungos geležinkelių agentūros vykdomajam direktoriui, kad Agentūros 2022 finansinių metų biudžetas įvykdytas;</w:t>
      </w:r>
    </w:p>
    <w:p w:rsidR="000E0536" w:rsidRPr="00F0606D" w:rsidRDefault="000E0536" w:rsidP="000E0536">
      <w:pPr>
        <w:pStyle w:val="NormalHanging12a"/>
      </w:pPr>
      <w:r w:rsidRPr="00F0606D">
        <w:t>2.</w:t>
      </w:r>
      <w:r w:rsidRPr="00F0606D">
        <w:tab/>
        <w:t>išdėsto savo pastabas toliau pateikiamoje rezoliucijoje;</w:t>
      </w:r>
    </w:p>
    <w:p w:rsidR="000E0536" w:rsidRPr="00F0606D" w:rsidRDefault="000E0536" w:rsidP="000E0536">
      <w:pPr>
        <w:pStyle w:val="NormalHanging12a"/>
      </w:pPr>
      <w:r w:rsidRPr="00F0606D">
        <w:t>3.</w:t>
      </w:r>
      <w:r w:rsidRPr="00F0606D">
        <w:tab/>
        <w:t xml:space="preserve">paveda Pirmininkei perduoti šį sprendimą ir rezoliuciją, kuri yra neatskiriama jo dalis, Europos Sąjungos geležinkelių agentūros vykdomajam direktoriui, Tarybai, Komisijai ir Audito Rūmams ir pasirūpinti, kad jie būtų paskelbti </w:t>
      </w:r>
      <w:r w:rsidRPr="00F0606D">
        <w:rPr>
          <w:i/>
        </w:rPr>
        <w:t>Europos Sąjungos oficialiajame leidinyje</w:t>
      </w:r>
      <w:r w:rsidRPr="00F0606D">
        <w:t xml:space="preserve"> (L serijoje).</w:t>
      </w:r>
    </w:p>
    <w:p w:rsidR="000E0536" w:rsidRPr="00F0606D" w:rsidRDefault="000E0536" w:rsidP="000E0536"/>
    <w:p w:rsidR="000E0536" w:rsidRPr="00F0606D" w:rsidRDefault="000E0536" w:rsidP="000E0536">
      <w:pPr>
        <w:widowControl/>
        <w:rPr>
          <w:rFonts w:ascii="Arial" w:hAnsi="Arial" w:cs="Arial"/>
          <w:b/>
        </w:rPr>
        <w:sectPr w:rsidR="000E0536" w:rsidRPr="00F0606D" w:rsidSect="00F0606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0E0536" w:rsidRPr="00F0606D" w:rsidRDefault="007B039C" w:rsidP="007B039C">
      <w:pPr>
        <w:pStyle w:val="ATHeading3"/>
      </w:pPr>
      <w:r>
        <w:lastRenderedPageBreak/>
        <w:t xml:space="preserve">2. 2024 m. balandžio 11 d. </w:t>
      </w:r>
      <w:r w:rsidRPr="00F0606D">
        <w:t xml:space="preserve">Europos Parlamento sprendimas </w:t>
      </w:r>
      <w:r w:rsidR="000E0536" w:rsidRPr="00F0606D">
        <w:t>dėl Europos Sąjungos geležinkelių agentūros 2022 finansinių metų sąskaitų uždarymo</w:t>
      </w:r>
      <w:r>
        <w:t xml:space="preserve"> </w:t>
      </w:r>
      <w:r w:rsidR="000E0536" w:rsidRPr="00F0606D">
        <w:t>(2023/2160(DEC))</w:t>
      </w:r>
    </w:p>
    <w:p w:rsidR="000E0536" w:rsidRPr="00F0606D" w:rsidRDefault="000E0536" w:rsidP="000E0536">
      <w:pPr>
        <w:pStyle w:val="EPComma"/>
      </w:pPr>
      <w:r w:rsidRPr="00F0606D">
        <w:rPr>
          <w:i/>
        </w:rPr>
        <w:t>Europos Parlamentas</w:t>
      </w:r>
      <w:r w:rsidRPr="00F0606D">
        <w:t>,</w:t>
      </w:r>
    </w:p>
    <w:p w:rsidR="000E0536" w:rsidRPr="00F0606D" w:rsidRDefault="000E0536" w:rsidP="000E0536">
      <w:pPr>
        <w:pStyle w:val="NormalHanging12a"/>
      </w:pPr>
      <w:r w:rsidRPr="00F0606D">
        <w:t>–</w:t>
      </w:r>
      <w:r w:rsidRPr="00F0606D">
        <w:tab/>
        <w:t>atsižvelgdamas į Europos Sąjungos geležinkelių agentūros 2022 finansinių metų galutines metines ataskaitas,</w:t>
      </w:r>
    </w:p>
    <w:p w:rsidR="000E0536" w:rsidRPr="00F0606D" w:rsidRDefault="000E0536" w:rsidP="000E0536">
      <w:pPr>
        <w:pStyle w:val="NormalHanging12a"/>
      </w:pPr>
      <w:r w:rsidRPr="00F0606D">
        <w:t>–</w:t>
      </w:r>
      <w:r w:rsidRPr="00F0606D">
        <w:tab/>
        <w:t>atsižvelgdamas į Audito Rūmų 2022 finansinių metų metinę ataskaitą dėl ES agentūrų kartu su agentūrų atsakymais</w:t>
      </w:r>
      <w:r w:rsidRPr="00F0606D">
        <w:rPr>
          <w:rStyle w:val="FootnoteReference"/>
        </w:rPr>
        <w:footnoteReference w:id="6"/>
      </w:r>
      <w:r w:rsidRPr="00F0606D">
        <w:t>,</w:t>
      </w:r>
    </w:p>
    <w:p w:rsidR="000E0536" w:rsidRPr="00F0606D" w:rsidRDefault="000E0536" w:rsidP="000E0536">
      <w:pPr>
        <w:pStyle w:val="NormalHanging12a"/>
      </w:pPr>
      <w:r w:rsidRPr="00F0606D">
        <w:t>–</w:t>
      </w:r>
      <w:r w:rsidRPr="00F0606D">
        <w:tab/>
        <w:t>atsižvelgdamas į Audito Rūmų pagal Sutarties dėl Europos Sąjungos veikimo 287 straipsnį pateiktą 2022 finansinių metų sąskaitų patikimumo ir pagal jas atliktų operacijų teisėtumo ir tvarkingumo patikinimo pareiškimą</w:t>
      </w:r>
      <w:r w:rsidRPr="00F0606D">
        <w:rPr>
          <w:rStyle w:val="FootnoteReference"/>
        </w:rPr>
        <w:footnoteReference w:id="7"/>
      </w:r>
      <w:r w:rsidRPr="00F0606D">
        <w:t>,</w:t>
      </w:r>
    </w:p>
    <w:p w:rsidR="000E0536" w:rsidRPr="00F0606D" w:rsidRDefault="000E0536" w:rsidP="000E0536">
      <w:pPr>
        <w:pStyle w:val="NormalHanging12a"/>
      </w:pPr>
      <w:r w:rsidRPr="00F0606D">
        <w:t>–</w:t>
      </w:r>
      <w:r w:rsidRPr="00F0606D">
        <w:tab/>
        <w:t xml:space="preserve">atsižvelgdamas į 2024 m. vasario 22 d. </w:t>
      </w:r>
      <w:r w:rsidR="00930476" w:rsidRPr="00F0606D">
        <w:t xml:space="preserve">Tarybos </w:t>
      </w:r>
      <w:r w:rsidRPr="00F0606D">
        <w:t>rekomendaciją dėl patvirtinimo, kad Agentūra įvykdė 2022 finansinių metų biudžetą (0</w:t>
      </w:r>
      <w:r w:rsidR="00CC1EF5">
        <w:t>618</w:t>
      </w:r>
      <w:r w:rsidRPr="00F0606D">
        <w:t>0/2024 – C9</w:t>
      </w:r>
      <w:r w:rsidRPr="00F0606D">
        <w:noBreakHyphen/>
        <w:t>00</w:t>
      </w:r>
      <w:r w:rsidR="00CC1EF5">
        <w:t>98</w:t>
      </w:r>
      <w:r w:rsidRPr="00F0606D">
        <w:t>/2024),</w:t>
      </w:r>
    </w:p>
    <w:p w:rsidR="000E0536" w:rsidRPr="00F0606D" w:rsidRDefault="000E0536" w:rsidP="000E0536">
      <w:pPr>
        <w:pStyle w:val="NormalHanging12a"/>
      </w:pPr>
      <w:r w:rsidRPr="00F0606D">
        <w:t>–</w:t>
      </w:r>
      <w:r w:rsidRPr="00F0606D">
        <w:tab/>
        <w:t>atsižvelgdamas į Sutarties dėl Europos Sąjungos veikimo 319 straipsnį,</w:t>
      </w:r>
    </w:p>
    <w:p w:rsidR="000E0536" w:rsidRPr="00F0606D" w:rsidRDefault="000E0536" w:rsidP="000E0536">
      <w:pPr>
        <w:pStyle w:val="NormalHanging12a"/>
      </w:pPr>
      <w:r w:rsidRPr="00F0606D">
        <w:t>–</w:t>
      </w:r>
      <w:r w:rsidRPr="00F0606D">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0606D">
        <w:rPr>
          <w:rStyle w:val="FootnoteReference"/>
        </w:rPr>
        <w:footnoteReference w:id="8"/>
      </w:r>
      <w:r w:rsidRPr="00F0606D">
        <w:t>, ypač į jo 70 straipsnį,</w:t>
      </w:r>
    </w:p>
    <w:p w:rsidR="000E0536" w:rsidRPr="00F0606D" w:rsidRDefault="000E0536" w:rsidP="000E0536">
      <w:pPr>
        <w:pStyle w:val="NormalHanging12a"/>
      </w:pPr>
      <w:r w:rsidRPr="00F0606D">
        <w:t>–</w:t>
      </w:r>
      <w:r w:rsidRPr="00F0606D">
        <w:tab/>
        <w:t>atsižvelgdamas į 2016 m. gegužės 11 d. Europos Parlamento ir Tarybos reglamentą (ES) 2016/796 dėl Europos Sąjungos geležinkelių agentūros ir kuriuo panaikinamas Reglamentas (EB) Nr. 881/2004</w:t>
      </w:r>
      <w:r w:rsidRPr="00F0606D">
        <w:rPr>
          <w:rStyle w:val="FootnoteReference"/>
        </w:rPr>
        <w:footnoteReference w:id="9"/>
      </w:r>
      <w:r w:rsidRPr="00F0606D">
        <w:t>, ypač į jo 65 straipsnį,</w:t>
      </w:r>
    </w:p>
    <w:p w:rsidR="000E0536" w:rsidRPr="00F0606D" w:rsidRDefault="000E0536" w:rsidP="000E0536">
      <w:pPr>
        <w:pStyle w:val="NormalHanging12a"/>
      </w:pPr>
      <w:r w:rsidRPr="00F0606D">
        <w:t>–</w:t>
      </w:r>
      <w:r w:rsidRPr="00F0606D">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F0606D">
        <w:rPr>
          <w:rStyle w:val="FootnoteReference"/>
        </w:rPr>
        <w:footnoteReference w:id="10"/>
      </w:r>
      <w:r w:rsidRPr="00F0606D">
        <w:t>, ypač į jo 105 straipsnį,</w:t>
      </w:r>
    </w:p>
    <w:p w:rsidR="000E0536" w:rsidRPr="00F0606D" w:rsidRDefault="000E0536" w:rsidP="000E0536">
      <w:pPr>
        <w:pStyle w:val="NormalHanging12a"/>
      </w:pPr>
      <w:r w:rsidRPr="00F0606D">
        <w:t>–</w:t>
      </w:r>
      <w:r w:rsidRPr="00F0606D">
        <w:tab/>
        <w:t>atsižvelgdamas į Darbo tvarkos taisyklių 100 straipsnį ir V priedą,</w:t>
      </w:r>
    </w:p>
    <w:p w:rsidR="000E0536" w:rsidRPr="00F0606D" w:rsidRDefault="000E0536" w:rsidP="000E0536">
      <w:pPr>
        <w:pStyle w:val="NormalHanging12a"/>
      </w:pPr>
      <w:r w:rsidRPr="00F0606D">
        <w:t>–</w:t>
      </w:r>
      <w:r w:rsidRPr="00F0606D">
        <w:tab/>
        <w:t>atsižvelgdamas į Transporto ir turizmo komiteto nuomonę,</w:t>
      </w:r>
    </w:p>
    <w:p w:rsidR="000E0536" w:rsidRPr="00F0606D" w:rsidRDefault="000E0536" w:rsidP="000E0536">
      <w:pPr>
        <w:pStyle w:val="NormalHanging12a"/>
      </w:pPr>
      <w:r w:rsidRPr="00F0606D">
        <w:t>–</w:t>
      </w:r>
      <w:r w:rsidRPr="00F0606D">
        <w:tab/>
        <w:t>atsižvelgdamas į Biudžeto kontrolės komiteto pranešimą (A9-0092/2024),</w:t>
      </w:r>
    </w:p>
    <w:p w:rsidR="000E0536" w:rsidRPr="00F0606D" w:rsidRDefault="000E0536" w:rsidP="000E0536">
      <w:pPr>
        <w:pStyle w:val="NormalHanging12a"/>
      </w:pPr>
      <w:r w:rsidRPr="00F0606D">
        <w:t>1.</w:t>
      </w:r>
      <w:r w:rsidRPr="00F0606D">
        <w:tab/>
        <w:t>pritaria Europos Sąjungos geležinkelių agentūros 2022 finansinių metų sąskaitų uždarymui;</w:t>
      </w:r>
    </w:p>
    <w:p w:rsidR="000E0536" w:rsidRPr="00F0606D" w:rsidRDefault="000E0536" w:rsidP="000E0536">
      <w:pPr>
        <w:pStyle w:val="NormalHanging12a"/>
      </w:pPr>
      <w:r w:rsidRPr="00F0606D">
        <w:t>2.</w:t>
      </w:r>
      <w:r w:rsidRPr="00F0606D">
        <w:tab/>
        <w:t xml:space="preserve">paveda Pirmininkei perduoti šį sprendimą Europos Sąjungos geležinkelių agentūros </w:t>
      </w:r>
      <w:r w:rsidRPr="00F0606D">
        <w:lastRenderedPageBreak/>
        <w:t xml:space="preserve">vykdomajam direktoriui, Tarybai, Komisijai ir Audito Rūmams ir pasirūpinti, kad jis būtų paskelbtas </w:t>
      </w:r>
      <w:r w:rsidRPr="00F0606D">
        <w:rPr>
          <w:i/>
        </w:rPr>
        <w:t>Europos Sąjungos oficialiajame leidinyje</w:t>
      </w:r>
      <w:r w:rsidRPr="00F0606D">
        <w:t xml:space="preserve"> (L serijoje).</w:t>
      </w:r>
    </w:p>
    <w:p w:rsidR="000E0536" w:rsidRPr="00F0606D" w:rsidRDefault="000E0536" w:rsidP="000E0536"/>
    <w:p w:rsidR="000E0536" w:rsidRPr="00F0606D" w:rsidRDefault="000E0536" w:rsidP="000E0536">
      <w:pPr>
        <w:widowControl/>
        <w:rPr>
          <w:rFonts w:ascii="Arial" w:hAnsi="Arial" w:cs="Arial"/>
          <w:b/>
        </w:rPr>
        <w:sectPr w:rsidR="000E0536" w:rsidRPr="00F0606D" w:rsidSect="00F0606D">
          <w:footnotePr>
            <w:numRestart w:val="eachPage"/>
          </w:footnotePr>
          <w:endnotePr>
            <w:numFmt w:val="decimal"/>
          </w:endnotePr>
          <w:pgSz w:w="11906" w:h="16838"/>
          <w:pgMar w:top="1134" w:right="1418" w:bottom="1418" w:left="1418" w:header="567" w:footer="567" w:gutter="0"/>
          <w:cols w:space="720"/>
          <w:docGrid w:linePitch="326"/>
        </w:sectPr>
      </w:pPr>
    </w:p>
    <w:p w:rsidR="000E0536" w:rsidRPr="00F0606D" w:rsidRDefault="007B039C" w:rsidP="007B039C">
      <w:pPr>
        <w:pStyle w:val="ATHeading3"/>
      </w:pPr>
      <w:r>
        <w:lastRenderedPageBreak/>
        <w:t xml:space="preserve">3. 2024 m. balandžio 11 d. </w:t>
      </w:r>
      <w:r w:rsidRPr="00F0606D">
        <w:t xml:space="preserve">Europos Parlamento </w:t>
      </w:r>
      <w:r>
        <w:t>rezoliucija</w:t>
      </w:r>
      <w:r w:rsidRPr="00F0606D">
        <w:t xml:space="preserve"> </w:t>
      </w:r>
      <w:r w:rsidR="000E0536" w:rsidRPr="00F0606D">
        <w:t>su pastabomis, sudarančiomis neatskiriamą sprendimo dėl Europos Sąjungos geležinkelių agentūros 2022 finansinių metų biudžeto įvykdymo patvirtinimo dalį</w:t>
      </w:r>
      <w:r>
        <w:t xml:space="preserve"> </w:t>
      </w:r>
      <w:r w:rsidR="000E0536" w:rsidRPr="00F0606D">
        <w:t>(2023/2160(DEC))</w:t>
      </w:r>
    </w:p>
    <w:p w:rsidR="000E0536" w:rsidRPr="00F0606D" w:rsidRDefault="000E0536" w:rsidP="000E0536">
      <w:pPr>
        <w:pStyle w:val="EPComma"/>
      </w:pPr>
      <w:r w:rsidRPr="00F0606D">
        <w:rPr>
          <w:i/>
        </w:rPr>
        <w:t>Europos Parlamentas</w:t>
      </w:r>
      <w:r w:rsidRPr="00F0606D">
        <w:t>,</w:t>
      </w:r>
    </w:p>
    <w:p w:rsidR="000E0536" w:rsidRPr="00F0606D" w:rsidRDefault="000E0536" w:rsidP="000E0536">
      <w:pPr>
        <w:pStyle w:val="NormalHanging12a"/>
      </w:pPr>
      <w:r w:rsidRPr="00F0606D">
        <w:t>–</w:t>
      </w:r>
      <w:r w:rsidRPr="00F0606D">
        <w:tab/>
        <w:t>atsižvelgdamas į savo sprendimą dėl Europos Sąjungos geležinkelių agentūros 2022 finansinių metų biudžeto įvykdymo patvirtinimo,</w:t>
      </w:r>
    </w:p>
    <w:p w:rsidR="000E0536" w:rsidRPr="00F0606D" w:rsidRDefault="000E0536" w:rsidP="000E0536">
      <w:pPr>
        <w:pStyle w:val="NormalHanging12a"/>
      </w:pPr>
      <w:r w:rsidRPr="00F0606D">
        <w:t>–</w:t>
      </w:r>
      <w:r w:rsidRPr="00F0606D">
        <w:tab/>
        <w:t>atsižvelgdamas į Darbo tvarkos taisyklių 100 straipsnį ir V priedą,</w:t>
      </w:r>
    </w:p>
    <w:p w:rsidR="000E0536" w:rsidRPr="00F0606D" w:rsidRDefault="000E0536" w:rsidP="000E0536">
      <w:pPr>
        <w:pStyle w:val="NormalHanging12a"/>
      </w:pPr>
      <w:r w:rsidRPr="00F0606D">
        <w:t>–</w:t>
      </w:r>
      <w:r w:rsidRPr="00F0606D">
        <w:tab/>
        <w:t>atsižvelgdamas į Transporto ir turizmo komiteto nuomonę,</w:t>
      </w:r>
    </w:p>
    <w:p w:rsidR="000E0536" w:rsidRPr="00F0606D" w:rsidRDefault="000E0536" w:rsidP="000E0536">
      <w:pPr>
        <w:pStyle w:val="NormalHanging12a"/>
      </w:pPr>
      <w:r w:rsidRPr="00F0606D">
        <w:t>–</w:t>
      </w:r>
      <w:r w:rsidRPr="00F0606D">
        <w:tab/>
        <w:t>atsižvelgdamas į Biudžeto kontrolės komiteto pranešimą (A9-0092/2024),</w:t>
      </w:r>
    </w:p>
    <w:p w:rsidR="000E0536" w:rsidRPr="00F0606D" w:rsidRDefault="000E0536" w:rsidP="000E0536">
      <w:pPr>
        <w:spacing w:after="240"/>
        <w:ind w:left="567" w:hanging="567"/>
        <w:rPr>
          <w:szCs w:val="24"/>
        </w:rPr>
      </w:pPr>
      <w:r w:rsidRPr="00F0606D">
        <w:t>A.</w:t>
      </w:r>
      <w:r w:rsidRPr="00F0606D">
        <w:tab/>
        <w:t>kadangi, remiantis Europos Sąjungos geležinkelių agentūros (toliau – Agentūra) pajamų ir išlaidų suvestine</w:t>
      </w:r>
      <w:r w:rsidRPr="00F0606D">
        <w:rPr>
          <w:rStyle w:val="FootnoteReference"/>
          <w:szCs w:val="24"/>
        </w:rPr>
        <w:footnoteReference w:id="11"/>
      </w:r>
      <w:r w:rsidRPr="00F0606D">
        <w:t>, jos galutinis 2022 finansinių metų biudžetas buvo 34 814 691 EUR, t. y. 9,38 proc. didesnis nei 2021 m.; kadangi Agentūros biudžetą sudaro daugiausia iš Sąjungos biudžeto gaunamos lėšos;</w:t>
      </w:r>
    </w:p>
    <w:p w:rsidR="000E0536" w:rsidRPr="00F0606D" w:rsidRDefault="000E0536" w:rsidP="000E0536">
      <w:pPr>
        <w:spacing w:after="240"/>
        <w:ind w:left="567" w:hanging="567"/>
        <w:rPr>
          <w:szCs w:val="24"/>
        </w:rPr>
      </w:pPr>
      <w:r w:rsidRPr="00F0606D">
        <w:t>B.</w:t>
      </w:r>
      <w:r w:rsidRPr="00F0606D">
        <w:tab/>
        <w:t>kadangi Europos Audito Rūmai (toliau – Audito Rūmai) savo ataskaitoje dėl Agentūros 2022 finansinių metų metinių ataskaitų (toliau – Audito Rūmų ataskaita) nurodo, kad gavo pagrįstą patikinimą, jog Agentūros metinės ataskaitos yra patikimos ir jose nurodytos operacijos yra teisėtos ir tvarkingos;</w:t>
      </w:r>
    </w:p>
    <w:p w:rsidR="000E0536" w:rsidRPr="00F0606D" w:rsidRDefault="000E0536" w:rsidP="000E0536">
      <w:pPr>
        <w:spacing w:after="240"/>
        <w:ind w:left="567" w:hanging="567"/>
        <w:rPr>
          <w:b/>
          <w:i/>
          <w:szCs w:val="24"/>
        </w:rPr>
      </w:pPr>
      <w:r w:rsidRPr="00F0606D">
        <w:rPr>
          <w:b/>
          <w:i/>
        </w:rPr>
        <w:t>Biudžeto ir finansų valdymas</w:t>
      </w:r>
    </w:p>
    <w:p w:rsidR="000E0536" w:rsidRPr="00F0606D" w:rsidRDefault="000E0536" w:rsidP="000E0536">
      <w:pPr>
        <w:spacing w:after="240"/>
        <w:ind w:left="567" w:hanging="567"/>
        <w:rPr>
          <w:szCs w:val="24"/>
        </w:rPr>
      </w:pPr>
      <w:r w:rsidRPr="00F0606D">
        <w:t>1.</w:t>
      </w:r>
      <w:r w:rsidRPr="00F0606D">
        <w:tab/>
        <w:t>su pasitenkinimu pažymi, kad 2022 finansiniais metais vykdant biudžeto stebėseną biudžeto įvykdymo lygis buvo 99,95 proc. einamųjų metų asignavimų, t. y. šiek tiek sumažėjo (0,13 proc.), palyginti su 2021 m.; be to, pažymi, kad einamaisiais metais mokėjimų asignavimų panaudojimo lygis buvo 94,97 proc., t. y. 1,43 proc. didesnis, palyginti su 2021 m.; pažymi, kad 2022 m. biudžeto vykdymo rezultatas buvo 81 821 EUR, t. y. padidėjo, palyginti su 69 638 EUR suma 2021 m.;</w:t>
      </w:r>
    </w:p>
    <w:p w:rsidR="000E0536" w:rsidRPr="00F0606D" w:rsidRDefault="000E0536" w:rsidP="000E0536">
      <w:pPr>
        <w:spacing w:after="240"/>
        <w:ind w:left="567" w:hanging="567"/>
        <w:rPr>
          <w:szCs w:val="24"/>
        </w:rPr>
      </w:pPr>
      <w:r w:rsidRPr="00F0606D">
        <w:t>2.</w:t>
      </w:r>
      <w:r w:rsidRPr="00F0606D">
        <w:tab/>
        <w:t>pripažįsta, kad pagrindinis poveikis biudžeto vykdymui 2022 m. buvo susijęs su pasauliniais išorės veiksniais, pvz., nepastoviomis geopolitinėmis aplinkybėmis ir energetikos krize, tai lėmė didelį nepastovumą ir todėl neprognozuojamai padidėjo Agentūros išlaidos; pažymi, kad Agentūra įgyvendino griežtas savo išlaidų kontrolės priemones, pakoregavo mokesčių ir rinkliavų lygį (t. y. valandinis tarifas buvo padidintas ir reguliariai koreguojamas atsižvelgiant į infliacijos lygį) ir įdiegė reguliarios biudžeto vykdymo stebėsenos procesą su keliomis planavimo ir stebėsenos priemonėmis, kad šis procesas būtų automatizuotas;</w:t>
      </w:r>
    </w:p>
    <w:p w:rsidR="000E0536" w:rsidRPr="00F0606D" w:rsidRDefault="000E0536" w:rsidP="000E0536">
      <w:pPr>
        <w:spacing w:after="240"/>
        <w:ind w:left="567" w:hanging="567"/>
        <w:rPr>
          <w:szCs w:val="24"/>
        </w:rPr>
      </w:pPr>
      <w:r w:rsidRPr="00F0606D">
        <w:t>3.</w:t>
      </w:r>
      <w:r w:rsidRPr="00F0606D">
        <w:tab/>
        <w:t xml:space="preserve">pažymi, kad Agentūra prisijungė prie Komisijos bandomojo etapo – pakeitė savo biudžeto ir apskaitos sistemą nauja sistema SUMMA; atsižvelgdamas į tai, atkreipia dėmesį į Audito Rūmų ataskaitoje pateiktas pastabas dėl Agentūros turimų trūkumų ir spragų, t. y. nėra naujos sistemos įgyvendinimo rizikos valdymo ir kontrolės strategijos, neatnaujinta finansinių grandinių ir </w:t>
      </w:r>
      <w:proofErr w:type="spellStart"/>
      <w:r w:rsidRPr="00F0606D">
        <w:rPr>
          <w:i/>
          <w:iCs/>
        </w:rPr>
        <w:t>ex</w:t>
      </w:r>
      <w:proofErr w:type="spellEnd"/>
      <w:r w:rsidRPr="00F0606D">
        <w:rPr>
          <w:i/>
          <w:iCs/>
        </w:rPr>
        <w:t> ante</w:t>
      </w:r>
      <w:r w:rsidRPr="00F0606D">
        <w:t xml:space="preserve"> bei </w:t>
      </w:r>
      <w:proofErr w:type="spellStart"/>
      <w:r w:rsidRPr="00F0606D">
        <w:rPr>
          <w:i/>
          <w:iCs/>
        </w:rPr>
        <w:t>ex</w:t>
      </w:r>
      <w:proofErr w:type="spellEnd"/>
      <w:r w:rsidRPr="00F0606D">
        <w:rPr>
          <w:i/>
          <w:iCs/>
        </w:rPr>
        <w:t> </w:t>
      </w:r>
      <w:proofErr w:type="spellStart"/>
      <w:r w:rsidRPr="00F0606D">
        <w:rPr>
          <w:i/>
          <w:iCs/>
        </w:rPr>
        <w:t>post</w:t>
      </w:r>
      <w:proofErr w:type="spellEnd"/>
      <w:r w:rsidRPr="00F0606D">
        <w:t xml:space="preserve"> patikrų strategija, taip pat </w:t>
      </w:r>
      <w:r w:rsidRPr="00F0606D">
        <w:lastRenderedPageBreak/>
        <w:t xml:space="preserve">netikrinamos naudotojams suteiktos teisės; remdamasis Agentūros atsakymais į Audito Rūmų pastabas pažymi, kad </w:t>
      </w:r>
      <w:proofErr w:type="spellStart"/>
      <w:r w:rsidRPr="00F0606D">
        <w:t>proaktyviai</w:t>
      </w:r>
      <w:proofErr w:type="spellEnd"/>
      <w:r w:rsidRPr="00F0606D">
        <w:t xml:space="preserve"> imtasi poveikio švelninimo priemonių atsižvelgiant į atitinkamą mokymosi kreivę, be kita ko, 2022 m. antrąjį pusmetį pradedant atnaujinti Agentūros finansines grandines ir </w:t>
      </w:r>
      <w:proofErr w:type="spellStart"/>
      <w:r w:rsidRPr="00F0606D">
        <w:rPr>
          <w:i/>
          <w:iCs/>
        </w:rPr>
        <w:t>ex</w:t>
      </w:r>
      <w:proofErr w:type="spellEnd"/>
      <w:r w:rsidRPr="00F0606D">
        <w:rPr>
          <w:i/>
          <w:iCs/>
        </w:rPr>
        <w:t> ante</w:t>
      </w:r>
      <w:r w:rsidRPr="00F0606D">
        <w:t xml:space="preserve"> bei </w:t>
      </w:r>
      <w:proofErr w:type="spellStart"/>
      <w:r w:rsidRPr="00F0606D">
        <w:rPr>
          <w:i/>
          <w:iCs/>
        </w:rPr>
        <w:t>ex</w:t>
      </w:r>
      <w:proofErr w:type="spellEnd"/>
      <w:r w:rsidRPr="00F0606D">
        <w:rPr>
          <w:i/>
          <w:iCs/>
        </w:rPr>
        <w:t> </w:t>
      </w:r>
      <w:proofErr w:type="spellStart"/>
      <w:r w:rsidRPr="00F0606D">
        <w:rPr>
          <w:i/>
          <w:iCs/>
        </w:rPr>
        <w:t>post</w:t>
      </w:r>
      <w:proofErr w:type="spellEnd"/>
      <w:r w:rsidRPr="00F0606D">
        <w:t xml:space="preserve"> patikrų strategiją, o atitinkamus dokumentus tikimasi atnaujinti 2023 m.; ragina Agentūrą visapusiškai atsižvelgti į Audito Rūmų pastabas ir nuolat informuoti biudžeto įvykdymą tvirtinančią instituciją apie pažangą šiuo klausimu;</w:t>
      </w:r>
    </w:p>
    <w:p w:rsidR="000E0536" w:rsidRPr="00F0606D" w:rsidRDefault="000E0536" w:rsidP="000E0536">
      <w:pPr>
        <w:spacing w:after="240"/>
        <w:ind w:left="567" w:hanging="567"/>
        <w:rPr>
          <w:szCs w:val="24"/>
        </w:rPr>
      </w:pPr>
      <w:r w:rsidRPr="00F0606D">
        <w:t>4.</w:t>
      </w:r>
      <w:r w:rsidRPr="00F0606D">
        <w:tab/>
        <w:t>atkreipia dėmesį į Audito Rūmų pastabą dėl to, kad Agentūra nesilaikė Finansiniame reglamente numatyto mokėjimų termino, nes 2022 m. 12,2 proc. mokėjimų vėlavo daugiau nei 30 dienų; pripažįsta Agentūros poziciją, kad tokie vėlavimai buvo susiję su naujos sistemos SUMMA įgyvendinimu ir kad tuo tarpu buvo imtasi priemonių siekiant išvengti mokėjimų vėlavimo;</w:t>
      </w:r>
    </w:p>
    <w:p w:rsidR="000E0536" w:rsidRPr="00F0606D" w:rsidRDefault="000E0536" w:rsidP="000E0536">
      <w:pPr>
        <w:spacing w:after="240"/>
        <w:ind w:left="567" w:hanging="567"/>
        <w:rPr>
          <w:szCs w:val="24"/>
        </w:rPr>
      </w:pPr>
      <w:r w:rsidRPr="00F0606D">
        <w:t>5.</w:t>
      </w:r>
      <w:r w:rsidRPr="00F0606D">
        <w:tab/>
        <w:t xml:space="preserve">be to, pažymi, kad Agentūra taip pat vėlavo išrašyti sąskaitas faktūras (arba debetinius dokumentus) už susijusius mokesčius ir rinkliavas, tačiau tokius </w:t>
      </w:r>
      <w:proofErr w:type="spellStart"/>
      <w:r w:rsidRPr="00F0606D">
        <w:t>vėlavimus</w:t>
      </w:r>
      <w:proofErr w:type="spellEnd"/>
      <w:r w:rsidRPr="00F0606D">
        <w:t xml:space="preserve"> Agentūra taip pat sieja su naujos sistemos SUMMA įgyvendinimu ir pavėluotai gaunamomis išlaidų ataskaitomis iš nacionalinių saugos institucijų, taip pažeidžiant atitinkamus Finansinio reglamento ir Reglamento </w:t>
      </w:r>
      <w:r w:rsidR="00D33C3F">
        <w:t xml:space="preserve">(ES) </w:t>
      </w:r>
      <w:r w:rsidRPr="00F0606D">
        <w:t>2018/764 dėl Agentūros mokesčių bei rinkliavų straipsnius; remdamasis Agentūros atsakymais į Audito Rūmų pastabas pripažįsta, kad tokių vėlavimų būtų galima išvengti arba juos sumažinti, jei nacionalinės saugos institucijos laiku pateiktų Agentūrai savo išlaidų ataskaitas, tačiau Agentūra neturi sverto užtikrinti, kad nacionalinės saugos institucijos laikytųsi terminų;</w:t>
      </w:r>
    </w:p>
    <w:p w:rsidR="000E0536" w:rsidRPr="00F0606D" w:rsidRDefault="000E0536" w:rsidP="00D33C3F">
      <w:pPr>
        <w:pStyle w:val="NormalHanging12a"/>
      </w:pPr>
      <w:r w:rsidRPr="00F0606D">
        <w:t>6.</w:t>
      </w:r>
      <w:r w:rsidRPr="00F0606D">
        <w:tab/>
        <w:t>primena, kad Agentūrai, palyginti su kitomis transporto srities agentūromis, numatytas mažiausias biudžetas, nepaisant puikių geležinkelių transporto rezultatų Komisijos prioritetine paskelbtoje aplinkosaugos srityje; palankiai vertina didesnį 2022 finansinių metų biudžetą, kartu su įvairiomis pastangomis, kuriomis buvo siekiama didinti konkurencingumą, gerinti saugą ir skatinti tarpvalstybinę sąveiką; vis dėlto ragina padidinti biudžetą siekiant užtikrinti, kad Agentūra turėtų esminių išteklių dirbti kaip veiksminga institucija ir efektyviai vykdyti savo užduotis;</w:t>
      </w:r>
    </w:p>
    <w:p w:rsidR="000E0536" w:rsidRPr="00F0606D" w:rsidRDefault="000E0536" w:rsidP="000E0536">
      <w:pPr>
        <w:spacing w:after="240"/>
        <w:ind w:left="567" w:hanging="567"/>
        <w:rPr>
          <w:b/>
          <w:i/>
          <w:szCs w:val="24"/>
        </w:rPr>
      </w:pPr>
      <w:r w:rsidRPr="00F0606D">
        <w:rPr>
          <w:b/>
          <w:i/>
        </w:rPr>
        <w:t>Veikla</w:t>
      </w:r>
    </w:p>
    <w:p w:rsidR="000E0536" w:rsidRPr="00F0606D" w:rsidRDefault="000E0536" w:rsidP="000E0536">
      <w:pPr>
        <w:spacing w:after="240"/>
        <w:ind w:left="567" w:hanging="567"/>
        <w:rPr>
          <w:szCs w:val="24"/>
        </w:rPr>
      </w:pPr>
      <w:r w:rsidRPr="00F0606D">
        <w:t>7.</w:t>
      </w:r>
      <w:r w:rsidRPr="00F0606D">
        <w:tab/>
        <w:t xml:space="preserve">pažymi, kad Agentūra pranešė, jog įgyvendino 81,13 proc. savo 2022 m. metinės darbo programos, palyginti su 76,41 proc. 2021 m., tai yra sveikintinas padidėjimas antrus metus iš eilės; pažymi, kad 2022 m. Agentūra patvirtino naują savo darbo programos struktūrą, pereidama nuo veikla prie strateginiais pareiškimais grindžiamos darbo programos, ir sukūrė naują platformą, kurioje kas mėnesį teikiamos visų projektų ir paslaugų ataskaitos, taip pat naują stebėsenos suvestinę; pažymi, kad į metinę darbo programą įtraukti 9 strateginiai pareiškimai, kurie buvo parengti atsižvelgiant į poveikį, kurį Agentūra siekia daryti visuomenei; pripažįsta, kad Agentūra sėkmingai įgyvendino savo strateginius pareiškimus ir 2022 m. pasiekė daug Agentūros tikslų, susijusių su įvairiais rezultatais, ir nustatytus pagrindinius veiklos rezultatų rodiklius; vis dėlto pažymi, kad kai kurie pagrindiniai veiklos rezultatų rodikliai nebuvo pasiekti, pvz., susiję su naujo Agentūros pastato </w:t>
      </w:r>
      <w:proofErr w:type="spellStart"/>
      <w:r w:rsidRPr="00F0606D">
        <w:t>Valansjene</w:t>
      </w:r>
      <w:proofErr w:type="spellEnd"/>
      <w:r w:rsidRPr="00F0606D">
        <w:t xml:space="preserve"> tyrimo 3-io etapo pradėjimu, naujos dokumentų valdymo sistemos (ARES) įdiegimu, </w:t>
      </w:r>
      <w:proofErr w:type="spellStart"/>
      <w:r w:rsidRPr="00F0606D">
        <w:t>mokėjimais</w:t>
      </w:r>
      <w:proofErr w:type="spellEnd"/>
      <w:r w:rsidRPr="00F0606D">
        <w:t xml:space="preserve"> iki sutartyje nustatytų terminų (tai susiję su naujos finansų sistemos (SUMMA) diegimu bandomuoju etapu) ir iniciatyva „Moterys ir transportas“;</w:t>
      </w:r>
    </w:p>
    <w:p w:rsidR="000E0536" w:rsidRPr="00F0606D" w:rsidRDefault="000E0536" w:rsidP="000E0536">
      <w:pPr>
        <w:spacing w:after="240"/>
        <w:ind w:left="567" w:hanging="567"/>
      </w:pPr>
      <w:r w:rsidRPr="00F0606D">
        <w:t>8.</w:t>
      </w:r>
      <w:r w:rsidRPr="00F0606D">
        <w:tab/>
        <w:t>atkreipia dėmesį į kai kuriuos pagrindinius Agentūros pasiekimus 2022 m., pvz., 2023–</w:t>
      </w:r>
      <w:r w:rsidRPr="00F0606D">
        <w:lastRenderedPageBreak/>
        <w:t>2027 m. stiprinimo veiksmų plano priėmimą, gerokai didesnio skaičiaus transporto priemonių leidimų (1861) ir bendrų saugos sertifikatų (66) išdavimą laiku, Agentūros rekomendacijos dėl 2022 m. techninių sąveikos specifikacijų (TSS) persvarstymo dokumentų rinkinio, kuriuo bus remiamas geležinkelių transporto sąveikos stiprinimas visoje Sąjungoje, užbaigimą, antrojo nacionalinių saugos institucijų stebėsenos audito ciklo, apimančio visas Sąjungos teisės aktais nacionalinėms saugos institucijoms pavestas užduotis, pradėjimą, pateiktą itin didelį notifikuotųjų įstaigų stebėsenos srities ataskaitų skaičių (aštuonios ataskaitos vietoje numatytų trijų ataskaitų) ir atliktą darbą, susijusį su pirmąja Agentūros ataskaita, grindžiama 2021 m. pradėto saugos klimato tyrimo (jį vykdant gauta 46 500 atsakymų) rezultatais; palankiai vertina tai, kad Agentūra sukūrė teisingumo kultūros srities saugos mokymo modulius, kurie turėtų padidinti saugą visame sektoriuje, taip pat jos pasiekimus (priemonių rinkinį, gaires ir mokymo medžiagą, informuotumo didinimo veiksmus, mokymo modulius), susijusius su žmogiškųjų ir organizacinių veiksnių integravimu, nes tai padės pagerinti geležinkelių saugos rezultatus ir efektyvumą;</w:t>
      </w:r>
    </w:p>
    <w:p w:rsidR="000E0536" w:rsidRPr="00F0606D" w:rsidRDefault="000E0536" w:rsidP="00D33C3F">
      <w:pPr>
        <w:pStyle w:val="NormalHanging12a"/>
      </w:pPr>
      <w:r w:rsidRPr="00F0606D">
        <w:t>9.</w:t>
      </w:r>
      <w:r w:rsidRPr="00F0606D">
        <w:tab/>
        <w:t>pabrėžia, kad svarbu toliau remti visas geresnio bendro techninių sąveikos specifikacijų (TSS) supratimo iniciatyvas, kuriomis prisidedama prie stiprios ir konkurencingos Europos geležinkelių pramonės plėtros; primygtinai reikalauja labiau remti inovacijas krovinių vežimo geležinkeliais ir įvairiarūšio transporto paslaugų srityje, kad būtų užtikrinta konkurencinga integracija į logistikos vertės grandinę, kartu automatizuojant ir skaitmeninant krovinių vežimą geležinkeliais;</w:t>
      </w:r>
    </w:p>
    <w:p w:rsidR="000E0536" w:rsidRPr="00F0606D" w:rsidRDefault="000E0536" w:rsidP="00D33C3F">
      <w:pPr>
        <w:spacing w:after="240"/>
        <w:ind w:left="567" w:hanging="567"/>
      </w:pPr>
      <w:r w:rsidRPr="00F0606D">
        <w:t>10.</w:t>
      </w:r>
      <w:r w:rsidRPr="00F0606D">
        <w:tab/>
        <w:t>palankiai vertina ataskaitą dėl ES geležinkelių saugos ir sąveikos; pripažįsta nuolatinį Agentūros įsipareigojimą siekti tikslo sukurti bendrą Europos geležinkelių erdvę ir jos nuolatinį darbą pagrindinėse srityse, pvz., nacionalinių taisyklių mažinimo ir techninių sąveikos specifikacijų užbaigimo užtikrinimo srityse; atkreipia dėmesį į tai, kad toks svarbus darbas padės stiprinti geležinkelių sąveiką visoje Europoje ir atitinka Komisijos politinius lūkesčius; palankiai vertina nuolatinį Agentūros indėlį nacionalinių taisyklių srityje, 2022 m. racionalizavus likusias nacionalines technines taisykles (Čekijoje ir Nyderlanduose), trukdančias sklandžiai vykdyti geležinkelių transporto operacijas;</w:t>
      </w:r>
    </w:p>
    <w:p w:rsidR="000E0536" w:rsidRPr="00F0606D" w:rsidRDefault="000E0536" w:rsidP="00D33C3F">
      <w:pPr>
        <w:pStyle w:val="NormalHanging12a"/>
      </w:pPr>
      <w:r w:rsidRPr="00F0606D">
        <w:t>11.</w:t>
      </w:r>
      <w:r w:rsidRPr="00F0606D">
        <w:tab/>
        <w:t xml:space="preserve">palankiai vertina tai, kad Agentūra </w:t>
      </w:r>
      <w:proofErr w:type="spellStart"/>
      <w:r w:rsidRPr="00F0606D">
        <w:t>proaktyviai</w:t>
      </w:r>
      <w:proofErr w:type="spellEnd"/>
      <w:r w:rsidRPr="00F0606D">
        <w:t xml:space="preserve"> reagavo į praėjusių metų pastabose pateiktas rekomendacijas, kuriomis Agentūra primygtinai raginama taikyti veiksmingas patikras, kad būtų galima patikrinti pareiškėjų MVĮ statusą; palankiai vertina tai, jog buvo įdiegta griežtesnė kontrolė, kad pateikus prašymus išduoti bendrus saugos sertifikatus ir transporto priemonių leidimus būtų galima patikrinti MVĮ statusą; pažymi, kad Agentūra paskatino keletą iniciatyvų, kuriomis siekiama didinti geležinkelių eismą (keleivių ir krovinių), įskaitant tarptautinio geležinkelių eismo koordinavimo priemones ir naujų technologijų, pvz., traukinių automatizavimo, prisidedančio prie sanglaudos, ES ekonomikos ir žaliosios bei skaitmeninės pertvarkos skatinimo, kūrimą; palankiai vertina tai, kad geležinkelių dokumentų rinkinio iniciatyvinė grupė sėkmingai tęsė veiklą vertindama Agentūros pasirengimą įgyvendinti 4-ąjį geležinkelių dokumentų rinkinį;</w:t>
      </w:r>
    </w:p>
    <w:p w:rsidR="000E0536" w:rsidRPr="00F0606D" w:rsidRDefault="000E0536" w:rsidP="00D33C3F">
      <w:pPr>
        <w:pStyle w:val="NormalHanging12a"/>
      </w:pPr>
      <w:r w:rsidRPr="00F0606D">
        <w:t>12.</w:t>
      </w:r>
      <w:r w:rsidRPr="00F0606D">
        <w:tab/>
        <w:t xml:space="preserve">pabrėžia, kad neteisėtas ir nepateisinamas Rusijos agresijos karas prieš Ukrainą parodė, kokį svarbų vaidmenį gali atlikti geležinkeliai; pažymi, kad nuo invazijos į Ukrainą pradžios geležinkeliai yra svarbi žmonių ir prekių judėjimo priemonė, ypač kai civilinė aviacija nebegalėjo naudotis Ukrainos oro erdve; atkreipia dėmesį į tai, kad Ukrainos geležinkeliai pervežė kareivius, ypatingos svarbos darbuotojus, gyventojus, taip pat daugelį gyvybiškai svarbių prekių, kaip antai žemės ūkio prekes; pripažįsta, kad </w:t>
      </w:r>
      <w:r w:rsidRPr="00F0606D">
        <w:lastRenderedPageBreak/>
        <w:t>Agentūra prisidėjo prie ES bendradarbiavimo su Ukraina geležinkelių jungčių atsparumo ir plėtros srityje, ji rėmė Ukrainą ir žmones visame pasaulyje ieškodama papildomų būdų, kaip padidinti Ukrainos maisto produktų vežimo geležinkeliais apimtį;</w:t>
      </w:r>
    </w:p>
    <w:p w:rsidR="000E0536" w:rsidRPr="00F0606D" w:rsidRDefault="000E0536" w:rsidP="00D33C3F">
      <w:pPr>
        <w:spacing w:after="240"/>
        <w:ind w:left="567" w:hanging="567"/>
        <w:rPr>
          <w:b/>
          <w:i/>
          <w:szCs w:val="24"/>
        </w:rPr>
      </w:pPr>
      <w:r w:rsidRPr="00F0606D">
        <w:rPr>
          <w:b/>
          <w:i/>
        </w:rPr>
        <w:t>Veiksmingumas ir nauda</w:t>
      </w:r>
    </w:p>
    <w:p w:rsidR="000E0536" w:rsidRPr="00F0606D" w:rsidRDefault="000E0536" w:rsidP="00D33C3F">
      <w:pPr>
        <w:spacing w:after="240"/>
        <w:ind w:left="567" w:hanging="567"/>
        <w:rPr>
          <w:szCs w:val="24"/>
        </w:rPr>
      </w:pPr>
      <w:r w:rsidRPr="00F0606D">
        <w:t>13.</w:t>
      </w:r>
      <w:r w:rsidRPr="00F0606D">
        <w:tab/>
        <w:t>giria Agentūrą už tai, kad 2022 m. ji priėmė stiprinimo planą ir 2023–2027 m. stiprinimo veiksmų planą; pažymi, kad stiprinimo veiksmų planas parengtas atsižvelgiant į komponentus ir tikslus ir yra Agentūros strategijos, kuria siekiama didinti veiksmingumą per ateinančius penkerius metus, pagrindas; pažymi, kad Agentūroje įsteigta horizontali vidaus darbo grupė dėl stiprinimo veiksmų plano ir jo orientyrų ir kad bus paskirtas pranešėjas, kuris rems stiprinimo veiksmų plano įgyvendinimą, jam vadovaus ir stebės jo įgyvendinimą;</w:t>
      </w:r>
    </w:p>
    <w:p w:rsidR="000E0536" w:rsidRPr="00F0606D" w:rsidRDefault="000E0536" w:rsidP="00D33C3F">
      <w:pPr>
        <w:spacing w:after="240"/>
        <w:ind w:left="567" w:hanging="567"/>
      </w:pPr>
      <w:r w:rsidRPr="00F0606D">
        <w:t>14.</w:t>
      </w:r>
      <w:r w:rsidRPr="00F0606D">
        <w:tab/>
        <w:t>pažymi, kad įgyvendindama stiprinimo veiksmų planą Agentūra 2022 m. priėmė 12 papildomų laikinųjų darbuotojų ir tai yra padidinimas, kuris gali būti geras pagrindas Agentūrai toliau įgyvendinant stiprinimo planą; apgailestauja dėl to, kad skiriant etatus nebuvo numatytos atitinkamos subsidijos, nes tai kartu su neeiliniu atlyginimų indeksavimu ir bendru komunalinių paslaugų kainų padidėjimu lėmė papildomus apribojimus Agentūrai planuojant darbą ir išteklius, dėl to 2022 m. nustatyti keli neigiami prioritetai, pvz., darbas, susijęs su nacionalinių saugos institucijų metine veiklos rezultatų peržiūra, arba keitimosi informacija apie su sauga susijusius įvykius Europoje sistemos kūrimas;</w:t>
      </w:r>
    </w:p>
    <w:p w:rsidR="000E0536" w:rsidRPr="00F0606D" w:rsidRDefault="000E0536" w:rsidP="00D33C3F">
      <w:pPr>
        <w:spacing w:after="240"/>
        <w:ind w:left="567" w:hanging="567"/>
        <w:rPr>
          <w:szCs w:val="24"/>
        </w:rPr>
      </w:pPr>
      <w:r w:rsidRPr="00F0606D">
        <w:t>15.</w:t>
      </w:r>
      <w:r w:rsidRPr="00F0606D">
        <w:tab/>
        <w:t xml:space="preserve">pažymi, kad, remiantis nuolatiniu agentūrų ir Komisijos tarnybų teikiamų paslaugų tikrinimu, buvo nustatyti dalijimosi </w:t>
      </w:r>
      <w:proofErr w:type="spellStart"/>
      <w:r w:rsidRPr="00F0606D">
        <w:t>pajėgumai</w:t>
      </w:r>
      <w:proofErr w:type="spellEnd"/>
      <w:r w:rsidRPr="00F0606D">
        <w:t xml:space="preserve"> ir tai, kad Agentūra palaipsniui įgyvendina bendradarbiavimo elementus posėdžių organizavimo, IT saugumo, žmogiškųjų išteklių (pvz., darbuotojų darbo užmokesčio ir individualių išmokų valdymo, su priekabiavimo atvejais susijusių tyrimų), viešųjų pirkimų (pvz., </w:t>
      </w:r>
      <w:proofErr w:type="spellStart"/>
      <w:r w:rsidRPr="00F0606D">
        <w:t>tarpagentūrinių</w:t>
      </w:r>
      <w:proofErr w:type="spellEnd"/>
      <w:r w:rsidRPr="00F0606D">
        <w:t xml:space="preserve"> konkursų, bendrų preliminariųjų sutarčių), vertimo raštu ir apskaitos srityse; pažymi, kad 2022 m. Agentūra su Europos Sąjungos aviacijos saugos agentūra (EASA) sudarė bendradarbiavimo memorandumą, kuriuo nustatomas reguliarus struktūrinis šių dviejų agentūrų dialogas ir gerinamas keitimasis informacija, žiniomis ir patirtimi įvairiose bendradarbiavimo srityse, be kita ko, dėl nagrinėjamos galimybės pritaikyti vieną iš esamų IT sprendimų aviacijos sektoriuje (Europos pranešimų apie avarijas ir incidentus koordinavimo centras) prie dalijimosi geležinkelių informacija sistemos, skirtos pranešimams apie geležinkelių su sauga susijusius įvykius rinkti ir analizuoti; ragina Agentūrą pranešti biudžeto įvykdymą tvirtinančiai institucijai apie šio nagrinėjimo etapo rezultatus;</w:t>
      </w:r>
    </w:p>
    <w:p w:rsidR="000E0536" w:rsidRPr="00F0606D" w:rsidRDefault="000E0536" w:rsidP="00D33C3F">
      <w:pPr>
        <w:spacing w:after="240"/>
        <w:ind w:left="567" w:hanging="567"/>
        <w:rPr>
          <w:szCs w:val="24"/>
        </w:rPr>
      </w:pPr>
      <w:r w:rsidRPr="00F0606D">
        <w:t>16.</w:t>
      </w:r>
      <w:r w:rsidRPr="00F0606D">
        <w:tab/>
        <w:t xml:space="preserve">pažymi, kad pirmoji Agentūros aplinkos valdymo strategija buvo parengta ir paskelbta 2022 m. kaip Agentūros 2023–2025 m. bendrojo programavimo dokumento (BPD) dalis; giria Agentūrą už tai, kad iki 2022 m. pabaigos jau buvo numatytos ir įgyvendintos kai kurios iniciatyvos ir veiksmai, pvz., sumažinta temperatūra pastate, pataisyti ir (arba) pakeisti sugedę jutikliai, kad būtų galima išspręsti visada įjungto apšvietimo kai kuriuose biuruose problemą, pakoreguoti automatinio apšvietimo išjungimo nustatymai, taip pat sukurta ESGA aplinkos (savanoriška) grupė siekiant skatinti veiksmų sklaidą, rinkti idėjas ir didinti pažangą aplinkosaugos veiksmų srityje; remdamasis Audito Rūmų ataskaita su pasitenkinimu pažymi, kad Agentūra yra viena iš agentūrų, planuojančių didinti savo operacijų energijos vartojimo efektyvumą ir poveikio klimatui neutralumą; ragina Agentūrą į šį planą įtraukti kiekybinius anglies </w:t>
      </w:r>
      <w:r w:rsidRPr="00F0606D">
        <w:lastRenderedPageBreak/>
        <w:t xml:space="preserve">pėdsako ir energijos suvartojimo mažinimo bazinius rodiklius ir tikslus, taip pat užtikrinti, kad jos naujasis pastatas </w:t>
      </w:r>
      <w:proofErr w:type="spellStart"/>
      <w:r w:rsidRPr="00F0606D">
        <w:t>Valansjene</w:t>
      </w:r>
      <w:proofErr w:type="spellEnd"/>
      <w:r w:rsidRPr="00F0606D">
        <w:t xml:space="preserve"> būtų sertifikuotas EMAS;</w:t>
      </w:r>
    </w:p>
    <w:p w:rsidR="000E0536" w:rsidRPr="00F0606D" w:rsidRDefault="000E0536" w:rsidP="00D33C3F">
      <w:pPr>
        <w:pStyle w:val="NormalHanging12a"/>
      </w:pPr>
      <w:r w:rsidRPr="00F0606D">
        <w:t>17.</w:t>
      </w:r>
      <w:r w:rsidRPr="00F0606D">
        <w:tab/>
        <w:t>pripažįsta, kad Agentūra pasiekė labai aukštą skaitmeninimo lygį norėdama didinti veiksmingumą, panaikinti popierinius procesus ir siūlyti tokius internetinius sprendimus kaip e. viešieji pirkimai, e. sąskaitų faktūrų išrašymas ir elektroninis kelionių užsakymas, be kita ko, 2022 m. įdiegė Komisijos žmogiškųjų išteklių valdymo sistemą (SYSPER) ir bandomuoju etapu perėjo prie naujos biudžeto, apskaitos ir finansų sistemos SUMMA; palankiai vertina tai, kad Agentūros 2023–2025 m. BPD numatyta toliau skaitmeninti jos darbo srautus;</w:t>
      </w:r>
    </w:p>
    <w:p w:rsidR="000E0536" w:rsidRPr="00F0606D" w:rsidRDefault="000E0536" w:rsidP="00D33C3F">
      <w:pPr>
        <w:pStyle w:val="NormalHanging12a"/>
      </w:pPr>
      <w:r w:rsidRPr="00F0606D">
        <w:t>18.</w:t>
      </w:r>
      <w:r w:rsidRPr="00F0606D">
        <w:tab/>
        <w:t xml:space="preserve">remdamasis Agentūros nuomone dėl tolesnių priemonių, kurių imtasi atsižvelgiant į Agentūros 2021 finansinių metų biudžeto įvykdymo patvirtinimą (toliau – Agentūros nuomonė), pažymi, kad Agentūra įgyvendino keletą priemonių, kad sumažintų veiklos </w:t>
      </w:r>
      <w:proofErr w:type="spellStart"/>
      <w:r w:rsidRPr="00F0606D">
        <w:t>Lilyje</w:t>
      </w:r>
      <w:proofErr w:type="spellEnd"/>
      <w:r w:rsidRPr="00F0606D">
        <w:t xml:space="preserve"> išlaidas (t. y. gerokai sumažintos darbuotojų ir išorės suinteresuotųjų subjektų komandiruočių ir kelionės išlaidos) ir nutraukė dabartinę patalpų </w:t>
      </w:r>
      <w:proofErr w:type="spellStart"/>
      <w:r w:rsidRPr="00F0606D">
        <w:t>Lilyje</w:t>
      </w:r>
      <w:proofErr w:type="spellEnd"/>
      <w:r w:rsidRPr="00F0606D">
        <w:t xml:space="preserve"> nuomos sutartį; pažymi, kad Agentūra ketina rengti tik privalomus posėdžius </w:t>
      </w:r>
      <w:proofErr w:type="spellStart"/>
      <w:r w:rsidRPr="00F0606D">
        <w:t>Lilyje</w:t>
      </w:r>
      <w:proofErr w:type="spellEnd"/>
      <w:r w:rsidRPr="00F0606D">
        <w:t xml:space="preserve"> siekdama laikytis Europos Vadovų Tarybos sprendimo dėl dvigubos būstinės </w:t>
      </w:r>
      <w:proofErr w:type="spellStart"/>
      <w:r w:rsidRPr="00F0606D">
        <w:t>Lilyje</w:t>
      </w:r>
      <w:proofErr w:type="spellEnd"/>
      <w:r w:rsidRPr="00F0606D">
        <w:t xml:space="preserve"> ir </w:t>
      </w:r>
      <w:proofErr w:type="spellStart"/>
      <w:r w:rsidRPr="00F0606D">
        <w:t>Valansjene</w:t>
      </w:r>
      <w:proofErr w:type="spellEnd"/>
      <w:r w:rsidRPr="00F0606D">
        <w:t>; palankiai vertina tai, kad 2022 m. Agentūra, remdamasi Parlamento pastaba, patvirtino savo žmogiškųjų išteklių strategiją (2023–2027 m.), daugiausia dėmesio skirdama veiksmingumo ir efektyvumo didinimui; šiuo požiūriu atkreipia dėmesį į teigiamą patirtį ir pokyčius Agentūroje, susijusius su nuotolinio darbo tvarkos taikymu pasibaigus COVID-19 pandemijai, todėl Agentūra padarė išvadą, kad nauja kasdienybė yra ta, jog nuotolinis darbas laikomas lygiaverčiu darbui biure daugumos darbuotojų požiūriu, nors fizinis buvimas tebėra labai svarbus kai kuriems konkretiems darbams atlikti;</w:t>
      </w:r>
    </w:p>
    <w:p w:rsidR="000E0536" w:rsidRPr="00F0606D" w:rsidRDefault="000E0536" w:rsidP="00D33C3F">
      <w:pPr>
        <w:spacing w:after="240"/>
        <w:ind w:left="567" w:hanging="567"/>
        <w:rPr>
          <w:b/>
          <w:i/>
          <w:szCs w:val="24"/>
        </w:rPr>
      </w:pPr>
      <w:r w:rsidRPr="00F0606D">
        <w:rPr>
          <w:b/>
          <w:i/>
        </w:rPr>
        <w:t>Personalo politika</w:t>
      </w:r>
    </w:p>
    <w:p w:rsidR="000E0536" w:rsidRPr="00F0606D" w:rsidRDefault="000E0536" w:rsidP="00D33C3F">
      <w:pPr>
        <w:spacing w:after="240"/>
        <w:ind w:left="567" w:hanging="567"/>
        <w:rPr>
          <w:szCs w:val="24"/>
        </w:rPr>
      </w:pPr>
      <w:r w:rsidRPr="00F0606D">
        <w:t>19.</w:t>
      </w:r>
      <w:r w:rsidRPr="00F0606D">
        <w:tab/>
        <w:t>pažymi, kad 2022 m. gruodžio 31 d. etatų planas buvo įvykdytas 97,40 proc., t. y. į 154 laikinųjų darbuotojų etatus, patvirtintus pagal Sąjungos biudžetą (palyginti su 2021 m. patvirtintu 151 etatu), buvo paskirta 150 laikinųjų darbuotojų; be to, pažymi, kad 2022 m. Agentūroje dirbo 36 sutartininkai (iš 36 patvirtintų etatų) ir 2 deleguotieji nacionaliniai ekspertai (iš 4 patvirtintų etatų);</w:t>
      </w:r>
    </w:p>
    <w:p w:rsidR="000E0536" w:rsidRPr="00F0606D" w:rsidRDefault="000E0536" w:rsidP="00D33C3F">
      <w:pPr>
        <w:pStyle w:val="NormalHanging12a"/>
      </w:pPr>
      <w:r w:rsidRPr="00F0606D">
        <w:t>20.</w:t>
      </w:r>
      <w:r w:rsidRPr="00F0606D">
        <w:tab/>
        <w:t xml:space="preserve">su susirūpinimu atkreipia dėmesį į tai, kad tarp Agentūros vyresniosios vadovybės atstovų neužtikrinta lyčių pusiausvyra, t. y. 8 iš 10 darbuotojų (80 proc.) yra vyrai; atkreipia dėmesį į pasiskirstymą pagal lytį Agentūros administracinėje valdyboje – 34 iš 64 narių (53 proc.) yra vyrai; taip pat atkreipia dėmesį į visų Agentūros darbuotojų pasiskirstymą pagal lytį: iš 188 darbuotojų 120 darbuotojų (64 proc.) yra vyrai; primena, kad svarbu užtikrinti lyčių pusiausvyrą, ir ragina Agentūrą atsižvelgti į šį aspektą ateityje įdarbinant darbuotojus ir skiriant vyresniosios vadovybės grandies vadovus; pripažįsta nuolatinį Agentūros darbą siekiant panaikinti lyčių nelygybę ir atkreipia dėmesį į konkrečius projektus, pvz., „Moterys ir transportas“, kuriais siekiama didinti moterų užimtumą ir lygias galimybes transporto sektoriuje; atsižvelgdamas į tai, atkreipia dėmesį į Agentūros pastangas padidinti moterų skaičių transporto sektoriuje pasitelkiant tokius rezultatus kaip sparčios </w:t>
      </w:r>
      <w:proofErr w:type="spellStart"/>
      <w:r w:rsidRPr="00F0606D">
        <w:t>tinklaveikos</w:t>
      </w:r>
      <w:proofErr w:type="spellEnd"/>
      <w:r w:rsidRPr="00F0606D">
        <w:t xml:space="preserve"> renginiai ir internetiniai seminarai, kuriuose daugiausia dėmesio skiriama įvairovei ir </w:t>
      </w:r>
      <w:proofErr w:type="spellStart"/>
      <w:r w:rsidRPr="00F0606D">
        <w:t>įtraukčiai</w:t>
      </w:r>
      <w:proofErr w:type="spellEnd"/>
      <w:r w:rsidRPr="00F0606D">
        <w:t xml:space="preserve"> 2022 m.;</w:t>
      </w:r>
    </w:p>
    <w:p w:rsidR="000E0536" w:rsidRPr="00F0606D" w:rsidRDefault="000E0536" w:rsidP="00D33C3F">
      <w:pPr>
        <w:spacing w:after="240"/>
        <w:ind w:left="567" w:hanging="567"/>
        <w:rPr>
          <w:szCs w:val="24"/>
        </w:rPr>
      </w:pPr>
      <w:r w:rsidRPr="00F0606D">
        <w:t>21.</w:t>
      </w:r>
      <w:r w:rsidRPr="00F0606D">
        <w:tab/>
        <w:t xml:space="preserve">remdamasis Agentūros nuomone, pažymi, kad 2022 m. antrąjį pusmetį Agentūra atliko dalyvaujamąjį auditą lyčių atžvilgiu, kurio išvados vėliau buvo panaudotos siekiant </w:t>
      </w:r>
      <w:r w:rsidRPr="00F0606D">
        <w:lastRenderedPageBreak/>
        <w:t xml:space="preserve">padėti nustatyti Agentūros 2023–2027 m. žmogiškųjų išteklių strategijos tikslų prioritetus ir jais buvo remiamasi rengiant dokumentą, kuriame aprašomi Agentūros vadovybės įsipareigojimai įvairovės ir </w:t>
      </w:r>
      <w:proofErr w:type="spellStart"/>
      <w:r w:rsidRPr="00F0606D">
        <w:t>įtraukties</w:t>
      </w:r>
      <w:proofErr w:type="spellEnd"/>
      <w:r w:rsidRPr="00F0606D">
        <w:t xml:space="preserve"> srityje; taip pat pažymi, kad nustatyti konkretūs trumpalaikiai veiksmai, kuriais siekiama didinti įvairovę ir </w:t>
      </w:r>
      <w:proofErr w:type="spellStart"/>
      <w:r w:rsidRPr="00F0606D">
        <w:t>įtrauktį</w:t>
      </w:r>
      <w:proofErr w:type="spellEnd"/>
      <w:r w:rsidRPr="00F0606D">
        <w:t xml:space="preserve"> Agentūroje visais lygmenimis, pvz., darbas, susijęs su įdarbinimu ir įsidarbinimu (rezervų sąrašų naudojimas, integracija darbe, </w:t>
      </w:r>
      <w:proofErr w:type="spellStart"/>
      <w:r w:rsidRPr="00F0606D">
        <w:t>mentorystė</w:t>
      </w:r>
      <w:proofErr w:type="spellEnd"/>
      <w:r w:rsidRPr="00F0606D">
        <w:t>);</w:t>
      </w:r>
    </w:p>
    <w:p w:rsidR="000E0536" w:rsidRPr="00F0606D" w:rsidRDefault="000E0536" w:rsidP="00D33C3F">
      <w:pPr>
        <w:pStyle w:val="NormalHanging12a"/>
      </w:pPr>
      <w:r w:rsidRPr="00F0606D">
        <w:t>22.</w:t>
      </w:r>
      <w:r w:rsidRPr="00F0606D">
        <w:tab/>
        <w:t>palankiai vertina tai, kad Agentūra siekia užtikrinti geografinę pusiausvyrą savo darbuotojų požiūriu, skatindama kandidatus iš visų valstybių narių teikti paraiškas į laisvas darbo vietas; pažymi, kad informacija apie laikinuosius etatus skelbiama visomis ES kalbomis, o kvietimai teikti paraiškas skelbiami ne tik Agentūros interneto svetainėje, bet ir platinami valstybių narių nuolatinių atstovybių lygmeniu;</w:t>
      </w:r>
    </w:p>
    <w:p w:rsidR="000E0536" w:rsidRPr="00F0606D" w:rsidRDefault="000E0536" w:rsidP="00D33C3F">
      <w:pPr>
        <w:spacing w:after="240"/>
        <w:ind w:left="567" w:hanging="567"/>
        <w:rPr>
          <w:szCs w:val="24"/>
        </w:rPr>
      </w:pPr>
      <w:r w:rsidRPr="00F0606D">
        <w:t>23.</w:t>
      </w:r>
      <w:r w:rsidRPr="00F0606D">
        <w:tab/>
        <w:t>remdamasis Agentūros atsakymais į Parlamento raštu pateiktus klausimus, pažymi, kad, kalbant apie priekabiavimo atvejus Agentūroje, apie kuriuos pranešta ir kuriuos nagrinėja vidaus konfidencialūs patarėjai, į registrą buvo įtraukti keturi darbuotojai, du iš jų buvo išbraukti iš registro 2022 m. pabaigoje neatlikus tyrimo ir neturint išvados; ragina Agentūrą toliau plėtoti savo politiką ir metodus, kad ateityje būtų veiksmingiau užkirstas kelias tokiems atvejams;</w:t>
      </w:r>
    </w:p>
    <w:p w:rsidR="000E0536" w:rsidRPr="00F0606D" w:rsidRDefault="000E0536" w:rsidP="00D33C3F">
      <w:pPr>
        <w:spacing w:after="240"/>
        <w:ind w:left="567" w:hanging="567"/>
        <w:rPr>
          <w:b/>
          <w:i/>
          <w:szCs w:val="24"/>
        </w:rPr>
      </w:pPr>
      <w:r w:rsidRPr="00F0606D">
        <w:rPr>
          <w:b/>
          <w:i/>
        </w:rPr>
        <w:t>Viešieji pirkimai</w:t>
      </w:r>
    </w:p>
    <w:p w:rsidR="000E0536" w:rsidRPr="00F0606D" w:rsidRDefault="000E0536" w:rsidP="00D33C3F">
      <w:pPr>
        <w:spacing w:after="240"/>
        <w:ind w:left="567" w:hanging="567"/>
        <w:rPr>
          <w:szCs w:val="24"/>
        </w:rPr>
      </w:pPr>
      <w:r w:rsidRPr="00F0606D">
        <w:t>24.</w:t>
      </w:r>
      <w:r w:rsidRPr="00F0606D">
        <w:tab/>
        <w:t>pažymi, kad 2022 m. Agentūra surengė 2 atvirus kvietimus pateikti pasiūlymus, 3 derybų procedūras ir vieną konkursą atnaujino, taip pat organizavo 2 atvirus kvietimus pateikti pasiūlymus ir 3 derybų procedūras, finansuojamas iš administracinių asignavimų;</w:t>
      </w:r>
    </w:p>
    <w:p w:rsidR="000E0536" w:rsidRPr="00F0606D" w:rsidRDefault="000E0536" w:rsidP="00D33C3F">
      <w:pPr>
        <w:spacing w:after="240"/>
        <w:ind w:left="567" w:hanging="567"/>
      </w:pPr>
      <w:r w:rsidRPr="00F0606D">
        <w:t>25.</w:t>
      </w:r>
      <w:r w:rsidRPr="00F0606D">
        <w:tab/>
        <w:t>remdamasis Agentūros atsakymais į Parlamento raštu pateiktus klausimus, pažymi, kad šiuo metu vykdomi žalieji viešieji pirkimai ir tai yra viena iš Agentūros aplinkos valdymo strategijos iniciatyvų ir (arba) veiksmų;</w:t>
      </w:r>
    </w:p>
    <w:p w:rsidR="000E0536" w:rsidRPr="00F0606D" w:rsidRDefault="000E0536" w:rsidP="00D33C3F">
      <w:pPr>
        <w:spacing w:after="240"/>
        <w:ind w:left="567" w:hanging="567"/>
        <w:rPr>
          <w:szCs w:val="24"/>
        </w:rPr>
      </w:pPr>
      <w:r w:rsidRPr="00F0606D">
        <w:t>26.</w:t>
      </w:r>
      <w:r w:rsidRPr="00F0606D">
        <w:tab/>
        <w:t>remdamasis Agentūros atsakymais į biudžeto įvykdymą tvirtinančios institucijos klausimus, pažymi, kad 2022 m. Agentūros viešųjų pirkimų procesai jau buvo visiškai suskaitmeninti; palankiai vertina tai, kad 2023 m. liepos mėn. Agentūra pradėjo diegti viešųjų pirkimų valdymo priemonę;</w:t>
      </w:r>
    </w:p>
    <w:p w:rsidR="000E0536" w:rsidRPr="00F0606D" w:rsidRDefault="000E0536" w:rsidP="00D33C3F">
      <w:pPr>
        <w:spacing w:after="240"/>
        <w:ind w:left="567" w:hanging="567"/>
        <w:rPr>
          <w:b/>
          <w:i/>
          <w:szCs w:val="24"/>
        </w:rPr>
      </w:pPr>
      <w:r w:rsidRPr="00F0606D">
        <w:rPr>
          <w:b/>
          <w:i/>
        </w:rPr>
        <w:t>Interesų konfliktų prevencija ir valdymas, taip pat skaidrumas</w:t>
      </w:r>
    </w:p>
    <w:p w:rsidR="000E0536" w:rsidRPr="00F0606D" w:rsidRDefault="000E0536" w:rsidP="00D33C3F">
      <w:pPr>
        <w:spacing w:after="240"/>
        <w:ind w:left="567" w:hanging="567"/>
        <w:rPr>
          <w:szCs w:val="24"/>
        </w:rPr>
      </w:pPr>
      <w:r w:rsidRPr="00F0606D">
        <w:t>27.</w:t>
      </w:r>
      <w:r w:rsidRPr="00F0606D">
        <w:tab/>
        <w:t>pažymi, kad Agentūra valdančiosios tarybos ir vyresniosios vadovybės narių gyvenimo aprašymus ir interesų deklaracijas paskelbė Agentūros interneto svetainėje; atkreipia dėmesį į tai, kad Agentūra neskelbia išorės ir vidaus ekspertų gyvenimo aprašymų;</w:t>
      </w:r>
    </w:p>
    <w:p w:rsidR="000E0536" w:rsidRPr="00F0606D" w:rsidRDefault="000E0536" w:rsidP="00D33C3F">
      <w:pPr>
        <w:spacing w:after="240"/>
        <w:ind w:left="567" w:hanging="567"/>
        <w:rPr>
          <w:bCs/>
          <w:szCs w:val="24"/>
        </w:rPr>
      </w:pPr>
      <w:r w:rsidRPr="00F0606D">
        <w:t>28.</w:t>
      </w:r>
      <w:r w:rsidRPr="00F0606D">
        <w:tab/>
        <w:t>palankiai vertina Agentūros pastangas didinti savo veiklos skaidrumą, interneto svetainėje reguliariai skelbiant informaciją apie visus vykdomojo direktoriaus susitikimus su organizacijomis ar savarankiškai dirbančiais asmenimis; pažymi, kad Agentūra naudoja keletą mechanizmų, kad nustatytų interesų konfliktus ir jų išvengtų, šiam tikslui ji sudaro konkrečių kategorijų (pvz., profesinių, šeimos) interesų sąrašus, peržiūri interesų deklaracijas, reikalauja pateikti savanoriškas interesų konfliktų nebuvimo deklaracijas ir reguliariai rengia mokymus;</w:t>
      </w:r>
    </w:p>
    <w:p w:rsidR="000E0536" w:rsidRPr="00F0606D" w:rsidRDefault="000E0536" w:rsidP="00D33C3F">
      <w:pPr>
        <w:spacing w:after="240"/>
        <w:ind w:left="567" w:hanging="567"/>
      </w:pPr>
      <w:r w:rsidRPr="00F0606D">
        <w:t>29.</w:t>
      </w:r>
      <w:r w:rsidRPr="00F0606D">
        <w:tab/>
        <w:t xml:space="preserve">palankiai vertina Agentūros informavimo apie pažeidimą procedūras, pagal kurias darbuotojai gali pranešti apie galimus konfliktus nebijodami atsakomųjų veiksmų; </w:t>
      </w:r>
      <w:r w:rsidRPr="00F0606D">
        <w:lastRenderedPageBreak/>
        <w:t>atsižvelgdamas į tai pažymi, kad 2022 m. apie galimus interesų konfliktų atvejus pranešta Agentūros valdančiosios tarybos narių ir darbuotojų lygmeniu, imtasi rizikos mažinimo priemonių ir jos užregistruotos valdančiosios tarybos posėdžiuose arba dokumentuotos atitinkamų darbuotojų interesų deklaracijose;</w:t>
      </w:r>
    </w:p>
    <w:p w:rsidR="000E0536" w:rsidRPr="00F0606D" w:rsidRDefault="000E0536" w:rsidP="00D33C3F">
      <w:pPr>
        <w:spacing w:after="240"/>
        <w:ind w:left="567" w:hanging="567"/>
      </w:pPr>
      <w:r w:rsidRPr="00F0606D">
        <w:t>30.</w:t>
      </w:r>
      <w:r w:rsidRPr="00F0606D">
        <w:tab/>
        <w:t>remdamasis Agentūros atsakymais į Parlamento raštu pateiktus klausimus, pažymi, kad Agentūra yra nustačiusi procedūras, skirtas galimiems buvusių darbuotojų „sukamųjų durų“ reiškinio atvejams valdyti; atsižvelgdamas į tai apgailestauja, kad Agentūra nevykdo sistemingos stebėsenos, kaip laikomasi taikomų taisyklių, todėl gali likti nenustatytų nedeklaruotų „sukamųjų durų“ reiškinio atvejų arba gali būti neužtikrinama, kad būtų laikomasi nurodymų, anksčiau nustatytų iš darbo Agentūroje išėjusiems darbuotojams;</w:t>
      </w:r>
    </w:p>
    <w:p w:rsidR="000E0536" w:rsidRPr="00F0606D" w:rsidRDefault="000E0536" w:rsidP="00D33C3F">
      <w:pPr>
        <w:spacing w:after="240"/>
        <w:ind w:left="567" w:hanging="567"/>
        <w:rPr>
          <w:szCs w:val="24"/>
        </w:rPr>
      </w:pPr>
      <w:r w:rsidRPr="00F0606D">
        <w:t>31.</w:t>
      </w:r>
      <w:r w:rsidRPr="00F0606D">
        <w:tab/>
        <w:t>pažymi, kad Agentūra toliau rengė mokymų kursus etikos ir kovos su sukčiavimu klausimais, kurie yra privalomi visiems darbuotojams ir yra įtraukti į ketverių metų tęstinį mokymo kursų ciklą siekiant ciklo pabaigoje užtikrinti 100 proc. dalyvavimą; pažymi, kad bendras dalyvavimo lygis 2022 m. kovos su sukčiavimu srityje buvo 22,1 proc. ir etikos srityje – 31,11 proc., ir kad abu mokymai yra pritaikyti atsižvelgiant į Agentūros rizikos aplinką;</w:t>
      </w:r>
    </w:p>
    <w:p w:rsidR="000E0536" w:rsidRPr="00F0606D" w:rsidRDefault="000E0536" w:rsidP="00D33C3F">
      <w:pPr>
        <w:spacing w:after="240"/>
        <w:ind w:left="567" w:hanging="567"/>
        <w:rPr>
          <w:szCs w:val="24"/>
        </w:rPr>
      </w:pPr>
      <w:r w:rsidRPr="00F0606D">
        <w:rPr>
          <w:b/>
          <w:i/>
        </w:rPr>
        <w:t>Vidaus kontrolė</w:t>
      </w:r>
    </w:p>
    <w:p w:rsidR="000E0536" w:rsidRPr="00F0606D" w:rsidRDefault="000E0536" w:rsidP="00D33C3F">
      <w:pPr>
        <w:spacing w:after="240"/>
        <w:ind w:left="567" w:hanging="567"/>
        <w:rPr>
          <w:szCs w:val="24"/>
        </w:rPr>
      </w:pPr>
      <w:r w:rsidRPr="00F0606D">
        <w:t>32.</w:t>
      </w:r>
      <w:r w:rsidRPr="00F0606D">
        <w:tab/>
        <w:t>susirūpinęs atkreipia dėmesį į Audito Rūmų ataskaitoje pateiktas pastabas dėl kai kurių Agentūros valdymo ir kontrolės sistemų trūkumų, t. y. nėra neskelbtinos informacijos įslaptinimo ir apsaugos politikos ir naudojami nepriimtini patvirtinimo metodai, o ne fiziniai ar kvalifikuoti elektroniniai parašai, viešųjų pirkimų procedūrų srityje; remdamasis Agentūros atsakymais į Audito Rūmų pastabas pažymi, kad šiuo metu tie trūkumai yra pašalinti taikant įvairius veiksmus ir priemones; ragina Audito Rūmus įtraukti šiuos veiksmus ir priemones į savo tolesnius auditus;</w:t>
      </w:r>
    </w:p>
    <w:p w:rsidR="000E0536" w:rsidRPr="00F0606D" w:rsidRDefault="000E0536" w:rsidP="00D33C3F">
      <w:pPr>
        <w:spacing w:after="240"/>
        <w:ind w:left="567" w:hanging="567"/>
      </w:pPr>
      <w:r w:rsidRPr="00F0606D">
        <w:t>33.</w:t>
      </w:r>
      <w:r w:rsidRPr="00F0606D">
        <w:tab/>
        <w:t xml:space="preserve">remdamasis Agentūros nuomone, pažymi, kad, kalbant apie Vidaus audito tarnybos (VAT) rekomendacijas, pateiktas po 2019 m. atlikto informacijos valdymo ir informacijos saugumo audito, Agentūra įgyvendino labai svarbią rekomendaciją dėl duomenų valdymo sistemos ir svarbią rekomendaciją dėl duomenų ir IT operacijų (su kuriomis susijusius veiksmus VAT jau baigė vykdyti), tuo tarpu dar dirbama siekiant likusias tris rekomendacijas (dėl duomenų </w:t>
      </w:r>
      <w:proofErr w:type="spellStart"/>
      <w:r w:rsidRPr="00F0606D">
        <w:t>sąveikumo</w:t>
      </w:r>
      <w:proofErr w:type="spellEnd"/>
      <w:r w:rsidRPr="00F0606D">
        <w:t xml:space="preserve"> ir kokybės, duomenų ir IT saugumo, IT tęstinumo ir fizinio saugumo) įgyvendinti 2023 m.; ragina Agentūrą informuoti biudžeto valdymo instituciją apie šioje srityje padarytą pažangą;</w:t>
      </w:r>
    </w:p>
    <w:p w:rsidR="000E0536" w:rsidRPr="00F0606D" w:rsidRDefault="000E0536" w:rsidP="00D33C3F">
      <w:pPr>
        <w:spacing w:after="240"/>
        <w:ind w:left="567" w:hanging="567"/>
        <w:rPr>
          <w:szCs w:val="24"/>
        </w:rPr>
      </w:pPr>
      <w:r w:rsidRPr="00F0606D">
        <w:t>34.</w:t>
      </w:r>
      <w:r w:rsidRPr="00F0606D">
        <w:tab/>
        <w:t>pažymi, kad Agentūroje kiekvienas nukrypimas nuo nustatyto proceso ar procedūros yra dokumentuojamas, pagrindžiamas ir patvirtinamas atitinkamu valdymo lygmeniu; su pasitenkinimu pažymi, kad užregistruotų neatitikties atvejų skaičius sumažėjo nuo 35 atvejų 2021 m. iki 28 atvejų 2022 m.; pažymi, kad 2022 m. buvo užregistruoti 28 administracinių taisyklių (nukrypimas nuo nuotolinio darbo taisyklių), viešųjų pirkimų procedūrų ir (arba) taisyklių (neteisėtai taikoma derybų procedūra), komandiruočių taisyklių (vykimas į komandiruotes be patvirtinto siuntimo į komandiruotę), taip pat taisyklių tokiose srityse kaip sutarčių valdymas, įsipareigojimai ir darbuotojų atranka nesilaikymo atvejai; pažymi, kad 13 iš 28 neatitikties atvejų buvo išimtiniai (</w:t>
      </w:r>
      <w:proofErr w:type="spellStart"/>
      <w:r w:rsidRPr="00F0606D">
        <w:rPr>
          <w:i/>
          <w:iCs/>
        </w:rPr>
        <w:t>ex</w:t>
      </w:r>
      <w:proofErr w:type="spellEnd"/>
      <w:r w:rsidRPr="00F0606D">
        <w:rPr>
          <w:i/>
          <w:iCs/>
        </w:rPr>
        <w:t> ante</w:t>
      </w:r>
      <w:r w:rsidRPr="00F0606D">
        <w:t xml:space="preserve"> neatitiktys) ir skaidriai dokumentuoti bei pagrįsti, pvz., siekiant užtikrinti veiklos tęstinumą ar dėl ekonominių priežasčių; palankiai vertina tai, kad Agentūra ėmėsi kiekvienam neatitikties atvejui pašalinti skirtų rizikos mažinimo arba stebėsenos </w:t>
      </w:r>
      <w:r w:rsidRPr="00F0606D">
        <w:lastRenderedPageBreak/>
        <w:t>veiksmų; ragina Agentūrą toliau vykdyti rizika grindžiamus ir periodinius pagrindinių vidaus kontrolės sričių, kuriomis remiasi patikinimo procesas, veikimo vertinimus;</w:t>
      </w:r>
    </w:p>
    <w:p w:rsidR="000E0536" w:rsidRPr="00F0606D" w:rsidRDefault="000E0536" w:rsidP="00D33C3F">
      <w:pPr>
        <w:spacing w:after="240"/>
        <w:ind w:left="567" w:hanging="567"/>
        <w:rPr>
          <w:szCs w:val="24"/>
        </w:rPr>
      </w:pPr>
      <w:r w:rsidRPr="00F0606D">
        <w:t>35.</w:t>
      </w:r>
      <w:r w:rsidRPr="00F0606D">
        <w:tab/>
        <w:t>pažymi, kad 2022 m. Agentūra atliko rizikos vertinimą, suderintą su jos metiniu strateginiu planavimu, ir visus metus nuolat peržiūrėjo rizikos ir susijusių rizikos mažinimo priemonių aktualumą; atkreipia dėmesį į nustatytus didelius iššūkius ir (arba) riziką, susijusius su biudžeto vykdymu, naujos IT organizacinės finansinės priemonės (SUMMA) įgyvendinimu, darbuotojų apribojimais, IT saugumo problemomis ir COVID-19 padariniais;</w:t>
      </w:r>
    </w:p>
    <w:p w:rsidR="000E0536" w:rsidRPr="00F0606D" w:rsidRDefault="000E0536" w:rsidP="00D33C3F">
      <w:pPr>
        <w:spacing w:after="240"/>
        <w:ind w:left="567" w:hanging="567"/>
        <w:rPr>
          <w:szCs w:val="24"/>
        </w:rPr>
      </w:pPr>
      <w:r w:rsidRPr="00F0606D">
        <w:t>36.</w:t>
      </w:r>
      <w:r w:rsidRPr="00F0606D">
        <w:tab/>
        <w:t>pažymi, kad 2022 m. gruodžio mėn. OLAF tyrimas baigtas be jokių išvadų ar papildomų rekomendacijų;</w:t>
      </w:r>
    </w:p>
    <w:p w:rsidR="000E0536" w:rsidRPr="00F0606D" w:rsidRDefault="000E0536" w:rsidP="00D33C3F">
      <w:pPr>
        <w:spacing w:after="240"/>
        <w:ind w:left="567" w:hanging="567"/>
        <w:rPr>
          <w:szCs w:val="24"/>
        </w:rPr>
      </w:pPr>
      <w:r w:rsidRPr="00F0606D">
        <w:rPr>
          <w:b/>
          <w:i/>
        </w:rPr>
        <w:t>Kitos pastabos</w:t>
      </w:r>
    </w:p>
    <w:p w:rsidR="000E0536" w:rsidRPr="00F0606D" w:rsidRDefault="000E0536" w:rsidP="00D33C3F">
      <w:pPr>
        <w:tabs>
          <w:tab w:val="left" w:pos="567"/>
        </w:tabs>
        <w:spacing w:after="240"/>
        <w:ind w:left="567" w:hanging="567"/>
        <w:rPr>
          <w:szCs w:val="24"/>
        </w:rPr>
      </w:pPr>
      <w:r w:rsidRPr="00F0606D">
        <w:t>37.</w:t>
      </w:r>
      <w:r w:rsidRPr="00F0606D">
        <w:tab/>
        <w:t xml:space="preserve">pažymi, kad po veiksmų, kurių buvo imtasi su Europos Parlamentu ir Taryba dėl naujo Agentūros pastato, vykdomasis direktorius informavo valdančiąją tarybą apie kelis 2023 m. įvykusius susitikimus su </w:t>
      </w:r>
      <w:proofErr w:type="spellStart"/>
      <w:r w:rsidRPr="00F0606D">
        <w:t>Valansjeno</w:t>
      </w:r>
      <w:proofErr w:type="spellEnd"/>
      <w:r w:rsidRPr="00F0606D">
        <w:t xml:space="preserve"> miesto valdžios atstovais; taip pat pažymi, kad statybos leidimas turėtų būti išduotas 2024 m. kovo mėn., statybos darbus būtų galima pradėti 2024 m. vasarą ir pastatas būtų baigtas statyti 2026 m.;</w:t>
      </w:r>
    </w:p>
    <w:p w:rsidR="000E0536" w:rsidRPr="00F0606D" w:rsidRDefault="000E0536" w:rsidP="00D33C3F">
      <w:pPr>
        <w:pStyle w:val="NormalHanging12a"/>
      </w:pPr>
      <w:r w:rsidRPr="00F0606D">
        <w:t>38.</w:t>
      </w:r>
      <w:r w:rsidRPr="00F0606D">
        <w:tab/>
        <w:t>palankiai vertina nuolatines Agentūros pastangas stiprinti komunikaciją įvairiais kanalais, kad pasiektų kuo didesnę visuomenės dalį; atkreipia dėmesį į tai, kad 2022 m. lapkričio mėn. sukurta ir pradėta naudoti nauja ESGA interneto svetainė, kurioje pateikiama aiškesnė, paprasta ir moderni priemonė Agentūros indėliui į geležinkelių sektorių ir apskritai ES piliečiams teikiamai naudai pristatyti; pripažįsta Agentūros pastangas 2022 m. surengti 9 internetinius seminarus ir parengti keletą leidinių ir vaizdo įrašų; palankiai vertina tai, kad 2022 m. Agentūra toliau buvo labai dažnai matoma žiniasklaidoje ir padidino savo sekėjų skaičių socialinėje žiniasklaidoje;</w:t>
      </w:r>
    </w:p>
    <w:p w:rsidR="000E0536" w:rsidRPr="00F0606D" w:rsidRDefault="000E0536" w:rsidP="00D33C3F">
      <w:pPr>
        <w:pStyle w:val="NormalHanging12a"/>
      </w:pPr>
      <w:r w:rsidRPr="00F0606D">
        <w:t>39.</w:t>
      </w:r>
      <w:r w:rsidRPr="00F0606D">
        <w:tab/>
        <w:t>pabrėžia, kad 2022 m. Europos geležinkelių įmonėms buvo dar vieni atsigavimo po COVID-19 pandemijos metai; nuolatinis geležinkelių sektoriaus atsparumas ir jo išmetamas mažas anglies dioksido kiekis yra du pagrindiniai veiksniai, padėsiantys ateityje grįžti į prieš pandemiją buvusį lygį;</w:t>
      </w:r>
    </w:p>
    <w:p w:rsidR="000E0536" w:rsidRPr="00F0606D" w:rsidRDefault="000E0536" w:rsidP="00D33C3F">
      <w:pPr>
        <w:pStyle w:val="NormalHanging12a"/>
      </w:pPr>
      <w:r w:rsidRPr="00F0606D">
        <w:t>40.</w:t>
      </w:r>
      <w:r w:rsidRPr="00F0606D">
        <w:tab/>
        <w:t>apgailestauja dėl to, kad dabartiniai reikalavimai dėl pranešimo apie geležinkelių saugos srities avarijas ir incidentus yra fragmentiški visoje Europoje, apsiriboja tik priežiūros funkcija ir nėra paremti tinkama pagalbine priemone, todėl ragina Komisiją pašalinti šią spragą ir šiuo tikslu skirti reikiamą finansavimą;</w:t>
      </w:r>
    </w:p>
    <w:p w:rsidR="000E0536" w:rsidRPr="00F0606D" w:rsidRDefault="000E0536" w:rsidP="00D33C3F">
      <w:pPr>
        <w:pStyle w:val="NormalHanging12a"/>
      </w:pPr>
      <w:r w:rsidRPr="00F0606D">
        <w:t>41.</w:t>
      </w:r>
      <w:r w:rsidRPr="00F0606D">
        <w:tab/>
        <w:t xml:space="preserve">pažymi, kad, kai ES šalys kandidatės įstos į Sąjungą, jos bus įgyvendinusios sistemą ir ES </w:t>
      </w:r>
      <w:proofErr w:type="spellStart"/>
      <w:r w:rsidRPr="00F0606D">
        <w:rPr>
          <w:i/>
          <w:iCs/>
        </w:rPr>
        <w:t>acquis</w:t>
      </w:r>
      <w:proofErr w:type="spellEnd"/>
      <w:r w:rsidRPr="00F0606D">
        <w:t>; atkreipia dėmesį į tai, kad dėl to ES piliečiai galės naudotis geležinkeliu kaip aplinką tausojančia ir saugia transporto rūšimi ir vežti savo prekes iš Pietryčių Europos ir į ją, nes Vakarų Balkanų šalis dabar su ES jungia krovinių vežimo geležinkeliais koridoriai; pabrėžia Pasirengimo narystei pagalbos priemonės ir Vakarų Balkanų projekto vaidmenį remiant projekto naudos gavėjus jiems įgyvendinant Direktyvą dėl sąveikos ir Saugos direktyvą; be to, pažymi, kad tai suteiks pagrindą atverti geležinkelio paslaugų ir sklandžių kelionių traukiniais iš šio kaimyninio regiono ir į jį rinką;</w:t>
      </w:r>
    </w:p>
    <w:p w:rsidR="000E0536" w:rsidRPr="00F0606D" w:rsidRDefault="000E0536" w:rsidP="000E0536">
      <w:pPr>
        <w:pStyle w:val="NormalCenter12a"/>
      </w:pPr>
      <w:r w:rsidRPr="00F0606D">
        <w:t>°</w:t>
      </w:r>
    </w:p>
    <w:p w:rsidR="000E0536" w:rsidRPr="00F0606D" w:rsidRDefault="000E0536" w:rsidP="000E0536">
      <w:pPr>
        <w:pStyle w:val="NormalCenter12a"/>
      </w:pPr>
      <w:r w:rsidRPr="00F0606D">
        <w:t>°</w:t>
      </w:r>
      <w:r w:rsidRPr="00F0606D">
        <w:tab/>
        <w:t>°</w:t>
      </w:r>
    </w:p>
    <w:p w:rsidR="000E0536" w:rsidRPr="00F0606D" w:rsidRDefault="000E0536" w:rsidP="000E0536">
      <w:pPr>
        <w:pStyle w:val="NormalHanging12a"/>
      </w:pPr>
      <w:r w:rsidRPr="00F0606D">
        <w:lastRenderedPageBreak/>
        <w:t>42.</w:t>
      </w:r>
      <w:r w:rsidRPr="00F0606D">
        <w:tab/>
        <w:t xml:space="preserve">pažymi, kad kitos su sprendimu dėl biudžeto įvykdymo patvirtinimo susijusios pastabos, kurios yra horizontaliojo pobūdžio, pateikiamos </w:t>
      </w:r>
      <w:r w:rsidR="003B7092">
        <w:t>jo</w:t>
      </w:r>
      <w:r w:rsidRPr="00F0606D">
        <w:t xml:space="preserve"> 2024 m. </w:t>
      </w:r>
      <w:r w:rsidR="007B039C">
        <w:t>balandžio</w:t>
      </w:r>
      <w:r w:rsidRPr="00F0606D">
        <w:t> </w:t>
      </w:r>
      <w:r w:rsidR="007B039C">
        <w:t>11</w:t>
      </w:r>
      <w:r w:rsidRPr="00F0606D">
        <w:t> d. rezoliucijoje</w:t>
      </w:r>
      <w:r w:rsidR="007B039C" w:rsidRPr="00F0606D">
        <w:rPr>
          <w:rStyle w:val="FootnoteReference"/>
        </w:rPr>
        <w:footnoteReference w:id="12"/>
      </w:r>
      <w:r w:rsidRPr="00F0606D">
        <w:t xml:space="preserve"> dėl agentūrų veiklos, finansų valdymo </w:t>
      </w:r>
      <w:bookmarkStart w:id="8" w:name="_GoBack"/>
      <w:bookmarkEnd w:id="8"/>
      <w:r w:rsidRPr="00F0606D">
        <w:t>ir kontrolės.</w:t>
      </w:r>
    </w:p>
    <w:sectPr w:rsidR="000E0536" w:rsidRPr="00F0606D" w:rsidSect="00F0606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01B" w:rsidRPr="00F0606D" w:rsidRDefault="0083601B">
      <w:r w:rsidRPr="00F0606D">
        <w:separator/>
      </w:r>
    </w:p>
  </w:endnote>
  <w:endnote w:type="continuationSeparator" w:id="0">
    <w:p w:rsidR="0083601B" w:rsidRPr="00F0606D" w:rsidRDefault="0083601B">
      <w:r w:rsidRPr="00F060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536" w:rsidRPr="00F0606D" w:rsidRDefault="000E0536" w:rsidP="006911BA">
    <w:pPr>
      <w:pStyle w:val="EPFooter"/>
    </w:pPr>
    <w:r w:rsidRPr="00F0606D">
      <w:t>PE</w:t>
    </w:r>
    <w:r w:rsidRPr="00F0606D">
      <w:rPr>
        <w:rStyle w:val="HideTWBExt"/>
      </w:rPr>
      <w:t>&lt;</w:t>
    </w:r>
    <w:proofErr w:type="spellStart"/>
    <w:r w:rsidRPr="00F0606D">
      <w:rPr>
        <w:rStyle w:val="HideTWBExt"/>
      </w:rPr>
      <w:t>NoPE</w:t>
    </w:r>
    <w:proofErr w:type="spellEnd"/>
    <w:r w:rsidRPr="00F0606D">
      <w:rPr>
        <w:rStyle w:val="HideTWBExt"/>
      </w:rPr>
      <w:t>&gt;</w:t>
    </w:r>
    <w:r w:rsidRPr="00F0606D">
      <w:t>753.528</w:t>
    </w:r>
    <w:r w:rsidRPr="00F0606D">
      <w:rPr>
        <w:rStyle w:val="HideTWBExt"/>
      </w:rPr>
      <w:t>&lt;/</w:t>
    </w:r>
    <w:proofErr w:type="spellStart"/>
    <w:r w:rsidRPr="00F0606D">
      <w:rPr>
        <w:rStyle w:val="HideTWBExt"/>
      </w:rPr>
      <w:t>NoPE</w:t>
    </w:r>
    <w:proofErr w:type="spellEnd"/>
    <w:r w:rsidRPr="00F0606D">
      <w:rPr>
        <w:rStyle w:val="HideTWBExt"/>
      </w:rPr>
      <w:t>&gt;&lt;Version&gt;</w:t>
    </w:r>
    <w:r w:rsidRPr="00F0606D">
      <w:t>v02-00</w:t>
    </w:r>
    <w:r w:rsidRPr="00F0606D">
      <w:rPr>
        <w:rStyle w:val="HideTWBExt"/>
      </w:rPr>
      <w:t>&lt;/</w:t>
    </w:r>
    <w:proofErr w:type="spellStart"/>
    <w:r w:rsidRPr="00F0606D">
      <w:rPr>
        <w:rStyle w:val="HideTWBExt"/>
      </w:rPr>
      <w:t>Version</w:t>
    </w:r>
    <w:proofErr w:type="spellEnd"/>
    <w:r w:rsidRPr="00F0606D">
      <w:rPr>
        <w:rStyle w:val="HideTWBExt"/>
      </w:rPr>
      <w:t>&gt;</w:t>
    </w:r>
    <w:r w:rsidRPr="00F0606D">
      <w:tab/>
    </w:r>
    <w:r w:rsidRPr="00F0606D">
      <w:fldChar w:fldCharType="begin"/>
    </w:r>
    <w:r w:rsidRPr="00F0606D">
      <w:instrText xml:space="preserve"> PAGE  \* MERGEFORMAT </w:instrText>
    </w:r>
    <w:r w:rsidRPr="00F0606D">
      <w:fldChar w:fldCharType="separate"/>
    </w:r>
    <w:r w:rsidRPr="00F0606D">
      <w:rPr>
        <w:noProof/>
      </w:rPr>
      <w:t>14</w:t>
    </w:r>
    <w:r w:rsidRPr="00F0606D">
      <w:fldChar w:fldCharType="end"/>
    </w:r>
    <w:r w:rsidRPr="00F0606D">
      <w:t>/</w:t>
    </w:r>
    <w:fldSimple w:instr=" NUMPAGES  \* MERGEFORMAT ">
      <w:r w:rsidRPr="00F0606D">
        <w:rPr>
          <w:noProof/>
        </w:rPr>
        <w:t>14</w:t>
      </w:r>
    </w:fldSimple>
    <w:r w:rsidRPr="00F0606D">
      <w:tab/>
    </w:r>
    <w:r w:rsidRPr="00F0606D">
      <w:rPr>
        <w:rStyle w:val="HideTWBExt"/>
      </w:rPr>
      <w:t>&lt;PathFdR&gt;</w:t>
    </w:r>
    <w:r w:rsidRPr="00F0606D">
      <w:t>RR\1298731LT.docx</w:t>
    </w:r>
    <w:r w:rsidRPr="00F0606D">
      <w:rPr>
        <w:rStyle w:val="HideTWBExt"/>
      </w:rPr>
      <w:t>&lt;/</w:t>
    </w:r>
    <w:proofErr w:type="spellStart"/>
    <w:r w:rsidRPr="00F0606D">
      <w:rPr>
        <w:rStyle w:val="HideTWBExt"/>
      </w:rPr>
      <w:t>PathFdR</w:t>
    </w:r>
    <w:proofErr w:type="spellEnd"/>
    <w:r w:rsidRPr="00F0606D">
      <w:rPr>
        <w:rStyle w:val="HideTWBExt"/>
      </w:rPr>
      <w:t>&gt;</w:t>
    </w:r>
  </w:p>
  <w:p w:rsidR="000E0536" w:rsidRPr="00F0606D" w:rsidRDefault="000E0536" w:rsidP="006911BA">
    <w:pPr>
      <w:pStyle w:val="EPFooter2"/>
    </w:pPr>
    <w:r w:rsidRPr="00F0606D">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536" w:rsidRPr="00F0606D" w:rsidRDefault="000E0536" w:rsidP="006911BA">
    <w:pPr>
      <w:pStyle w:val="EPFooter"/>
    </w:pPr>
    <w:r w:rsidRPr="00F0606D">
      <w:rPr>
        <w:rStyle w:val="HideTWBExt"/>
      </w:rPr>
      <w:t>&lt;PathFdR&gt;</w:t>
    </w:r>
    <w:r w:rsidRPr="00F0606D">
      <w:t>RR\1298731LT.docx</w:t>
    </w:r>
    <w:r w:rsidRPr="00F0606D">
      <w:rPr>
        <w:rStyle w:val="HideTWBExt"/>
      </w:rPr>
      <w:t>&lt;/</w:t>
    </w:r>
    <w:proofErr w:type="spellStart"/>
    <w:r w:rsidRPr="00F0606D">
      <w:rPr>
        <w:rStyle w:val="HideTWBExt"/>
      </w:rPr>
      <w:t>PathFdR</w:t>
    </w:r>
    <w:proofErr w:type="spellEnd"/>
    <w:r w:rsidRPr="00F0606D">
      <w:rPr>
        <w:rStyle w:val="HideTWBExt"/>
      </w:rPr>
      <w:t>&gt;</w:t>
    </w:r>
    <w:r w:rsidRPr="00F0606D">
      <w:tab/>
    </w:r>
    <w:r w:rsidRPr="00F0606D">
      <w:tab/>
      <w:t>PE</w:t>
    </w:r>
    <w:r w:rsidRPr="00F0606D">
      <w:rPr>
        <w:rStyle w:val="HideTWBExt"/>
      </w:rPr>
      <w:t>&lt;</w:t>
    </w:r>
    <w:proofErr w:type="spellStart"/>
    <w:r w:rsidRPr="00F0606D">
      <w:rPr>
        <w:rStyle w:val="HideTWBExt"/>
      </w:rPr>
      <w:t>NoPE</w:t>
    </w:r>
    <w:proofErr w:type="spellEnd"/>
    <w:r w:rsidRPr="00F0606D">
      <w:rPr>
        <w:rStyle w:val="HideTWBExt"/>
      </w:rPr>
      <w:t>&gt;</w:t>
    </w:r>
    <w:r w:rsidRPr="00F0606D">
      <w:t>753.528</w:t>
    </w:r>
    <w:r w:rsidRPr="00F0606D">
      <w:rPr>
        <w:rStyle w:val="HideTWBExt"/>
      </w:rPr>
      <w:t>&lt;/</w:t>
    </w:r>
    <w:proofErr w:type="spellStart"/>
    <w:r w:rsidRPr="00F0606D">
      <w:rPr>
        <w:rStyle w:val="HideTWBExt"/>
      </w:rPr>
      <w:t>NoPE</w:t>
    </w:r>
    <w:proofErr w:type="spellEnd"/>
    <w:r w:rsidRPr="00F0606D">
      <w:rPr>
        <w:rStyle w:val="HideTWBExt"/>
      </w:rPr>
      <w:t>&gt;&lt;Version&gt;</w:t>
    </w:r>
    <w:r w:rsidRPr="00F0606D">
      <w:t>v02-00</w:t>
    </w:r>
    <w:r w:rsidRPr="00F0606D">
      <w:rPr>
        <w:rStyle w:val="HideTWBExt"/>
      </w:rPr>
      <w:t>&lt;/</w:t>
    </w:r>
    <w:proofErr w:type="spellStart"/>
    <w:r w:rsidRPr="00F0606D">
      <w:rPr>
        <w:rStyle w:val="HideTWBExt"/>
      </w:rPr>
      <w:t>Version</w:t>
    </w:r>
    <w:proofErr w:type="spellEnd"/>
    <w:r w:rsidRPr="00F0606D">
      <w:rPr>
        <w:rStyle w:val="HideTWBExt"/>
      </w:rPr>
      <w:t>&gt;</w:t>
    </w:r>
  </w:p>
  <w:p w:rsidR="000E0536" w:rsidRPr="00F0606D" w:rsidRDefault="000E0536" w:rsidP="006911BA">
    <w:pPr>
      <w:pStyle w:val="EPFooter2"/>
    </w:pPr>
    <w:r w:rsidRPr="00F0606D">
      <w:t>LT</w:t>
    </w:r>
    <w:r w:rsidRPr="00F0606D">
      <w:tab/>
    </w:r>
    <w:r w:rsidRPr="00F0606D">
      <w:rPr>
        <w:b w:val="0"/>
        <w:i/>
        <w:color w:val="C0C0C0"/>
        <w:sz w:val="22"/>
      </w:rPr>
      <w:t>Suvienijusi įvairovę</w:t>
    </w:r>
    <w:r w:rsidRPr="00F0606D">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06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06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0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01B" w:rsidRPr="00F0606D" w:rsidRDefault="0083601B">
      <w:r w:rsidRPr="00F0606D">
        <w:separator/>
      </w:r>
    </w:p>
  </w:footnote>
  <w:footnote w:type="continuationSeparator" w:id="0">
    <w:p w:rsidR="0083601B" w:rsidRPr="00F0606D" w:rsidRDefault="0083601B">
      <w:r w:rsidRPr="00F0606D">
        <w:continuationSeparator/>
      </w:r>
    </w:p>
  </w:footnote>
  <w:footnote w:id="1">
    <w:p w:rsidR="000E0536" w:rsidRPr="00F0606D" w:rsidRDefault="000E0536" w:rsidP="00F0606D">
      <w:pPr>
        <w:pStyle w:val="FootnoteText"/>
        <w:ind w:left="567" w:hanging="567"/>
        <w:rPr>
          <w:sz w:val="24"/>
          <w:lang w:val="lt-LT"/>
        </w:rPr>
      </w:pPr>
      <w:r w:rsidRPr="00F0606D">
        <w:rPr>
          <w:rStyle w:val="FootnoteReference"/>
          <w:sz w:val="24"/>
          <w:lang w:val="lt-LT"/>
        </w:rPr>
        <w:footnoteRef/>
      </w:r>
      <w:r w:rsidR="00F0606D" w:rsidRPr="00F0606D">
        <w:rPr>
          <w:sz w:val="24"/>
          <w:lang w:val="lt-LT"/>
        </w:rPr>
        <w:t xml:space="preserve"> </w:t>
      </w:r>
      <w:r w:rsidR="00F0606D" w:rsidRPr="00F0606D">
        <w:rPr>
          <w:sz w:val="24"/>
          <w:lang w:val="lt-LT"/>
        </w:rPr>
        <w:tab/>
      </w:r>
      <w:r w:rsidRPr="00F0606D">
        <w:rPr>
          <w:sz w:val="24"/>
          <w:lang w:val="lt-LT"/>
        </w:rPr>
        <w:t>OL C, C/2023/594, 2023 10 27.</w:t>
      </w:r>
    </w:p>
  </w:footnote>
  <w:footnote w:id="2">
    <w:p w:rsidR="000E0536" w:rsidRPr="00F0606D" w:rsidRDefault="000E0536" w:rsidP="00F0606D">
      <w:pPr>
        <w:pStyle w:val="FootnoteText"/>
        <w:ind w:left="567" w:hanging="567"/>
        <w:rPr>
          <w:sz w:val="24"/>
          <w:lang w:val="lt-LT"/>
        </w:rPr>
      </w:pPr>
      <w:r w:rsidRPr="00F0606D">
        <w:rPr>
          <w:rStyle w:val="FootnoteReference"/>
          <w:sz w:val="24"/>
          <w:lang w:val="lt-LT"/>
        </w:rPr>
        <w:footnoteRef/>
      </w:r>
      <w:r w:rsidR="00F0606D" w:rsidRPr="00F0606D">
        <w:rPr>
          <w:sz w:val="24"/>
          <w:lang w:val="lt-LT"/>
        </w:rPr>
        <w:t xml:space="preserve"> </w:t>
      </w:r>
      <w:r w:rsidR="00F0606D" w:rsidRPr="00F0606D">
        <w:rPr>
          <w:sz w:val="24"/>
          <w:lang w:val="lt-LT"/>
        </w:rPr>
        <w:tab/>
      </w:r>
      <w:r w:rsidRPr="00F0606D">
        <w:rPr>
          <w:sz w:val="24"/>
          <w:lang w:val="lt-LT"/>
        </w:rPr>
        <w:t>OL C, C/2023/112, 2023 10 12.</w:t>
      </w:r>
    </w:p>
  </w:footnote>
  <w:footnote w:id="3">
    <w:p w:rsidR="000E0536" w:rsidRPr="00F0606D" w:rsidRDefault="000E0536" w:rsidP="00F0606D">
      <w:pPr>
        <w:pStyle w:val="FootnoteText"/>
        <w:ind w:left="567" w:hanging="567"/>
        <w:rPr>
          <w:sz w:val="24"/>
          <w:lang w:val="lt-LT"/>
        </w:rPr>
      </w:pPr>
      <w:r w:rsidRPr="00F0606D">
        <w:rPr>
          <w:rStyle w:val="FootnoteReference"/>
          <w:sz w:val="24"/>
          <w:lang w:val="lt-LT"/>
        </w:rPr>
        <w:footnoteRef/>
      </w:r>
      <w:r w:rsidR="00F0606D" w:rsidRPr="00F0606D">
        <w:rPr>
          <w:sz w:val="24"/>
          <w:lang w:val="lt-LT"/>
        </w:rPr>
        <w:t xml:space="preserve"> </w:t>
      </w:r>
      <w:r w:rsidR="00F0606D" w:rsidRPr="00F0606D">
        <w:rPr>
          <w:sz w:val="24"/>
          <w:lang w:val="lt-LT"/>
        </w:rPr>
        <w:tab/>
      </w:r>
      <w:r w:rsidRPr="00F0606D">
        <w:rPr>
          <w:sz w:val="24"/>
          <w:lang w:val="lt-LT"/>
        </w:rPr>
        <w:t>OL L 193, 2018 7 30, p. 1.</w:t>
      </w:r>
    </w:p>
  </w:footnote>
  <w:footnote w:id="4">
    <w:p w:rsidR="000E0536" w:rsidRPr="00F0606D" w:rsidRDefault="000E0536" w:rsidP="00F0606D">
      <w:pPr>
        <w:pStyle w:val="FootnoteText"/>
        <w:ind w:left="567" w:hanging="567"/>
        <w:rPr>
          <w:sz w:val="24"/>
          <w:lang w:val="lt-LT"/>
        </w:rPr>
      </w:pPr>
      <w:r w:rsidRPr="00F0606D">
        <w:rPr>
          <w:rStyle w:val="FootnoteReference"/>
          <w:sz w:val="24"/>
          <w:lang w:val="lt-LT"/>
        </w:rPr>
        <w:footnoteRef/>
      </w:r>
      <w:r w:rsidR="00F0606D" w:rsidRPr="00F0606D">
        <w:rPr>
          <w:sz w:val="24"/>
          <w:lang w:val="lt-LT"/>
        </w:rPr>
        <w:t xml:space="preserve"> </w:t>
      </w:r>
      <w:r w:rsidR="00F0606D" w:rsidRPr="00F0606D">
        <w:rPr>
          <w:sz w:val="24"/>
          <w:lang w:val="lt-LT"/>
        </w:rPr>
        <w:tab/>
      </w:r>
      <w:r w:rsidRPr="00F0606D">
        <w:rPr>
          <w:sz w:val="24"/>
          <w:lang w:val="lt-LT"/>
        </w:rPr>
        <w:t>OL L 138, 2016 5 26, p. 1.</w:t>
      </w:r>
    </w:p>
  </w:footnote>
  <w:footnote w:id="5">
    <w:p w:rsidR="000E0536" w:rsidRPr="00F0606D" w:rsidRDefault="000E0536" w:rsidP="00F0606D">
      <w:pPr>
        <w:pStyle w:val="FootnoteText"/>
        <w:ind w:left="567" w:hanging="567"/>
        <w:rPr>
          <w:sz w:val="24"/>
          <w:lang w:val="lt-LT"/>
        </w:rPr>
      </w:pPr>
      <w:r w:rsidRPr="00F0606D">
        <w:rPr>
          <w:rStyle w:val="FootnoteReference"/>
          <w:sz w:val="24"/>
          <w:lang w:val="lt-LT"/>
        </w:rPr>
        <w:footnoteRef/>
      </w:r>
      <w:r w:rsidR="00F0606D" w:rsidRPr="00F0606D">
        <w:rPr>
          <w:sz w:val="24"/>
          <w:lang w:val="lt-LT"/>
        </w:rPr>
        <w:t xml:space="preserve"> </w:t>
      </w:r>
      <w:r w:rsidR="00F0606D" w:rsidRPr="00F0606D">
        <w:rPr>
          <w:sz w:val="24"/>
          <w:lang w:val="lt-LT"/>
        </w:rPr>
        <w:tab/>
      </w:r>
      <w:r w:rsidRPr="00F0606D">
        <w:rPr>
          <w:sz w:val="24"/>
          <w:lang w:val="lt-LT"/>
        </w:rPr>
        <w:t>OL L 122, 2019 5 10, p. 1</w:t>
      </w:r>
    </w:p>
  </w:footnote>
  <w:footnote w:id="6">
    <w:p w:rsidR="000E0536" w:rsidRPr="00F0606D" w:rsidRDefault="000E0536" w:rsidP="00F0606D">
      <w:pPr>
        <w:pStyle w:val="FootnoteText"/>
        <w:ind w:left="567" w:hanging="567"/>
        <w:rPr>
          <w:sz w:val="24"/>
          <w:lang w:val="lt-LT"/>
        </w:rPr>
      </w:pPr>
      <w:r w:rsidRPr="00F0606D">
        <w:rPr>
          <w:rStyle w:val="FootnoteReference"/>
          <w:sz w:val="24"/>
          <w:lang w:val="lt-LT"/>
        </w:rPr>
        <w:footnoteRef/>
      </w:r>
      <w:r w:rsidR="00F0606D" w:rsidRPr="00F0606D">
        <w:rPr>
          <w:sz w:val="24"/>
          <w:lang w:val="lt-LT"/>
        </w:rPr>
        <w:t xml:space="preserve"> </w:t>
      </w:r>
      <w:r w:rsidR="00F0606D" w:rsidRPr="00F0606D">
        <w:rPr>
          <w:sz w:val="24"/>
          <w:lang w:val="lt-LT"/>
        </w:rPr>
        <w:tab/>
      </w:r>
      <w:r w:rsidRPr="00F0606D">
        <w:rPr>
          <w:sz w:val="24"/>
          <w:lang w:val="lt-LT"/>
        </w:rPr>
        <w:t>OL C, C/2023/594, 2023 10 27.</w:t>
      </w:r>
    </w:p>
  </w:footnote>
  <w:footnote w:id="7">
    <w:p w:rsidR="000E0536" w:rsidRPr="00F0606D" w:rsidRDefault="000E0536" w:rsidP="00F0606D">
      <w:pPr>
        <w:pStyle w:val="FootnoteText"/>
        <w:ind w:left="567" w:hanging="567"/>
        <w:rPr>
          <w:sz w:val="24"/>
          <w:lang w:val="lt-LT"/>
        </w:rPr>
      </w:pPr>
      <w:r w:rsidRPr="00F0606D">
        <w:rPr>
          <w:rStyle w:val="FootnoteReference"/>
          <w:sz w:val="24"/>
          <w:lang w:val="lt-LT"/>
        </w:rPr>
        <w:footnoteRef/>
      </w:r>
      <w:r w:rsidR="00F0606D" w:rsidRPr="00F0606D">
        <w:rPr>
          <w:sz w:val="24"/>
          <w:lang w:val="lt-LT"/>
        </w:rPr>
        <w:t xml:space="preserve"> </w:t>
      </w:r>
      <w:r w:rsidR="00F0606D" w:rsidRPr="00F0606D">
        <w:rPr>
          <w:sz w:val="24"/>
          <w:lang w:val="lt-LT"/>
        </w:rPr>
        <w:tab/>
      </w:r>
      <w:r w:rsidRPr="00F0606D">
        <w:rPr>
          <w:sz w:val="24"/>
          <w:lang w:val="lt-LT"/>
        </w:rPr>
        <w:t>OL C, C/2023/112, 2023 10 12.</w:t>
      </w:r>
    </w:p>
  </w:footnote>
  <w:footnote w:id="8">
    <w:p w:rsidR="000E0536" w:rsidRPr="00F0606D" w:rsidRDefault="000E0536" w:rsidP="00F0606D">
      <w:pPr>
        <w:pStyle w:val="FootnoteText"/>
        <w:ind w:left="567" w:hanging="567"/>
        <w:rPr>
          <w:sz w:val="24"/>
          <w:lang w:val="lt-LT"/>
        </w:rPr>
      </w:pPr>
      <w:r w:rsidRPr="00F0606D">
        <w:rPr>
          <w:rStyle w:val="FootnoteReference"/>
          <w:sz w:val="24"/>
          <w:lang w:val="lt-LT"/>
        </w:rPr>
        <w:footnoteRef/>
      </w:r>
      <w:r w:rsidR="00F0606D" w:rsidRPr="00F0606D">
        <w:rPr>
          <w:sz w:val="24"/>
          <w:lang w:val="lt-LT"/>
        </w:rPr>
        <w:t xml:space="preserve"> </w:t>
      </w:r>
      <w:r w:rsidR="00F0606D" w:rsidRPr="00F0606D">
        <w:rPr>
          <w:sz w:val="24"/>
          <w:lang w:val="lt-LT"/>
        </w:rPr>
        <w:tab/>
      </w:r>
      <w:r w:rsidRPr="00F0606D">
        <w:rPr>
          <w:sz w:val="24"/>
          <w:lang w:val="lt-LT"/>
        </w:rPr>
        <w:t>OL L 193, 2018 7 30, p. 1.</w:t>
      </w:r>
    </w:p>
  </w:footnote>
  <w:footnote w:id="9">
    <w:p w:rsidR="000E0536" w:rsidRPr="00F0606D" w:rsidRDefault="000E0536" w:rsidP="00F0606D">
      <w:pPr>
        <w:pStyle w:val="FootnoteText"/>
        <w:ind w:left="567" w:hanging="567"/>
        <w:rPr>
          <w:sz w:val="24"/>
          <w:lang w:val="lt-LT"/>
        </w:rPr>
      </w:pPr>
      <w:r w:rsidRPr="00F0606D">
        <w:rPr>
          <w:rStyle w:val="FootnoteReference"/>
          <w:sz w:val="24"/>
          <w:lang w:val="lt-LT"/>
        </w:rPr>
        <w:footnoteRef/>
      </w:r>
      <w:r w:rsidR="00F0606D" w:rsidRPr="00F0606D">
        <w:rPr>
          <w:sz w:val="24"/>
          <w:lang w:val="lt-LT"/>
        </w:rPr>
        <w:t xml:space="preserve"> </w:t>
      </w:r>
      <w:r w:rsidR="00F0606D" w:rsidRPr="00F0606D">
        <w:rPr>
          <w:sz w:val="24"/>
          <w:lang w:val="lt-LT"/>
        </w:rPr>
        <w:tab/>
      </w:r>
      <w:r w:rsidRPr="00F0606D">
        <w:rPr>
          <w:sz w:val="24"/>
          <w:lang w:val="lt-LT"/>
        </w:rPr>
        <w:t>OL L 138, 2016 5 26, p. 1.</w:t>
      </w:r>
    </w:p>
  </w:footnote>
  <w:footnote w:id="10">
    <w:p w:rsidR="000E0536" w:rsidRPr="00F0606D" w:rsidRDefault="000E0536" w:rsidP="00F0606D">
      <w:pPr>
        <w:pStyle w:val="FootnoteText"/>
        <w:ind w:left="567" w:hanging="567"/>
        <w:rPr>
          <w:sz w:val="24"/>
          <w:lang w:val="lt-LT"/>
        </w:rPr>
      </w:pPr>
      <w:r w:rsidRPr="00F0606D">
        <w:rPr>
          <w:rStyle w:val="FootnoteReference"/>
          <w:sz w:val="24"/>
          <w:lang w:val="lt-LT"/>
        </w:rPr>
        <w:footnoteRef/>
      </w:r>
      <w:r w:rsidR="00F0606D" w:rsidRPr="00F0606D">
        <w:rPr>
          <w:sz w:val="24"/>
          <w:lang w:val="lt-LT"/>
        </w:rPr>
        <w:t xml:space="preserve"> </w:t>
      </w:r>
      <w:r w:rsidR="00F0606D" w:rsidRPr="00F0606D">
        <w:rPr>
          <w:sz w:val="24"/>
          <w:lang w:val="lt-LT"/>
        </w:rPr>
        <w:tab/>
      </w:r>
      <w:r w:rsidRPr="00F0606D">
        <w:rPr>
          <w:sz w:val="24"/>
          <w:lang w:val="lt-LT"/>
        </w:rPr>
        <w:t>OL L 122, 2019 5 10, p. 1</w:t>
      </w:r>
    </w:p>
  </w:footnote>
  <w:footnote w:id="11">
    <w:p w:rsidR="000E0536" w:rsidRPr="00F0606D" w:rsidRDefault="000E0536" w:rsidP="00F0606D">
      <w:pPr>
        <w:pStyle w:val="FootnoteText"/>
        <w:ind w:left="567" w:hanging="567"/>
        <w:rPr>
          <w:sz w:val="24"/>
          <w:lang w:val="lt-LT"/>
        </w:rPr>
      </w:pPr>
      <w:r w:rsidRPr="00F0606D">
        <w:rPr>
          <w:rStyle w:val="FootnoteReference"/>
          <w:sz w:val="24"/>
          <w:lang w:val="lt-LT"/>
        </w:rPr>
        <w:footnoteRef/>
      </w:r>
      <w:r w:rsidR="00F0606D" w:rsidRPr="00F0606D">
        <w:rPr>
          <w:sz w:val="24"/>
          <w:lang w:val="lt-LT"/>
        </w:rPr>
        <w:t xml:space="preserve"> </w:t>
      </w:r>
      <w:r w:rsidR="00F0606D" w:rsidRPr="00F0606D">
        <w:rPr>
          <w:sz w:val="24"/>
          <w:lang w:val="lt-LT"/>
        </w:rPr>
        <w:tab/>
      </w:r>
      <w:r w:rsidRPr="00F0606D">
        <w:rPr>
          <w:sz w:val="24"/>
          <w:lang w:val="lt-LT"/>
        </w:rPr>
        <w:t>OL C 38, 2023 1 31, p. 51.</w:t>
      </w:r>
    </w:p>
  </w:footnote>
  <w:footnote w:id="12">
    <w:p w:rsidR="007B039C" w:rsidRPr="00F0606D" w:rsidRDefault="007B039C" w:rsidP="007B039C">
      <w:pPr>
        <w:pStyle w:val="FootnoteText"/>
        <w:ind w:left="567" w:hanging="567"/>
        <w:rPr>
          <w:sz w:val="24"/>
          <w:lang w:val="lt-LT"/>
        </w:rPr>
      </w:pPr>
      <w:r w:rsidRPr="00F0606D">
        <w:rPr>
          <w:rStyle w:val="FootnoteReference"/>
          <w:sz w:val="24"/>
          <w:lang w:val="lt-LT"/>
        </w:rPr>
        <w:footnoteRef/>
      </w:r>
      <w:r w:rsidRPr="00F0606D">
        <w:rPr>
          <w:sz w:val="24"/>
          <w:lang w:val="lt-LT"/>
        </w:rPr>
        <w:t xml:space="preserve"> </w:t>
      </w:r>
      <w:r w:rsidRPr="00F0606D">
        <w:rPr>
          <w:sz w:val="24"/>
          <w:lang w:val="lt-LT"/>
        </w:rPr>
        <w:tab/>
        <w:t>Priimti tekstai, P9_TA(2024)0</w:t>
      </w:r>
      <w:r w:rsidR="003B7092">
        <w:rPr>
          <w:sz w:val="24"/>
          <w:lang w:val="lt-LT"/>
        </w:rPr>
        <w:t>28</w:t>
      </w:r>
      <w:r w:rsidR="00CB64A7">
        <w:rPr>
          <w:sz w:val="24"/>
          <w:lang w:val="lt-LT"/>
        </w:rPr>
        <w:t>0</w:t>
      </w:r>
      <w:r w:rsidRPr="00F0606D">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0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0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0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LT"/>
    <w:docVar w:name="dvnumam" w:val="0"/>
    <w:docVar w:name="dvpe" w:val="753.528"/>
    <w:docVar w:name="dvrapporteur" w:val="Pranešėjas: "/>
    <w:docVar w:name="dvtitre" w:val="Europos Parlamento sprendimas dėl Europos Sąjungos geležinkelių agentūros 2022 finansinių metų biudžeto įvykdymo patvirtinimo(2023/2160(DEC))"/>
  </w:docVars>
  <w:rsids>
    <w:rsidRoot w:val="0083601B"/>
    <w:rsid w:val="00002272"/>
    <w:rsid w:val="00064002"/>
    <w:rsid w:val="000677B9"/>
    <w:rsid w:val="000831BA"/>
    <w:rsid w:val="000A42CC"/>
    <w:rsid w:val="000E0536"/>
    <w:rsid w:val="000E7DD9"/>
    <w:rsid w:val="0010095E"/>
    <w:rsid w:val="00125B37"/>
    <w:rsid w:val="00187494"/>
    <w:rsid w:val="001F32AE"/>
    <w:rsid w:val="002767FF"/>
    <w:rsid w:val="002B18FE"/>
    <w:rsid w:val="002B5493"/>
    <w:rsid w:val="00343214"/>
    <w:rsid w:val="00361C00"/>
    <w:rsid w:val="00395FA1"/>
    <w:rsid w:val="003B709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039C"/>
    <w:rsid w:val="007D1690"/>
    <w:rsid w:val="007E22AD"/>
    <w:rsid w:val="00817416"/>
    <w:rsid w:val="0083601B"/>
    <w:rsid w:val="00842779"/>
    <w:rsid w:val="00865F67"/>
    <w:rsid w:val="00881A7B"/>
    <w:rsid w:val="008840E5"/>
    <w:rsid w:val="00887B3E"/>
    <w:rsid w:val="008C2AC6"/>
    <w:rsid w:val="0093047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64A7"/>
    <w:rsid w:val="00CC1EF5"/>
    <w:rsid w:val="00CC2357"/>
    <w:rsid w:val="00CF071A"/>
    <w:rsid w:val="00D058B8"/>
    <w:rsid w:val="00D10C46"/>
    <w:rsid w:val="00D33C3F"/>
    <w:rsid w:val="00D56C11"/>
    <w:rsid w:val="00D834A0"/>
    <w:rsid w:val="00D872DF"/>
    <w:rsid w:val="00D91E21"/>
    <w:rsid w:val="00DA7FCD"/>
    <w:rsid w:val="00E365E1"/>
    <w:rsid w:val="00E820A4"/>
    <w:rsid w:val="00EB006A"/>
    <w:rsid w:val="00EB4772"/>
    <w:rsid w:val="00ED169E"/>
    <w:rsid w:val="00ED4235"/>
    <w:rsid w:val="00F04346"/>
    <w:rsid w:val="00F0606D"/>
    <w:rsid w:val="00F075DC"/>
    <w:rsid w:val="00F12F76"/>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4EFEFF"/>
  <w15:chartTrackingRefBased/>
  <w15:docId w15:val="{E0D2F401-CA9A-4957-9343-51D02ED4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E053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E0536"/>
    <w:pPr>
      <w:spacing w:before="480" w:after="240"/>
    </w:pPr>
  </w:style>
  <w:style w:type="paragraph" w:customStyle="1" w:styleId="PageHeading">
    <w:name w:val="PageHeading"/>
    <w:basedOn w:val="Normal"/>
    <w:rsid w:val="000E0536"/>
    <w:pPr>
      <w:keepNext/>
      <w:spacing w:after="480"/>
      <w:jc w:val="center"/>
    </w:pPr>
    <w:rPr>
      <w:rFonts w:ascii="Arial" w:hAnsi="Arial" w:cs="Arial"/>
      <w:b/>
    </w:rPr>
  </w:style>
  <w:style w:type="paragraph" w:customStyle="1" w:styleId="NormalBold">
    <w:name w:val="NormalBold"/>
    <w:basedOn w:val="Normal"/>
    <w:rsid w:val="000E0536"/>
    <w:rPr>
      <w:b/>
    </w:rPr>
  </w:style>
  <w:style w:type="paragraph" w:customStyle="1" w:styleId="NormalHanging12a">
    <w:name w:val="NormalHanging12a"/>
    <w:basedOn w:val="Normal"/>
    <w:link w:val="NormalHanging12aChar"/>
    <w:rsid w:val="000E0536"/>
    <w:pPr>
      <w:spacing w:after="240"/>
      <w:ind w:left="567" w:hanging="567"/>
    </w:pPr>
  </w:style>
  <w:style w:type="paragraph" w:customStyle="1" w:styleId="NormalCenter12a">
    <w:name w:val="NormalCenter12a"/>
    <w:basedOn w:val="Normal"/>
    <w:rsid w:val="000E0536"/>
    <w:pPr>
      <w:spacing w:after="240"/>
      <w:jc w:val="center"/>
    </w:pPr>
  </w:style>
  <w:style w:type="paragraph" w:styleId="Header">
    <w:name w:val="header"/>
    <w:basedOn w:val="Normal"/>
    <w:link w:val="HeaderChar"/>
    <w:rsid w:val="000E0536"/>
    <w:pPr>
      <w:tabs>
        <w:tab w:val="center" w:pos="4513"/>
        <w:tab w:val="right" w:pos="9026"/>
      </w:tabs>
    </w:pPr>
  </w:style>
  <w:style w:type="character" w:customStyle="1" w:styleId="HeaderChar">
    <w:name w:val="Header Char"/>
    <w:basedOn w:val="DefaultParagraphFont"/>
    <w:link w:val="Header"/>
    <w:rsid w:val="000E0536"/>
    <w:rPr>
      <w:sz w:val="24"/>
      <w:lang w:val="lt-LT"/>
    </w:rPr>
  </w:style>
  <w:style w:type="paragraph" w:customStyle="1" w:styleId="EPFooter">
    <w:name w:val="EPFooter"/>
    <w:basedOn w:val="Normal"/>
    <w:rsid w:val="000E053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0E0536"/>
    <w:rPr>
      <w:sz w:val="24"/>
      <w:lang w:val="lt-LT"/>
    </w:rPr>
  </w:style>
  <w:style w:type="paragraph" w:customStyle="1" w:styleId="Normal24a">
    <w:name w:val="Normal24a"/>
    <w:basedOn w:val="Normal"/>
    <w:rsid w:val="000E0536"/>
    <w:pPr>
      <w:spacing w:after="480"/>
    </w:pPr>
  </w:style>
  <w:style w:type="paragraph" w:customStyle="1" w:styleId="Normal12a">
    <w:name w:val="Normal12a"/>
    <w:basedOn w:val="Normal"/>
    <w:rsid w:val="000E0536"/>
    <w:pPr>
      <w:spacing w:after="240"/>
    </w:pPr>
  </w:style>
  <w:style w:type="paragraph" w:customStyle="1" w:styleId="PageHeadingNotTOC">
    <w:name w:val="PageHeadingNotTOC"/>
    <w:basedOn w:val="Normal"/>
    <w:rsid w:val="000E0536"/>
    <w:pPr>
      <w:keepNext/>
      <w:spacing w:after="480"/>
      <w:jc w:val="center"/>
    </w:pPr>
    <w:rPr>
      <w:rFonts w:ascii="Arial" w:hAnsi="Arial" w:cs="Arial"/>
      <w:b/>
    </w:rPr>
  </w:style>
  <w:style w:type="paragraph" w:styleId="Footer">
    <w:name w:val="footer"/>
    <w:basedOn w:val="Normal"/>
    <w:link w:val="FooterChar"/>
    <w:rsid w:val="007B039C"/>
    <w:pPr>
      <w:tabs>
        <w:tab w:val="center" w:pos="4513"/>
        <w:tab w:val="right" w:pos="9026"/>
      </w:tabs>
    </w:pPr>
  </w:style>
  <w:style w:type="character" w:customStyle="1" w:styleId="FooterChar">
    <w:name w:val="Footer Char"/>
    <w:basedOn w:val="DefaultParagraphFont"/>
    <w:link w:val="Footer"/>
    <w:rsid w:val="007B039C"/>
    <w:rPr>
      <w:sz w:val="24"/>
      <w:lang w:val="lt-LT"/>
    </w:rPr>
  </w:style>
  <w:style w:type="paragraph" w:styleId="BalloonText">
    <w:name w:val="Balloon Text"/>
    <w:basedOn w:val="Normal"/>
    <w:link w:val="BalloonTextChar"/>
    <w:rsid w:val="00CC1EF5"/>
    <w:rPr>
      <w:rFonts w:ascii="Segoe UI" w:hAnsi="Segoe UI" w:cs="Segoe UI"/>
      <w:sz w:val="18"/>
      <w:szCs w:val="18"/>
    </w:rPr>
  </w:style>
  <w:style w:type="character" w:customStyle="1" w:styleId="BalloonTextChar">
    <w:name w:val="Balloon Text Char"/>
    <w:basedOn w:val="DefaultParagraphFont"/>
    <w:link w:val="BalloonText"/>
    <w:rsid w:val="00CC1EF5"/>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BBD0F-4D2F-4665-AD9C-D5B8B3BE9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4179</Words>
  <Characters>28460</Characters>
  <Application>Microsoft Office Word</Application>
  <DocSecurity>0</DocSecurity>
  <Lines>237</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2024-04-11T10:02:00Z</dcterms:created>
  <dcterms:modified xsi:type="dcterms:W3CDTF">2024-04-11T12:22:00Z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A9-0092/2024</vt:lpwstr>
  </property>
  <property fmtid="{D5CDD505-2E9C-101B-9397-08002B2CF9AE}" pid="4" name="&lt;Type&gt;">
    <vt:lpwstr>RR</vt:lpwstr>
  </property>
</Properties>
</file>