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6961" w:rsidTr="0010095E">
        <w:trPr>
          <w:trHeight w:hRule="exact" w:val="1418"/>
        </w:trPr>
        <w:tc>
          <w:tcPr>
            <w:tcW w:w="6804" w:type="dxa"/>
            <w:shd w:val="clear" w:color="auto" w:fill="auto"/>
            <w:vAlign w:val="center"/>
          </w:tcPr>
          <w:p w:rsidR="00751A4A" w:rsidRPr="002B6961" w:rsidRDefault="006F62B5" w:rsidP="0010095E">
            <w:pPr>
              <w:pStyle w:val="EPName"/>
            </w:pPr>
            <w:r w:rsidRPr="002B6961">
              <w:t>Parlamentul European</w:t>
            </w:r>
          </w:p>
          <w:p w:rsidR="00751A4A" w:rsidRPr="002B6961" w:rsidRDefault="00817416" w:rsidP="00756632">
            <w:pPr>
              <w:pStyle w:val="EPTerm"/>
              <w:rPr>
                <w:rStyle w:val="HideTWBExt"/>
                <w:noProof w:val="0"/>
                <w:vanish w:val="0"/>
                <w:color w:val="auto"/>
              </w:rPr>
            </w:pPr>
            <w:r w:rsidRPr="002B6961">
              <w:t>2019-2024</w:t>
            </w:r>
          </w:p>
        </w:tc>
        <w:tc>
          <w:tcPr>
            <w:tcW w:w="2268" w:type="dxa"/>
            <w:shd w:val="clear" w:color="auto" w:fill="auto"/>
          </w:tcPr>
          <w:p w:rsidR="00751A4A" w:rsidRPr="002B6961" w:rsidRDefault="00187494" w:rsidP="0010095E">
            <w:pPr>
              <w:pStyle w:val="EPLogo"/>
            </w:pPr>
            <w:r w:rsidRPr="002B69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6961" w:rsidRDefault="00D058B8" w:rsidP="004C5D52">
      <w:pPr>
        <w:pStyle w:val="LineTop"/>
      </w:pPr>
    </w:p>
    <w:p w:rsidR="00680577" w:rsidRPr="002B6961" w:rsidRDefault="006F62B5" w:rsidP="00680577">
      <w:pPr>
        <w:pStyle w:val="EPBodyTA1"/>
      </w:pPr>
      <w:r w:rsidRPr="002B6961">
        <w:t>TEXTE ADOPTATE</w:t>
      </w:r>
    </w:p>
    <w:p w:rsidR="00D058B8" w:rsidRPr="002B6961" w:rsidRDefault="00D058B8" w:rsidP="00D058B8">
      <w:pPr>
        <w:pStyle w:val="LineBottom"/>
      </w:pPr>
    </w:p>
    <w:p w:rsidR="006F62B5" w:rsidRPr="002B6961" w:rsidRDefault="006F62B5" w:rsidP="006F62B5">
      <w:pPr>
        <w:pStyle w:val="ATHeading1"/>
      </w:pPr>
      <w:bookmarkStart w:id="0" w:name="TANumber"/>
      <w:r w:rsidRPr="002B6961">
        <w:t>P9_TA(2024)</w:t>
      </w:r>
      <w:bookmarkEnd w:id="0"/>
      <w:r w:rsidR="002B6961" w:rsidRPr="002B6961">
        <w:t>0253</w:t>
      </w:r>
    </w:p>
    <w:p w:rsidR="006F62B5" w:rsidRPr="002B6961" w:rsidRDefault="006F62B5" w:rsidP="006F62B5">
      <w:pPr>
        <w:pStyle w:val="ATHeading2"/>
      </w:pPr>
      <w:bookmarkStart w:id="1" w:name="title"/>
      <w:r w:rsidRPr="002B6961">
        <w:t>Descărcarea de gestiune 2022: Agenția Uniunii Europene pentru Căile Ferate</w:t>
      </w:r>
      <w:bookmarkEnd w:id="1"/>
    </w:p>
    <w:p w:rsidR="006F62B5" w:rsidRPr="002B6961" w:rsidRDefault="006F62B5" w:rsidP="006F62B5">
      <w:pPr>
        <w:rPr>
          <w:i/>
          <w:vanish/>
        </w:rPr>
      </w:pPr>
      <w:r w:rsidRPr="002B6961">
        <w:rPr>
          <w:i/>
        </w:rPr>
        <w:fldChar w:fldCharType="begin"/>
      </w:r>
      <w:r w:rsidRPr="002B6961">
        <w:rPr>
          <w:i/>
        </w:rPr>
        <w:instrText xml:space="preserve"> TC"(</w:instrText>
      </w:r>
      <w:bookmarkStart w:id="2" w:name="DocNumber"/>
      <w:r w:rsidRPr="002B6961">
        <w:rPr>
          <w:i/>
        </w:rPr>
        <w:instrText>A9-0092/2024</w:instrText>
      </w:r>
      <w:bookmarkEnd w:id="2"/>
      <w:r w:rsidRPr="002B6961">
        <w:rPr>
          <w:i/>
        </w:rPr>
        <w:instrText xml:space="preserve"> - Raportor: Petri Sarvamaa)"\l3 \n&gt; \* MERGEFORMAT </w:instrText>
      </w:r>
      <w:r w:rsidRPr="002B6961">
        <w:rPr>
          <w:i/>
        </w:rPr>
        <w:fldChar w:fldCharType="end"/>
      </w:r>
    </w:p>
    <w:p w:rsidR="006F62B5" w:rsidRPr="002B6961" w:rsidRDefault="006F62B5" w:rsidP="006F62B5">
      <w:pPr>
        <w:rPr>
          <w:vanish/>
        </w:rPr>
      </w:pPr>
      <w:bookmarkStart w:id="3" w:name="Commission"/>
      <w:r w:rsidRPr="002B6961">
        <w:rPr>
          <w:vanish/>
        </w:rPr>
        <w:t>Comisia pentru control bugetar</w:t>
      </w:r>
      <w:bookmarkEnd w:id="3"/>
    </w:p>
    <w:p w:rsidR="006F62B5" w:rsidRPr="002B6961" w:rsidRDefault="006F62B5" w:rsidP="006F62B5">
      <w:pPr>
        <w:rPr>
          <w:vanish/>
        </w:rPr>
      </w:pPr>
      <w:bookmarkStart w:id="4" w:name="PE"/>
      <w:r w:rsidRPr="002B6961">
        <w:rPr>
          <w:vanish/>
        </w:rPr>
        <w:t>PE753.528</w:t>
      </w:r>
      <w:bookmarkEnd w:id="4"/>
    </w:p>
    <w:p w:rsidR="006F62B5" w:rsidRPr="002B6961" w:rsidRDefault="006F62B5" w:rsidP="00664343">
      <w:pPr>
        <w:pStyle w:val="ATHeading3"/>
      </w:pPr>
      <w:bookmarkStart w:id="5" w:name="Sujet"/>
      <w:r w:rsidRPr="002B6961">
        <w:t>1. Decizia Parlamentului European din 11 aprilie 2024 privind descărcarea de gestiune pentru execuția bugetului Agenției Uniunii Europene pentru Căile Ferate aferent exercițiului financiar 2022</w:t>
      </w:r>
      <w:bookmarkEnd w:id="5"/>
      <w:r w:rsidRPr="002B6961">
        <w:t xml:space="preserve"> </w:t>
      </w:r>
      <w:bookmarkStart w:id="6" w:name="References"/>
      <w:r w:rsidRPr="002B6961">
        <w:t>(2023/2160(DEC))</w:t>
      </w:r>
      <w:bookmarkEnd w:id="6"/>
    </w:p>
    <w:p w:rsidR="0097119D" w:rsidRPr="002B6961" w:rsidRDefault="0097119D" w:rsidP="0097119D">
      <w:pPr>
        <w:pStyle w:val="EPComma"/>
      </w:pPr>
      <w:bookmarkStart w:id="7" w:name="TextBodyBegin"/>
      <w:bookmarkEnd w:id="7"/>
      <w:r w:rsidRPr="002B6961">
        <w:rPr>
          <w:i/>
          <w:iCs/>
        </w:rPr>
        <w:t>Parlamentul European</w:t>
      </w:r>
      <w:r w:rsidRPr="002B6961">
        <w:t>,</w:t>
      </w:r>
    </w:p>
    <w:p w:rsidR="0097119D" w:rsidRPr="002B6961" w:rsidRDefault="0097119D" w:rsidP="0097119D">
      <w:pPr>
        <w:pStyle w:val="NormalHanging12a"/>
      </w:pPr>
      <w:r w:rsidRPr="002B6961">
        <w:t>–</w:t>
      </w:r>
      <w:r w:rsidRPr="002B6961">
        <w:tab/>
        <w:t>având în vedere conturile anuale finale ale Agenției Uniunii Europene pentru Căile Ferate pentru exercițiul financiar 2022,</w:t>
      </w:r>
    </w:p>
    <w:p w:rsidR="0097119D" w:rsidRPr="002B6961" w:rsidRDefault="0097119D" w:rsidP="0097119D">
      <w:pPr>
        <w:pStyle w:val="NormalHanging12a"/>
      </w:pPr>
      <w:r w:rsidRPr="002B6961">
        <w:t>–</w:t>
      </w:r>
      <w:r w:rsidRPr="002B6961">
        <w:tab/>
        <w:t>având în vedere Raportul anual al Curții de Conturi privind agențiile UE pentru exercițiul financiar 2022, însoțit de răspunsurile agențiilor</w:t>
      </w:r>
      <w:r w:rsidRPr="002B6961">
        <w:rPr>
          <w:rStyle w:val="FootnoteReference"/>
        </w:rPr>
        <w:footnoteReference w:id="1"/>
      </w:r>
      <w:r w:rsidRPr="002B6961">
        <w:t>,</w:t>
      </w:r>
    </w:p>
    <w:p w:rsidR="0097119D" w:rsidRPr="002B6961" w:rsidRDefault="0097119D" w:rsidP="0097119D">
      <w:pPr>
        <w:pStyle w:val="NormalHanging12a"/>
      </w:pPr>
      <w:r w:rsidRPr="002B6961">
        <w:t>–</w:t>
      </w:r>
      <w:r w:rsidRPr="002B6961">
        <w:tab/>
        <w:t>având în vedere declarația de asigurare</w:t>
      </w:r>
      <w:r w:rsidRPr="002B6961">
        <w:rPr>
          <w:rStyle w:val="FootnoteReference"/>
        </w:rPr>
        <w:footnoteReference w:id="2"/>
      </w:r>
      <w:r w:rsidRPr="002B6961">
        <w:t xml:space="preserve"> privind fiabilitatea conturilor și legalitatea și regularitatea operațiunilor subiacente întocmită de Curtea de Conturi pentru exercițiul 2022 în temeiul articolului 287 din Tratatul privind funcționarea Uniunii Europene,</w:t>
      </w:r>
    </w:p>
    <w:p w:rsidR="0097119D" w:rsidRPr="002B6961" w:rsidRDefault="0097119D" w:rsidP="0097119D">
      <w:pPr>
        <w:pStyle w:val="NormalHanging12a"/>
      </w:pPr>
      <w:r w:rsidRPr="002B6961">
        <w:t>–</w:t>
      </w:r>
      <w:r w:rsidRPr="002B6961">
        <w:tab/>
        <w:t>având în vedere Recomandarea Consiliului din 22 februarie 2024 privind descărcarea de gestiune a Agenției în ceea ce privește execuția bugetară pentru exercițiul financiar 2022 (</w:t>
      </w:r>
      <w:r w:rsidR="00B87AD2" w:rsidRPr="002B6961">
        <w:t>06180/2024 – C9</w:t>
      </w:r>
      <w:r w:rsidR="00B87AD2" w:rsidRPr="002B6961">
        <w:noBreakHyphen/>
        <w:t>0098/2024</w:t>
      </w:r>
      <w:r w:rsidRPr="002B6961">
        <w:t>),</w:t>
      </w:r>
    </w:p>
    <w:p w:rsidR="0097119D" w:rsidRPr="002B6961" w:rsidRDefault="0097119D" w:rsidP="0097119D">
      <w:pPr>
        <w:pStyle w:val="NormalHanging12a"/>
      </w:pPr>
      <w:r w:rsidRPr="002B6961">
        <w:t>–</w:t>
      </w:r>
      <w:r w:rsidRPr="002B6961">
        <w:tab/>
        <w:t>având în vedere articolul 319 din Tratatul privind funcționarea Uniunii Europene,</w:t>
      </w:r>
    </w:p>
    <w:p w:rsidR="0097119D" w:rsidRPr="002B6961" w:rsidRDefault="0097119D" w:rsidP="0097119D">
      <w:pPr>
        <w:pStyle w:val="NormalHanging12a"/>
      </w:pPr>
      <w:r w:rsidRPr="002B6961">
        <w:t>–</w:t>
      </w:r>
      <w:r w:rsidRPr="002B696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B6961">
        <w:rPr>
          <w:rStyle w:val="FootnoteReference"/>
        </w:rPr>
        <w:footnoteReference w:id="3"/>
      </w:r>
      <w:r w:rsidRPr="002B6961">
        <w:t>, în special articolul 70,</w:t>
      </w:r>
    </w:p>
    <w:p w:rsidR="0097119D" w:rsidRPr="002B6961" w:rsidRDefault="0097119D" w:rsidP="0097119D">
      <w:pPr>
        <w:pStyle w:val="NormalHanging12a"/>
      </w:pPr>
      <w:r w:rsidRPr="002B6961">
        <w:t>–</w:t>
      </w:r>
      <w:r w:rsidRPr="002B6961">
        <w:tab/>
        <w:t>având în vedere Regulamentul (UE) 2016/796 al Parlamentului European și al Consiliului din 11 mai 2016 privind Agenția Uniunii Europene pentru Căile Ferate și de abrogare a Regulamentului (CE) nr. 881/2004</w:t>
      </w:r>
      <w:r w:rsidRPr="002B6961">
        <w:rPr>
          <w:rStyle w:val="FootnoteReference"/>
        </w:rPr>
        <w:footnoteReference w:id="4"/>
      </w:r>
      <w:r w:rsidRPr="002B6961">
        <w:t>, în special articolul 65,</w:t>
      </w:r>
    </w:p>
    <w:p w:rsidR="0097119D" w:rsidRPr="002B6961" w:rsidRDefault="0097119D" w:rsidP="0097119D">
      <w:pPr>
        <w:pStyle w:val="NormalHanging12a"/>
      </w:pPr>
      <w:r w:rsidRPr="002B6961">
        <w:lastRenderedPageBreak/>
        <w:t>–</w:t>
      </w:r>
      <w:r w:rsidRPr="002B696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B6961">
        <w:rPr>
          <w:rStyle w:val="FootnoteReference"/>
        </w:rPr>
        <w:footnoteReference w:id="5"/>
      </w:r>
      <w:r w:rsidRPr="002B6961">
        <w:t>, în special articolul 105,</w:t>
      </w:r>
    </w:p>
    <w:p w:rsidR="0097119D" w:rsidRPr="002B6961" w:rsidRDefault="0097119D" w:rsidP="0097119D">
      <w:pPr>
        <w:pStyle w:val="NormalHanging12a"/>
      </w:pPr>
      <w:r w:rsidRPr="002B6961">
        <w:t>–</w:t>
      </w:r>
      <w:r w:rsidRPr="002B6961">
        <w:tab/>
        <w:t>având în vedere articolul 100 și anexa V la Regulamentul său de procedură,</w:t>
      </w:r>
    </w:p>
    <w:p w:rsidR="0097119D" w:rsidRPr="002B6961" w:rsidRDefault="0097119D" w:rsidP="0097119D">
      <w:pPr>
        <w:pStyle w:val="NormalHanging12a"/>
      </w:pPr>
      <w:r w:rsidRPr="002B6961">
        <w:t>–</w:t>
      </w:r>
      <w:r w:rsidRPr="002B6961">
        <w:tab/>
        <w:t>având în vedere avizul Comisiei pentru transport și turism,</w:t>
      </w:r>
    </w:p>
    <w:p w:rsidR="0097119D" w:rsidRPr="002B6961" w:rsidRDefault="0097119D" w:rsidP="0097119D">
      <w:pPr>
        <w:pStyle w:val="NormalHanging12a"/>
      </w:pPr>
      <w:r w:rsidRPr="002B6961">
        <w:t>–</w:t>
      </w:r>
      <w:r w:rsidRPr="002B6961">
        <w:tab/>
        <w:t>având în vedere raportul Comisiei pentru control bugetar (A9-0092/2024),</w:t>
      </w:r>
    </w:p>
    <w:p w:rsidR="0097119D" w:rsidRPr="002B6961" w:rsidRDefault="0097119D" w:rsidP="0097119D">
      <w:pPr>
        <w:pStyle w:val="NormalHanging12a"/>
      </w:pPr>
      <w:r w:rsidRPr="002B6961">
        <w:t>1.</w:t>
      </w:r>
      <w:r w:rsidRPr="002B6961">
        <w:tab/>
        <w:t>acordă directorului executiv al Agenției Uniunii Europene pentru Căile Ferate descărcarea de gestiune pentru execuția bugetului Agenției aferent exercițiului financiar 2022;</w:t>
      </w:r>
    </w:p>
    <w:p w:rsidR="0097119D" w:rsidRPr="002B6961" w:rsidRDefault="0097119D" w:rsidP="0097119D">
      <w:pPr>
        <w:pStyle w:val="NormalHanging12a"/>
      </w:pPr>
      <w:r w:rsidRPr="002B6961">
        <w:t>2.</w:t>
      </w:r>
      <w:r w:rsidRPr="002B6961">
        <w:tab/>
        <w:t>își prezintă observațiile în cadrul rezoluției de mai jos;</w:t>
      </w:r>
    </w:p>
    <w:p w:rsidR="0097119D" w:rsidRPr="002B6961" w:rsidRDefault="0097119D" w:rsidP="0097119D">
      <w:pPr>
        <w:pStyle w:val="NormalHanging12a"/>
      </w:pPr>
      <w:r w:rsidRPr="002B6961">
        <w:t>3.</w:t>
      </w:r>
      <w:r w:rsidRPr="002B6961">
        <w:tab/>
        <w:t xml:space="preserve">încredințează Președintei sarcina de a transmite prezenta decizie împreună cu rezoluția Parlamentului, ca parte integrantă a acesteia, directorului executiv al Agenției Uniunii Europene pentru Căile Ferate, Consiliului, Comisiei și Curții de Conturi și de a asigura publicarea acestora în </w:t>
      </w:r>
      <w:r w:rsidRPr="002B6961">
        <w:rPr>
          <w:i/>
          <w:iCs/>
        </w:rPr>
        <w:t>Jurnalul Oficial al Uniunii Europene</w:t>
      </w:r>
      <w:r w:rsidRPr="002B6961">
        <w:t xml:space="preserve"> (seria L).</w:t>
      </w:r>
    </w:p>
    <w:p w:rsidR="0097119D" w:rsidRPr="002B6961" w:rsidRDefault="0097119D" w:rsidP="0097119D"/>
    <w:p w:rsidR="0097119D" w:rsidRPr="002B6961" w:rsidRDefault="0097119D" w:rsidP="0097119D">
      <w:pPr>
        <w:widowControl/>
        <w:rPr>
          <w:rFonts w:ascii="Arial" w:hAnsi="Arial" w:cs="Arial"/>
          <w:b/>
        </w:rPr>
        <w:sectPr w:rsidR="0097119D" w:rsidRPr="002B6961" w:rsidSect="001E416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7119D" w:rsidRPr="002B6961" w:rsidRDefault="00664343" w:rsidP="00664343">
      <w:pPr>
        <w:pStyle w:val="ATHeading3"/>
      </w:pPr>
      <w:r w:rsidRPr="002B6961">
        <w:lastRenderedPageBreak/>
        <w:t xml:space="preserve">2. Decizia Parlamentului European din 11 aprilie 2024 </w:t>
      </w:r>
      <w:r w:rsidR="0097119D" w:rsidRPr="002B6961">
        <w:t>privind închiderea conturilor Agenției Uniunii Europene pentru Căile Ferate pentru exercițiul financiar 2022</w:t>
      </w:r>
      <w:r w:rsidRPr="002B6961">
        <w:t xml:space="preserve"> </w:t>
      </w:r>
      <w:r w:rsidR="0097119D" w:rsidRPr="002B6961">
        <w:t>(2023/2160(DEC))</w:t>
      </w:r>
    </w:p>
    <w:p w:rsidR="0097119D" w:rsidRPr="002B6961" w:rsidRDefault="0097119D" w:rsidP="0097119D">
      <w:pPr>
        <w:pStyle w:val="EPComma"/>
      </w:pPr>
      <w:r w:rsidRPr="002B6961">
        <w:rPr>
          <w:i/>
          <w:iCs/>
        </w:rPr>
        <w:t>Parlamentul European</w:t>
      </w:r>
      <w:r w:rsidRPr="002B6961">
        <w:t>,</w:t>
      </w:r>
    </w:p>
    <w:p w:rsidR="0097119D" w:rsidRPr="002B6961" w:rsidRDefault="0097119D" w:rsidP="0097119D">
      <w:pPr>
        <w:pStyle w:val="NormalHanging12a"/>
      </w:pPr>
      <w:r w:rsidRPr="002B6961">
        <w:t>–</w:t>
      </w:r>
      <w:r w:rsidRPr="002B6961">
        <w:tab/>
        <w:t>având în vedere conturile anuale finale ale Agenției Uniunii Europene pentru Căile Ferate pentru exercițiul financiar 2022,</w:t>
      </w:r>
    </w:p>
    <w:p w:rsidR="0097119D" w:rsidRPr="002B6961" w:rsidRDefault="0097119D" w:rsidP="0097119D">
      <w:pPr>
        <w:pStyle w:val="NormalHanging12a"/>
      </w:pPr>
      <w:r w:rsidRPr="002B6961">
        <w:t>–</w:t>
      </w:r>
      <w:r w:rsidRPr="002B6961">
        <w:tab/>
        <w:t>având în vedere Raportul anual al Curții de Conturi privind agențiile UE pentru exercițiul financiar 2022, însoțit de răspunsurile agențiilor</w:t>
      </w:r>
      <w:r w:rsidRPr="002B6961">
        <w:rPr>
          <w:rStyle w:val="FootnoteReference"/>
        </w:rPr>
        <w:footnoteReference w:id="6"/>
      </w:r>
      <w:r w:rsidRPr="002B6961">
        <w:t>,</w:t>
      </w:r>
    </w:p>
    <w:p w:rsidR="0097119D" w:rsidRPr="002B6961" w:rsidRDefault="0097119D" w:rsidP="0097119D">
      <w:pPr>
        <w:pStyle w:val="NormalHanging12a"/>
      </w:pPr>
      <w:r w:rsidRPr="002B6961">
        <w:t>–</w:t>
      </w:r>
      <w:r w:rsidRPr="002B6961">
        <w:tab/>
        <w:t>având în vedere declarația de asigurare</w:t>
      </w:r>
      <w:r w:rsidRPr="002B6961">
        <w:rPr>
          <w:rStyle w:val="FootnoteReference"/>
        </w:rPr>
        <w:footnoteReference w:id="7"/>
      </w:r>
      <w:r w:rsidRPr="002B6961">
        <w:t xml:space="preserve"> privind fiabilitatea conturilor și legalitatea și regularitatea operațiunilor subiacente întocmită de Curtea de Conturi pentru exercițiul 2022 în temeiul articolului 287 din Tratatul privind funcționarea Uniunii Europene,</w:t>
      </w:r>
    </w:p>
    <w:p w:rsidR="0097119D" w:rsidRPr="002B6961" w:rsidRDefault="0097119D" w:rsidP="0097119D">
      <w:pPr>
        <w:pStyle w:val="NormalHanging12a"/>
      </w:pPr>
      <w:r w:rsidRPr="002B6961">
        <w:t>–</w:t>
      </w:r>
      <w:r w:rsidRPr="002B6961">
        <w:tab/>
        <w:t>având în vedere Recomandarea Consiliului din 22 februarie 2024 privind descărcarea de gestiune a Agenției în ceea ce privește execuția bugetară pentru exercițiul financiar 2022 (</w:t>
      </w:r>
      <w:r w:rsidR="00B87AD2" w:rsidRPr="002B6961">
        <w:t>06180/2024 – C9</w:t>
      </w:r>
      <w:r w:rsidR="00B87AD2" w:rsidRPr="002B6961">
        <w:noBreakHyphen/>
        <w:t>0098/2024</w:t>
      </w:r>
      <w:r w:rsidRPr="002B6961">
        <w:t>),</w:t>
      </w:r>
    </w:p>
    <w:p w:rsidR="0097119D" w:rsidRPr="002B6961" w:rsidRDefault="0097119D" w:rsidP="0097119D">
      <w:pPr>
        <w:pStyle w:val="NormalHanging12a"/>
      </w:pPr>
      <w:r w:rsidRPr="002B6961">
        <w:t>–</w:t>
      </w:r>
      <w:r w:rsidRPr="002B6961">
        <w:tab/>
        <w:t>având în vedere articolul 319 din Tratatul privind funcționarea Uniunii Europene,</w:t>
      </w:r>
    </w:p>
    <w:p w:rsidR="0097119D" w:rsidRPr="002B6961" w:rsidRDefault="0097119D" w:rsidP="0097119D">
      <w:pPr>
        <w:pStyle w:val="NormalHanging12a"/>
      </w:pPr>
      <w:r w:rsidRPr="002B6961">
        <w:t>–</w:t>
      </w:r>
      <w:r w:rsidRPr="002B696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B6961">
        <w:rPr>
          <w:rStyle w:val="FootnoteReference"/>
        </w:rPr>
        <w:footnoteReference w:id="8"/>
      </w:r>
      <w:r w:rsidRPr="002B6961">
        <w:t>, în special articolul 70,</w:t>
      </w:r>
    </w:p>
    <w:p w:rsidR="0097119D" w:rsidRPr="002B6961" w:rsidRDefault="0097119D" w:rsidP="0097119D">
      <w:pPr>
        <w:pStyle w:val="NormalHanging12a"/>
      </w:pPr>
      <w:r w:rsidRPr="002B6961">
        <w:t>–</w:t>
      </w:r>
      <w:r w:rsidRPr="002B6961">
        <w:tab/>
        <w:t>având în vedere Regulamentul (UE) 2016/796 al Parlamentului European și al Consiliului din 11 mai 2016 privind Agenția Uniunii Europene pentru Căile Ferate și de abrogare a Regulamentului (CE) nr. 881/2004</w:t>
      </w:r>
      <w:r w:rsidRPr="002B6961">
        <w:rPr>
          <w:rStyle w:val="FootnoteReference"/>
        </w:rPr>
        <w:footnoteReference w:id="9"/>
      </w:r>
      <w:r w:rsidRPr="002B6961">
        <w:t>, în special articolul 65,</w:t>
      </w:r>
    </w:p>
    <w:p w:rsidR="0097119D" w:rsidRPr="002B6961" w:rsidRDefault="0097119D" w:rsidP="0097119D">
      <w:pPr>
        <w:pStyle w:val="NormalHanging12a"/>
      </w:pPr>
      <w:r w:rsidRPr="002B6961">
        <w:t>–</w:t>
      </w:r>
      <w:r w:rsidRPr="002B696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B6961">
        <w:rPr>
          <w:rStyle w:val="FootnoteReference"/>
        </w:rPr>
        <w:footnoteReference w:id="10"/>
      </w:r>
      <w:r w:rsidRPr="002B6961">
        <w:t>, în special articolul 105,</w:t>
      </w:r>
    </w:p>
    <w:p w:rsidR="0097119D" w:rsidRPr="002B6961" w:rsidRDefault="0097119D" w:rsidP="0097119D">
      <w:pPr>
        <w:pStyle w:val="NormalHanging12a"/>
      </w:pPr>
      <w:r w:rsidRPr="002B6961">
        <w:t>–</w:t>
      </w:r>
      <w:r w:rsidRPr="002B6961">
        <w:tab/>
        <w:t>având în vedere articolul 100 și anexa V la Regulamentul său de procedură,</w:t>
      </w:r>
    </w:p>
    <w:p w:rsidR="0097119D" w:rsidRPr="002B6961" w:rsidRDefault="0097119D" w:rsidP="0097119D">
      <w:pPr>
        <w:pStyle w:val="NormalHanging12a"/>
      </w:pPr>
      <w:r w:rsidRPr="002B6961">
        <w:t>–</w:t>
      </w:r>
      <w:r w:rsidRPr="002B6961">
        <w:tab/>
        <w:t>având în vedere avizul Comisiei pentru transport și turism,</w:t>
      </w:r>
    </w:p>
    <w:p w:rsidR="0097119D" w:rsidRPr="002B6961" w:rsidRDefault="0097119D" w:rsidP="0097119D">
      <w:pPr>
        <w:pStyle w:val="NormalHanging12a"/>
      </w:pPr>
      <w:r w:rsidRPr="002B6961">
        <w:t>–</w:t>
      </w:r>
      <w:r w:rsidRPr="002B6961">
        <w:tab/>
        <w:t>având în vedere raportul Comisiei pentru control bugetar (A9-0092/2024),</w:t>
      </w:r>
    </w:p>
    <w:p w:rsidR="0097119D" w:rsidRPr="002B6961" w:rsidRDefault="0097119D" w:rsidP="0097119D">
      <w:pPr>
        <w:pStyle w:val="NormalHanging12a"/>
      </w:pPr>
      <w:r w:rsidRPr="002B6961">
        <w:t>1.</w:t>
      </w:r>
      <w:r w:rsidRPr="002B6961">
        <w:tab/>
        <w:t xml:space="preserve">aprobă închiderea conturilor Agenției Uniunii Europene pentru Căile Ferate pentru </w:t>
      </w:r>
      <w:r w:rsidRPr="002B6961">
        <w:lastRenderedPageBreak/>
        <w:t>exercițiul financiar 2022;</w:t>
      </w:r>
    </w:p>
    <w:p w:rsidR="0097119D" w:rsidRPr="002B6961" w:rsidRDefault="0097119D" w:rsidP="0097119D">
      <w:pPr>
        <w:pStyle w:val="NormalHanging12a"/>
      </w:pPr>
      <w:r w:rsidRPr="002B6961">
        <w:t>2.</w:t>
      </w:r>
      <w:r w:rsidRPr="002B6961">
        <w:tab/>
        <w:t xml:space="preserve">încredințează Președintei sarcina de a transmite prezenta decizie directorului executiv al Agenției Uniunii Europene pentru Căile Ferate, Consiliului, Comisiei și Curții de Conturi și de a asigura publicarea acesteia în </w:t>
      </w:r>
      <w:r w:rsidRPr="002B6961">
        <w:rPr>
          <w:i/>
          <w:iCs/>
        </w:rPr>
        <w:t>Jurnalul Oficial al Uniunii Europene</w:t>
      </w:r>
      <w:r w:rsidRPr="002B6961">
        <w:t xml:space="preserve"> (seria L).</w:t>
      </w:r>
    </w:p>
    <w:p w:rsidR="0097119D" w:rsidRPr="002B6961" w:rsidRDefault="0097119D" w:rsidP="0097119D"/>
    <w:p w:rsidR="0097119D" w:rsidRPr="002B6961" w:rsidRDefault="0097119D" w:rsidP="0097119D">
      <w:pPr>
        <w:widowControl/>
        <w:rPr>
          <w:rFonts w:ascii="Arial" w:hAnsi="Arial" w:cs="Arial"/>
          <w:b/>
        </w:rPr>
        <w:sectPr w:rsidR="0097119D" w:rsidRPr="002B6961" w:rsidSect="001E416E">
          <w:footnotePr>
            <w:numRestart w:val="eachPage"/>
          </w:footnotePr>
          <w:endnotePr>
            <w:numFmt w:val="decimal"/>
          </w:endnotePr>
          <w:pgSz w:w="11906" w:h="16838"/>
          <w:pgMar w:top="1134" w:right="1418" w:bottom="1418" w:left="1418" w:header="567" w:footer="567" w:gutter="0"/>
          <w:cols w:space="720"/>
          <w:docGrid w:linePitch="326"/>
        </w:sectPr>
      </w:pPr>
    </w:p>
    <w:p w:rsidR="0097119D" w:rsidRPr="002B6961" w:rsidRDefault="00664343" w:rsidP="00664343">
      <w:pPr>
        <w:pStyle w:val="ATHeading3"/>
      </w:pPr>
      <w:r w:rsidRPr="002B6961">
        <w:lastRenderedPageBreak/>
        <w:t xml:space="preserve">3. Rezoluția Parlamentului European din 11 aprilie 2024 </w:t>
      </w:r>
      <w:r w:rsidR="0097119D" w:rsidRPr="002B6961">
        <w:t>conținând observațiile care fac parte integrantă din decizia privind descărcarea de gestiune pentru execuția bugetului Agenției Uniunii Europene pentru Căile Ferate aferent exercițiului financiar 2022</w:t>
      </w:r>
      <w:r w:rsidRPr="002B6961">
        <w:t xml:space="preserve"> </w:t>
      </w:r>
      <w:r w:rsidR="0097119D" w:rsidRPr="002B6961">
        <w:t>(2023/2160(DEC))</w:t>
      </w:r>
    </w:p>
    <w:p w:rsidR="0097119D" w:rsidRPr="002B6961" w:rsidRDefault="0097119D" w:rsidP="0097119D">
      <w:pPr>
        <w:pStyle w:val="EPComma"/>
      </w:pPr>
      <w:r w:rsidRPr="002B6961">
        <w:rPr>
          <w:i/>
          <w:iCs/>
        </w:rPr>
        <w:t>Parlamentul European</w:t>
      </w:r>
      <w:r w:rsidRPr="002B6961">
        <w:t>,</w:t>
      </w:r>
    </w:p>
    <w:p w:rsidR="0097119D" w:rsidRPr="002B6961" w:rsidRDefault="0097119D" w:rsidP="0097119D">
      <w:pPr>
        <w:pStyle w:val="NormalHanging12a"/>
      </w:pPr>
      <w:r w:rsidRPr="002B6961">
        <w:t>–</w:t>
      </w:r>
      <w:r w:rsidRPr="002B6961">
        <w:tab/>
        <w:t>având în vedere decizia sa privind descărcarea de gestiune pentru execuția bugetului Agenției Uniunii Europene pentru Căile Ferate aferent exercițiului financiar 2022,</w:t>
      </w:r>
    </w:p>
    <w:p w:rsidR="0097119D" w:rsidRPr="002B6961" w:rsidRDefault="0097119D" w:rsidP="0097119D">
      <w:pPr>
        <w:pStyle w:val="NormalHanging12a"/>
      </w:pPr>
      <w:r w:rsidRPr="002B6961">
        <w:t>–</w:t>
      </w:r>
      <w:r w:rsidRPr="002B6961">
        <w:tab/>
        <w:t>având în vedere articolul 100 și anexa V la Regulamentul său de procedură,</w:t>
      </w:r>
    </w:p>
    <w:p w:rsidR="0097119D" w:rsidRPr="002B6961" w:rsidRDefault="0097119D" w:rsidP="0097119D">
      <w:pPr>
        <w:pStyle w:val="NormalHanging12a"/>
      </w:pPr>
      <w:r w:rsidRPr="002B6961">
        <w:t>–</w:t>
      </w:r>
      <w:r w:rsidRPr="002B6961">
        <w:tab/>
        <w:t>având în vedere avizul Comisiei pentru transport și turism,</w:t>
      </w:r>
    </w:p>
    <w:p w:rsidR="0097119D" w:rsidRPr="002B6961" w:rsidRDefault="0097119D" w:rsidP="0097119D">
      <w:pPr>
        <w:pStyle w:val="NormalHanging12a"/>
      </w:pPr>
      <w:r w:rsidRPr="002B6961">
        <w:t>–</w:t>
      </w:r>
      <w:r w:rsidRPr="002B6961">
        <w:tab/>
        <w:t>având în vedere raportul Comisiei pentru control bugetar (A9-0092/2024),</w:t>
      </w:r>
    </w:p>
    <w:p w:rsidR="0097119D" w:rsidRPr="002B6961" w:rsidRDefault="0097119D" w:rsidP="0097119D">
      <w:pPr>
        <w:spacing w:after="240"/>
        <w:ind w:left="567" w:hanging="567"/>
        <w:rPr>
          <w:szCs w:val="24"/>
        </w:rPr>
      </w:pPr>
      <w:r w:rsidRPr="002B6961">
        <w:t>A.</w:t>
      </w:r>
      <w:r w:rsidRPr="002B6961">
        <w:tab/>
        <w:t>întrucât, potrivit situației veniturilor și cheltuielilor sale</w:t>
      </w:r>
      <w:r w:rsidRPr="002B6961">
        <w:rPr>
          <w:rStyle w:val="FootnoteReference"/>
          <w:szCs w:val="24"/>
        </w:rPr>
        <w:footnoteReference w:id="11"/>
      </w:r>
      <w:r w:rsidRPr="002B6961">
        <w:t>, bugetul definitiv al Agenției Uniunii Europene pentru Căile Ferate („Agenția”) aferent exercițiului financiar 2022 a fost de 34 814 691 EUR, ceea ce reprezintă o majorare cu 9,38 % față de 2021; întrucât bugetul Agenției provine în principal de la bugetul Uniunii;</w:t>
      </w:r>
    </w:p>
    <w:p w:rsidR="0097119D" w:rsidRPr="002B6961" w:rsidRDefault="0097119D" w:rsidP="0097119D">
      <w:pPr>
        <w:spacing w:after="240"/>
        <w:ind w:left="567" w:hanging="567"/>
        <w:rPr>
          <w:szCs w:val="24"/>
        </w:rPr>
      </w:pPr>
      <w:r w:rsidRPr="002B6961">
        <w:t>B.</w:t>
      </w:r>
      <w:r w:rsidRPr="002B6961">
        <w:tab/>
        <w:t>întrucât în raportul său privind conturile anuale ale Agenției pentru exercițiul financiar 2022 („raportul Curții”), Curtea de Conturi („Curtea”) a declarat că a obținut asigurări rezonabile cu privire la fiabilitatea conturilor anuale ale Agenției și cu privire la legalitatea și regularitatea operațiunilor subiacente,</w:t>
      </w:r>
    </w:p>
    <w:p w:rsidR="0097119D" w:rsidRPr="002B6961" w:rsidRDefault="0097119D" w:rsidP="0097119D">
      <w:pPr>
        <w:spacing w:after="240"/>
        <w:ind w:left="567" w:hanging="567"/>
        <w:rPr>
          <w:b/>
          <w:i/>
          <w:szCs w:val="24"/>
        </w:rPr>
      </w:pPr>
      <w:r w:rsidRPr="002B6961">
        <w:rPr>
          <w:b/>
          <w:i/>
        </w:rPr>
        <w:t>Gestiunea bugetară și financiară</w:t>
      </w:r>
    </w:p>
    <w:p w:rsidR="0097119D" w:rsidRPr="002B6961" w:rsidRDefault="0097119D" w:rsidP="0097119D">
      <w:pPr>
        <w:spacing w:after="240"/>
        <w:ind w:left="567" w:hanging="567"/>
        <w:rPr>
          <w:szCs w:val="24"/>
        </w:rPr>
      </w:pPr>
      <w:r w:rsidRPr="002B6961">
        <w:t>1.</w:t>
      </w:r>
      <w:r w:rsidRPr="002B6961">
        <w:tab/>
        <w:t>constată cu satisfacție că eforturile de monitorizare a bugetului din cursul exercițiului financiar 2022 au dus la o rată de execuție bugetară a creditelor din exercițiul curent de 99,95 %, ceea ce reprezintă o ușoară creștere de 0,13 % față de exercițiul 2021; constată, în plus, că rata de execuție a creditelor de plată din exercițiul curent a fost de 94,97 %, ceea ce reprezintă o creștere de 1,43 % în comparație cu 2021; constată că rezultatul bugetar în 2022 a fost de 81 821 EUR, în creștere față de 69 638 EUR în 2021;</w:t>
      </w:r>
    </w:p>
    <w:p w:rsidR="0097119D" w:rsidRPr="002B6961" w:rsidRDefault="0097119D" w:rsidP="0097119D">
      <w:pPr>
        <w:spacing w:after="240"/>
        <w:ind w:left="567" w:hanging="567"/>
        <w:rPr>
          <w:szCs w:val="24"/>
        </w:rPr>
      </w:pPr>
      <w:r w:rsidRPr="002B6961">
        <w:t>2.</w:t>
      </w:r>
      <w:r w:rsidRPr="002B6961">
        <w:tab/>
        <w:t>recunoaște că principalul impact asupra execuției bugetare în 2022 a fost cauzat de factori externi globali, cum ar fi contextul geopolitic volatil și criza energetică, acestea ducând la o volatilitate ridicată, care a determinat o creștere imprevizibilă a costurilor Agenției; ia act de faptul că Agenția a pus în aplicare măsuri ferme pentru a-și controla cheltuielile, a ajustat nivelul taxelor și comisioanelor (și anume, rata orară a crescut și a fost ajustată periodic în funcție de rata inflației) și a instituit un proces periodic de monitorizare a execuției bugetare cu mai multe instrumente de planificare și monitorizare pentru automatizarea acestui proces;</w:t>
      </w:r>
    </w:p>
    <w:p w:rsidR="0097119D" w:rsidRPr="002B6961" w:rsidRDefault="0097119D" w:rsidP="0097119D">
      <w:pPr>
        <w:spacing w:after="240"/>
        <w:ind w:left="567" w:hanging="567"/>
        <w:rPr>
          <w:szCs w:val="24"/>
        </w:rPr>
      </w:pPr>
      <w:r w:rsidRPr="002B6961">
        <w:t>3.</w:t>
      </w:r>
      <w:r w:rsidRPr="002B6961">
        <w:tab/>
        <w:t xml:space="preserve">ia act de faptul că Agenția s-a alăturat etapei-pilot a Comisiei de a-și înlocui sistemul bugetar și contabil cu un nou sistem, SUMMA; ia act, în acest context, din raportul Curții, de observațiile cu privire la neajunsurile și deficiențele cu care se confruntă </w:t>
      </w:r>
      <w:r w:rsidRPr="002B6961">
        <w:lastRenderedPageBreak/>
        <w:t xml:space="preserve">Agenția, și anume lipsa unei strategii de gestionare a riscurilor și de control pentru punerea în aplicare a noului sistem, circuitele financiare neactualizate și strategia de control ex ante și ex post, precum și în ceea ce privește faptul că drepturile de atribuire a utilizatorilor nu sunt verificate; constată, pe baza răspunsurilor Agenției la observațiile Curții, că măsurile de atenuare au fost luate în mod </w:t>
      </w:r>
      <w:proofErr w:type="spellStart"/>
      <w:r w:rsidRPr="002B6961">
        <w:t>proactiv</w:t>
      </w:r>
      <w:proofErr w:type="spellEnd"/>
      <w:r w:rsidRPr="002B6961">
        <w:t xml:space="preserve"> de-a lungul curbei de învățare inerente, inclusiv prin începerea actualizării, în a doua jumătate a anului 2022, a circuitelor financiare ale Agenției și a strategiei de control ex ante și ex post, documentele relevante urmând să fie actualizate probabil în 2023; invită Agenția să dea curs tuturor observațiilor Curții și să informeze autoritatea care acordă descărcarea de gestiune despre progresele înregistrate în acest sens;</w:t>
      </w:r>
    </w:p>
    <w:p w:rsidR="0097119D" w:rsidRPr="002B6961" w:rsidRDefault="0097119D" w:rsidP="0097119D">
      <w:pPr>
        <w:spacing w:after="240"/>
        <w:ind w:left="567" w:hanging="567"/>
        <w:rPr>
          <w:szCs w:val="24"/>
        </w:rPr>
      </w:pPr>
      <w:r w:rsidRPr="002B6961">
        <w:t>4.</w:t>
      </w:r>
      <w:r w:rsidRPr="002B6961">
        <w:tab/>
        <w:t>ia act de observația Curții cu privire la nerespectarea de către Agenție a termenului prevăzut în Regulamentul financiar în ceea ce privește plățile, 12,2 % din plăți înregistrând întârzieri de peste 30 de zile în 2022; ia act de poziția Agenției potrivit căreia aceste întârzieri au fost legate de implementarea noului sistem SUMMA și că între timp au fost luate măsuri pentru a evita întârzierile în efectuarea plăților;</w:t>
      </w:r>
    </w:p>
    <w:p w:rsidR="0097119D" w:rsidRPr="002B6961" w:rsidRDefault="0097119D" w:rsidP="0097119D">
      <w:pPr>
        <w:spacing w:after="240"/>
        <w:ind w:left="567" w:hanging="567"/>
        <w:rPr>
          <w:szCs w:val="24"/>
        </w:rPr>
      </w:pPr>
      <w:r w:rsidRPr="002B6961">
        <w:t>5.</w:t>
      </w:r>
      <w:r w:rsidRPr="002B6961">
        <w:tab/>
        <w:t>constată, de asemenea, că Agenția a înregis</w:t>
      </w:r>
      <w:bookmarkStart w:id="8" w:name="_GoBack"/>
      <w:bookmarkEnd w:id="8"/>
      <w:r w:rsidRPr="002B6961">
        <w:t xml:space="preserve">trat întârzieri și în emiterea facturilor (sau a „notelor de debit”) pentru taxele și comisioanele aferente, însă aceste întârzieri sunt atribuite de Agenție tot implementării noului sistem SUMMA, precum și în ceea ce privește primirea declarațiilor de cheltuieli de la autoritățile naționale de siguranță (ANS), fapt care constituie o încălcare a articolelor relevante din Regulamentul financiar și din Regulamentul </w:t>
      </w:r>
      <w:r w:rsidR="00526911">
        <w:t>(</w:t>
      </w:r>
      <w:r w:rsidR="00D176F2">
        <w:t>UE</w:t>
      </w:r>
      <w:r w:rsidR="000D13ED">
        <w:t>)</w:t>
      </w:r>
      <w:r w:rsidRPr="002B6961">
        <w:t xml:space="preserve"> 2018/764 privind taxele și comisioanele Agenției; constată, pe baza răspunsurilor Agenției la observațiile Curții, că evitarea sau reducerea unor astfel de întârzieri ar fi posibilă dacă ANS ar transmite Agenției declarațiile lor de cheltuieli în timp util, dar Agenția nu are nicio pârghie pentru a se asigura că ANS respectă termenele;</w:t>
      </w:r>
    </w:p>
    <w:p w:rsidR="0097119D" w:rsidRPr="002B6961" w:rsidRDefault="0097119D" w:rsidP="0097119D">
      <w:pPr>
        <w:pStyle w:val="NormalHanging12a"/>
        <w:jc w:val="both"/>
      </w:pPr>
      <w:r w:rsidRPr="002B6961">
        <w:t>6.</w:t>
      </w:r>
      <w:r w:rsidRPr="002B6961">
        <w:tab/>
        <w:t>reamintește că Agenția dispune de cel mai mic buget dintre agențiile de transport, în ciuda beneficiilor deosebite pentru mediu ale transportului feroviar, pe care Comisia le-a stabilit drept priorități; salută majorarea bugetului pentru exercițiul financiar 2022, însoțită de diverse eforturi menite să mărească competitivitatea, să îmbunătățească siguranța și să promoveze interoperabilitatea transfrontalieră; cu toate acestea, solicită o majorare a bugetului pentru a asigura faptul că Agenția dispune de resursele esențiale necesare pentru a funcționa ca o autoritate eficientă și pentru a-și îndeplini sarcinile în mod eficace;</w:t>
      </w:r>
    </w:p>
    <w:p w:rsidR="0097119D" w:rsidRPr="002B6961" w:rsidRDefault="0097119D" w:rsidP="0097119D">
      <w:pPr>
        <w:spacing w:after="240"/>
        <w:ind w:left="567" w:hanging="567"/>
        <w:rPr>
          <w:b/>
          <w:i/>
          <w:szCs w:val="24"/>
        </w:rPr>
      </w:pPr>
      <w:r w:rsidRPr="002B6961">
        <w:rPr>
          <w:b/>
          <w:i/>
        </w:rPr>
        <w:t>Performanța</w:t>
      </w:r>
    </w:p>
    <w:p w:rsidR="0097119D" w:rsidRPr="002B6961" w:rsidRDefault="0097119D" w:rsidP="0097119D">
      <w:pPr>
        <w:spacing w:after="240"/>
        <w:ind w:left="567" w:hanging="567"/>
        <w:rPr>
          <w:szCs w:val="24"/>
        </w:rPr>
      </w:pPr>
      <w:r w:rsidRPr="002B6961">
        <w:t>7.</w:t>
      </w:r>
      <w:r w:rsidRPr="002B6961">
        <w:tab/>
        <w:t xml:space="preserve">ia act de faptul că Agenția a raportat realizarea în proporție de 81,13 % a programului său anual de lucru pe 2022, comparativ cu 76,41 % în 2021, ceea ce reprezintă o creștere binevenită pentru al doilea an consecutiv; ia act de faptul că, în 2022, Agenția a adoptat o nouă structură a programului său de lucru, trecând de la un program de lucru bazat pe activități la unul bazat pe declarații strategice, și a lansat o nouă platformă pentru raportarea lunară a tuturor proiectelor și serviciilor și un nou tablou de bord de monitorizare; ia act de faptul că programul anual de lucru include 9 declarații strategice care au fost elaborate în funcție de impactul pe care Agenția urmărește să îl aibă asupra societății; ia act de faptul că Agenția și-a onorat cu succes declarațiile strategice, cu un grad ridicat de îndeplinire a țintelor Agenției în ceea ce privește diferitele realizări și indicatorii-cheie de performanță stabiliți în 2022; constată, cu toate acestea, că unii indicatori-cheie de performanță nu au fost atinși, cum ar fi cei legați de lansarea „fazei de studiu 3” pentru noua clădire a Agenției din Valenciennes, de implementarea unui </w:t>
      </w:r>
      <w:r w:rsidRPr="002B6961">
        <w:lastRenderedPageBreak/>
        <w:t>nou sistem (ARES) pentru gestionarea documentelor, de plățile efectuate în termenele contractuale legate de adoptarea în etapa-pilot a unui nou sistem financiar (SUMMA) și de inițiativa „Femeile și transporturile”;</w:t>
      </w:r>
    </w:p>
    <w:p w:rsidR="0097119D" w:rsidRPr="002B6961" w:rsidRDefault="0097119D" w:rsidP="0097119D">
      <w:pPr>
        <w:spacing w:after="240"/>
        <w:ind w:left="567" w:hanging="567"/>
      </w:pPr>
      <w:r w:rsidRPr="002B6961">
        <w:t>8.</w:t>
      </w:r>
      <w:r w:rsidRPr="002B6961">
        <w:tab/>
        <w:t>ia act de unele dintre principalele realizări ale Agenției în 2022, cum ar fi adoptarea Planului de acțiune privind consolidarea pentru perioada 2023-2027, eliberarea la timp a unui număr din ce în ce mai mare de autorizații pentru vehicule (1861) și certificate unice de siguranță (66), finalizarea recomandării Agenției privind pachetul de revizuire a STI 2022, care va sprijini consolidarea interoperabilității feroviare în întreaga Uniune, lansarea celui de al doilea ciclu de audit de monitorizare al ANS, care cuprinde toate sarcinile atribuite ANS prin legislația Uniunii, redactarea unui număr excepțional de mare de rapoarte (opt în loc de trei preconizate) în domeniul monitorizării organismelor notificate și activitatea privind primul raport al Agenției bazat pe rezultatele sondajului privind climatul de siguranță (care, lansat în 2021, a primit 46 500 de răspunsuri); felicită Agenția pentru dezvoltarea modulelor de formare în materie de siguranță privind cultura justă, care ar spori siguranța în întregul sector, și pentru realizările sale (set de instrumente, orientări și materiale de formare, acțiuni de sensibilizare, module de formare) în ceea ce privește integrarea factorilor umani și organizaționali, ceea ce va contribui la îmbunătățirea performanței și eficienței în domeniul siguranței feroviare;</w:t>
      </w:r>
    </w:p>
    <w:p w:rsidR="0097119D" w:rsidRPr="002B6961" w:rsidRDefault="0097119D" w:rsidP="0097119D">
      <w:pPr>
        <w:pStyle w:val="NormalHanging12a"/>
      </w:pPr>
      <w:r w:rsidRPr="002B6961">
        <w:t>9.</w:t>
      </w:r>
      <w:r w:rsidRPr="002B6961">
        <w:tab/>
        <w:t xml:space="preserve">subliniază că este important să se sprijine în continuare toate inițiativele pentru o mai bună înțelegere comună a specificațiilor tehnice de interoperabilitate (STI), contribuind la dezvoltarea unei industrii feroviare europene puternice și competitive; insistă să se acorde mai mult sprijin pentru inovare în domeniul transportului feroviar de marfă și al serviciilor de transport </w:t>
      </w:r>
      <w:proofErr w:type="spellStart"/>
      <w:r w:rsidRPr="002B6961">
        <w:t>intermodal</w:t>
      </w:r>
      <w:proofErr w:type="spellEnd"/>
      <w:r w:rsidRPr="002B6961">
        <w:t>, cu scopul de a asigura o integrare competitivă în lanțul valoric logistic, cu automatizarea și digitalizarea transportului feroviar de marfă;</w:t>
      </w:r>
    </w:p>
    <w:p w:rsidR="0097119D" w:rsidRPr="002B6961" w:rsidRDefault="0097119D" w:rsidP="0097119D">
      <w:pPr>
        <w:spacing w:after="240"/>
        <w:ind w:left="567" w:hanging="567"/>
      </w:pPr>
      <w:r w:rsidRPr="002B6961">
        <w:t>10.</w:t>
      </w:r>
      <w:r w:rsidRPr="002B6961">
        <w:tab/>
        <w:t xml:space="preserve">salută raportul privind siguranța și interoperabilitatea feroviară în UE; recunoaște angajamentul continuu față de obiectivul Agenției privind crearea unui spațiu feroviar unic european și activitatea sa susținută în domenii esențiale precum reducerea normelor naționale și asigurarea maturității specificațiilor tehnice pentru interoperabilitate; constată că o astfel de activitate importantă va sprijini consolidarea interoperabilității feroviare în întreaga </w:t>
      </w:r>
      <w:proofErr w:type="spellStart"/>
      <w:r w:rsidRPr="002B6961">
        <w:t>Europă</w:t>
      </w:r>
      <w:proofErr w:type="spellEnd"/>
      <w:r w:rsidRPr="002B6961">
        <w:t>, în conformitate cu așteptările în materie de politici ale Comisiei; salută contribuția continuă a Agenției în domeniul normelor naționale, prin optimizarea în 2022 a normelor tehnice naționale rămase (pentru Cehia și Țările de Jos), acestea constituind obstacole în calea bunei funcționări a operațiunilor feroviare;</w:t>
      </w:r>
    </w:p>
    <w:p w:rsidR="0097119D" w:rsidRPr="002B6961" w:rsidRDefault="0097119D" w:rsidP="0097119D">
      <w:pPr>
        <w:pStyle w:val="NormalHanging12a"/>
        <w:jc w:val="both"/>
      </w:pPr>
      <w:r w:rsidRPr="002B6961">
        <w:t>11.</w:t>
      </w:r>
      <w:r w:rsidRPr="002B6961">
        <w:tab/>
        <w:t xml:space="preserve">laudă răspunsul </w:t>
      </w:r>
      <w:proofErr w:type="spellStart"/>
      <w:r w:rsidRPr="002B6961">
        <w:t>proactiv</w:t>
      </w:r>
      <w:proofErr w:type="spellEnd"/>
      <w:r w:rsidRPr="002B6961">
        <w:t xml:space="preserve"> al Agenției la recomandările formulate în observația din anul precedent, îndemnând Agenția să introducă controale eficace pentru verificarea statutului de IMM al solicitanților; salută punerea în aplicare a unor controale consolidate pentru verificarea statutului de IMM în ceea ce privește cererile de certificate unice de siguranță și de autorizare a vehiculelor; remarcă faptul că Agenția a condus mai multe inițiative menite să stimuleze traficul feroviar (atât de călători, cât și de marfă), inclusiv măsuri pentru coordonarea traficului feroviar internațional și dezvoltarea de noi tehnologii, cum ar fi automatizarea trenurilor, contribuind la coeziune, stimulând economia UE și tranziția verde și digitală; salută faptul că Grupul de coordonare pentru pachetul feroviar și-a continuat cu succes activitățile de evaluare a gradului de pregătire al Agenției pentru cel de al 4-lea pachet feroviar;</w:t>
      </w:r>
    </w:p>
    <w:p w:rsidR="0097119D" w:rsidRPr="002B6961" w:rsidRDefault="0097119D" w:rsidP="0097119D">
      <w:pPr>
        <w:pStyle w:val="NormalHanging12a"/>
        <w:jc w:val="both"/>
      </w:pPr>
      <w:r w:rsidRPr="002B6961">
        <w:t>12.</w:t>
      </w:r>
      <w:r w:rsidRPr="002B6961">
        <w:tab/>
        <w:t xml:space="preserve">accentuează că războiul de agresiune ilegal și nejustificat al Rusiei împotriva Ucrainei a demonstrat rolul esențial pe care îl pot juca căile ferate; constată că, de la invadarea </w:t>
      </w:r>
      <w:r w:rsidRPr="002B6961">
        <w:lastRenderedPageBreak/>
        <w:t>Ucrainei, căile ferate au reprezentat un atu semnificativ pentru circulația persoanelor și a mărfurilor, în special odată cu închiderea spațiului aerian al Ucrainei pentru aviația civilă; evidențiază că căile ferate ucrainene au transportat soldați, lucrători esențiali, rezidenți și numeroase bunuri vitale, cum ar fi produsele agricole; recunoaște că Agenția a contribuit la cooperarea UE cu Ucraina în ceea ce privește reziliența și dezvoltarea legăturilor feroviare, a sprijinit Ucraina și populația din întreaga lume prin găsirea unor modalități suplimentare de creștere a volumului transportului feroviar de produse alimentare ucrainene;</w:t>
      </w:r>
    </w:p>
    <w:p w:rsidR="0097119D" w:rsidRPr="002B6961" w:rsidRDefault="0097119D" w:rsidP="0097119D">
      <w:pPr>
        <w:spacing w:after="240"/>
        <w:ind w:left="567" w:hanging="567"/>
        <w:rPr>
          <w:b/>
          <w:i/>
          <w:szCs w:val="24"/>
        </w:rPr>
      </w:pPr>
      <w:r w:rsidRPr="002B6961">
        <w:rPr>
          <w:b/>
          <w:i/>
        </w:rPr>
        <w:t>Eficiența și realizările</w:t>
      </w:r>
    </w:p>
    <w:p w:rsidR="0097119D" w:rsidRPr="002B6961" w:rsidRDefault="0097119D" w:rsidP="0097119D">
      <w:pPr>
        <w:spacing w:after="240"/>
        <w:ind w:left="567" w:hanging="567"/>
        <w:rPr>
          <w:szCs w:val="24"/>
        </w:rPr>
      </w:pPr>
      <w:r w:rsidRPr="002B6961">
        <w:t>13.</w:t>
      </w:r>
      <w:r w:rsidRPr="002B6961">
        <w:tab/>
        <w:t>felicită Agenția pentru că a adoptat în 2022 Planul de consolidare și Planul de acțiune privind consolidarea pentru perioada 2023-2027; ia act de faptul că Planul de acțiune privind consolidarea este organizat în funcție de componente și obiective și se află în centrul strategiei Agenției de creștere a eficienței pentru următorii cinci ani; ia act de faptul că, la nivelul Agenției, a fost înființat un grup operativ intern pentru Planul de acțiune privind consolidarea și etapele sale și că va fi numit un raportor care să sprijine, să ghideze și să monitorizeze punerea în aplicare a acestui plan;</w:t>
      </w:r>
    </w:p>
    <w:p w:rsidR="0097119D" w:rsidRPr="002B6961" w:rsidRDefault="0097119D" w:rsidP="0097119D">
      <w:pPr>
        <w:spacing w:after="240"/>
        <w:ind w:left="567" w:hanging="567"/>
      </w:pPr>
      <w:r w:rsidRPr="002B6961">
        <w:t>14.</w:t>
      </w:r>
      <w:r w:rsidRPr="002B6961">
        <w:tab/>
        <w:t>ia act de faptul că, datorită Planului său de acțiune privind consolidarea, Agenția a primit 12 agenți temporari suplimentari în 2022, ceea ce reprezintă o creștere care poate oferi Agenției o bază solidă pentru a continua punerea în aplicare a Planului de consolidare; regretă că alocarea posturilor nu a fost însoțită de o alocare corespunzătoare de fonduri, ceea ce, împreună cu indexarea extraordinară a salariilor și creșterea generală a prețurilor pentru utilități publice, a impus constrângeri suplimentare asupra planificării activității și a resurselor Agenției, fiind observate mai multe priorități negative pentru 2022, cum ar fi activitatea de evaluare anuală a performanței ANS sau dezvoltarea sistemului de schimb de informații pentru evenimentele legate de siguranță din Europa;</w:t>
      </w:r>
    </w:p>
    <w:p w:rsidR="0097119D" w:rsidRPr="002B6961" w:rsidRDefault="0097119D" w:rsidP="0097119D">
      <w:pPr>
        <w:spacing w:after="240"/>
        <w:ind w:left="567" w:hanging="567"/>
        <w:rPr>
          <w:szCs w:val="24"/>
        </w:rPr>
      </w:pPr>
      <w:r w:rsidRPr="002B6961">
        <w:t>15.</w:t>
      </w:r>
      <w:r w:rsidRPr="002B6961">
        <w:tab/>
        <w:t>ia act de faptul că, pe baza examinării continue a serviciilor furnizate de agenții și a serviciilor Comisiei, Agenția a identificat „capacități de partajare”, elemente de cooperare fiind implementate treptat de Agenție în domeniul organizării reuniunilor, al securității informatice, al resurselor umane (de exemplu, statul de plată și gestionarea drepturilor individuale ale personalului, investigații legate de cazurile de hărțuire), al achizițiilor publice (de exemplu, licitații pentru mai multe agenții, contracte-cadru partajate), al traducerilor și al contabilității; ia act de faptul că, în 2022, Agenția a încheiat un memorandum de cooperare cu Agenția Uniunii Europene pentru Siguranța Aviației (AESA), care stabilește un dialog structurat periodic între aceste două agenții și îmbunătățește schimbul de informații, cunoștințe și experiență în diferite domenii de cooperare, inclusiv cu privire la explorarea posibilității de a adapta una dintre soluțiile informatice existente în sectorul aviației (Centrul European de Coordonare a Sistemelor de raportare a accidentelor și incidentelor) pentru a adapta sistemul de schimb de informații feroviare pentru colectarea și analizarea raportării evenimentelor legate de siguranța feroviară; invită Agenția să informeze autoritatea care acordă descărcarea de gestiune cu privire la rezultatul fazei de explorare;</w:t>
      </w:r>
    </w:p>
    <w:p w:rsidR="0097119D" w:rsidRPr="002B6961" w:rsidRDefault="0097119D" w:rsidP="0097119D">
      <w:pPr>
        <w:spacing w:after="240"/>
        <w:ind w:left="567" w:hanging="567"/>
        <w:rPr>
          <w:szCs w:val="24"/>
        </w:rPr>
      </w:pPr>
      <w:r w:rsidRPr="002B6961">
        <w:t>16.</w:t>
      </w:r>
      <w:r w:rsidRPr="002B6961">
        <w:tab/>
        <w:t xml:space="preserve">ia act de faptul că prima strategie de management de mediu a Agenției a fost elaborată și publicată în 2022, ca parte a documentului unic de programare al Agenției pentru perioada 2023-2025; felicită Agenția pentru faptul că a anticipat și a realizat deja unele inițiative și acțiuni până la sfârșitul anului 2022, cum ar fi reducerea temperaturii în </w:t>
      </w:r>
      <w:r w:rsidRPr="002B6961">
        <w:lastRenderedPageBreak/>
        <w:t>clădire, repararea/înlocuirea senzorilor defecți pentru a rezolva problema luminilor mereu aprinse în unele birouri, ajustarea setărilor de stingere automată a luminilor și înființarea Grupului ERA pentru mediu (voluntariat) pentru a stimula acțiunile de diseminare, a colecta idei și a promova progresele legate de acțiunile de mediu; constată cu satisfacție, din raportul Curții, că Agenția se numără printre agențiile care au în plan să îmbunătățească eficiența energetică și neutralitatea climatică a operațiunilor sale; încurajează Agenția să includă în acest plan valori de referință și obiective cuantificate pentru reducerea amprentei de carbon și a consumului de energie, precum și să se asigure că noua sa clădire din Valenciennes va fi certificată EMAS;</w:t>
      </w:r>
    </w:p>
    <w:p w:rsidR="0097119D" w:rsidRPr="002B6961" w:rsidRDefault="0097119D" w:rsidP="0097119D">
      <w:pPr>
        <w:pStyle w:val="NormalHanging12a"/>
      </w:pPr>
      <w:r w:rsidRPr="002B6961">
        <w:t>17.</w:t>
      </w:r>
      <w:r w:rsidRPr="002B6961">
        <w:tab/>
        <w:t>ia act de faptul că Agenția a atins un nivel foarte ridicat de digitalizare pentru a-și spori eficiența, eliminând procesele pe suport de hârtie și propunând soluții online, cum ar fi achizițiile publice electronice, facturarea electronică, rezervarea electronică a călătoriilor, inclusiv prin introducerea în 2022 a sistemului de gestionare a resurselor umane (SYSPER) al Comisiei și prin migrarea, în faza-pilot, către noul sistem bugetar, contabil și financiar, SUMMA; salută faptul că documentul unic de programare al Agenției pentru perioada 2023-2025 prevede digitalizarea în continuare a fluxurilor sale de lucru;</w:t>
      </w:r>
    </w:p>
    <w:p w:rsidR="0097119D" w:rsidRPr="002B6961" w:rsidRDefault="0097119D" w:rsidP="0097119D">
      <w:pPr>
        <w:pStyle w:val="NormalHanging12a"/>
      </w:pPr>
      <w:r w:rsidRPr="002B6961">
        <w:t>18.</w:t>
      </w:r>
      <w:r w:rsidRPr="002B6961">
        <w:tab/>
        <w:t xml:space="preserve">constată, din avizul Agenției cu privire la măsurile luate în urma descărcării de gestiune pentru execuția bugetului Agenției aferent exercițiului financiar 2021 (denumit în continuare „avizul Agenției”), că Agenția a pus în aplicare mai multe măsuri de reducere a costurilor operațiunilor din Lille (cheltuielile cu misiunile și deplasările personalului și ale părților interesate externe au fost reduse semnificativ) și a reziliat contractul de închiriere actual pentru sediul din Lille; ia act de faptul că intenția Agenției este de a organiza doar reuniunile obligatorii la Lille, pentru a respecta decizia Consiliului European privind sediul dublu „Lille-Valenciennes”; salută faptul că Agenția și-a aprobat strategia privind resursele umane (2023-2027) în 2022, pe baza observației Parlamentului, punând accentul pe îmbunătățirea eficacității și eficienței sale; ia act, în acest sens, de experiența și evoluția pozitivă din cadrul Agenției în ceea ce privește utilizarea regimului de </w:t>
      </w:r>
      <w:proofErr w:type="spellStart"/>
      <w:r w:rsidRPr="002B6961">
        <w:t>telemuncă</w:t>
      </w:r>
      <w:proofErr w:type="spellEnd"/>
      <w:r w:rsidRPr="002B6961">
        <w:t xml:space="preserve"> în timpul pandemiei de COVID-19 și ulterior, ceea ce a determinat Agenția să concluzioneze că noua normalitate este aceea că </w:t>
      </w:r>
      <w:proofErr w:type="spellStart"/>
      <w:r w:rsidRPr="002B6961">
        <w:t>telemunca</w:t>
      </w:r>
      <w:proofErr w:type="spellEnd"/>
      <w:r w:rsidRPr="002B6961">
        <w:t xml:space="preserve"> este acceptată ca fiind egală cu munca la birou pentru cea mai mare parte a personalului, în timp ce prezența fizică rămâne esențială pentru unele posturi specifice;</w:t>
      </w:r>
    </w:p>
    <w:p w:rsidR="0097119D" w:rsidRPr="002B6961" w:rsidRDefault="0097119D" w:rsidP="0097119D">
      <w:pPr>
        <w:spacing w:after="240"/>
        <w:ind w:left="567" w:hanging="567"/>
        <w:rPr>
          <w:b/>
          <w:i/>
          <w:szCs w:val="24"/>
        </w:rPr>
      </w:pPr>
      <w:r w:rsidRPr="002B6961">
        <w:rPr>
          <w:b/>
          <w:i/>
        </w:rPr>
        <w:t>Politica de personal</w:t>
      </w:r>
    </w:p>
    <w:p w:rsidR="0097119D" w:rsidRPr="002B6961" w:rsidRDefault="0097119D" w:rsidP="0097119D">
      <w:pPr>
        <w:spacing w:after="240"/>
        <w:ind w:left="567" w:hanging="567"/>
        <w:rPr>
          <w:szCs w:val="24"/>
        </w:rPr>
      </w:pPr>
      <w:r w:rsidRPr="002B6961">
        <w:t>19.</w:t>
      </w:r>
      <w:r w:rsidRPr="002B6961">
        <w:tab/>
        <w:t>observă că, la 31 decembrie 2022, schema de personal era completată în proporție de 97,40 %, fiind ocupate 150 din cele 154 de posturi de agenți temporari autorizate de bugetul Uniunii (față de 151 de posturi autorizate în 2021); constată că, în 2022, în cadrul Agenției au lucrat, de asemenea, 36 de agenți contractuali (numărul de posturi autorizate fiind de 36) și 2 experți naționali detașați (numărul de posturi autorizate fiind de 4);</w:t>
      </w:r>
    </w:p>
    <w:p w:rsidR="0097119D" w:rsidRPr="002B6961" w:rsidRDefault="0097119D" w:rsidP="0097119D">
      <w:pPr>
        <w:pStyle w:val="NormalHanging12a"/>
      </w:pPr>
      <w:r w:rsidRPr="002B6961">
        <w:t>20.</w:t>
      </w:r>
      <w:r w:rsidRPr="002B6961">
        <w:tab/>
        <w:t xml:space="preserve">ia act cu preocupare de lipsa echilibrului de gen în rândul personalului din conducerea superioară a Agenției, 8 membri din 10 (80 %) fiind bărbați; ia act de distribuția genurilor în cadrul Consiliului de administrație al Agenției, 34 de membri din 64 (53 %) fiind bărbați; ia act, de asemenea, de distribuția genurilor în cadrul întregului personal al Agenției, 120 din 188 (64 %) de posturi fiind ocupate de bărbați; reamintește că este important să se asigure echilibrul de gen și invită Agenția să ia în considerare acest aspect în ceea ce privește viitoarele recrutări de personal și numiri în cadrul conducerii </w:t>
      </w:r>
      <w:r w:rsidRPr="002B6961">
        <w:lastRenderedPageBreak/>
        <w:t xml:space="preserve">sale superioare; ia act de activitatea continuă a Agenției pentru eliminarea disparității de gen, cu proiecte specifice, cum ar fi „Femeile și transporturile”, pentru a îmbunătăți ocuparea forței de muncă în rândul femeilor și egalitatea de șanse în sectorul transporturilor; ia act, în acest context, de eforturile Agenției de a crește numărul de femei în sectorul transporturilor prin intermediul unor prestații precum evenimente de stabilire de contacte rapide și </w:t>
      </w:r>
      <w:proofErr w:type="spellStart"/>
      <w:r w:rsidRPr="002B6961">
        <w:t>webinare</w:t>
      </w:r>
      <w:proofErr w:type="spellEnd"/>
      <w:r w:rsidRPr="002B6961">
        <w:t xml:space="preserve"> axate pe diversitate și incluziune în 2022;</w:t>
      </w:r>
    </w:p>
    <w:p w:rsidR="0097119D" w:rsidRPr="002B6961" w:rsidRDefault="0097119D" w:rsidP="0097119D">
      <w:pPr>
        <w:spacing w:after="240"/>
        <w:ind w:left="567" w:hanging="567"/>
        <w:rPr>
          <w:szCs w:val="24"/>
        </w:rPr>
      </w:pPr>
      <w:r w:rsidRPr="002B6961">
        <w:t>21.</w:t>
      </w:r>
      <w:r w:rsidRPr="002B6961">
        <w:tab/>
        <w:t>constată din avizul Agenției că Agenția a efectuat un audit participativ de gen în a doua jumătate a anului 2022, ale cărui constatări au fost utilizate ulterior pentru a contribui la stabilirea de priorități între obiectivele Strategiei privind resursele umane a Agenției pentru perioada 2023-2027 și au servit drept bază pentru un document care descrie angajamentele echipei de conducere a Agenției în ceea ce privește diversitatea și incluziunea; constată, de asemenea, că sunt definite acțiuni concrete pe termen scurt pentru a îmbunătăți diversitatea și incluziunea în cadrul Agenției la toate nivelurile, de exemplu în ceea ce privește activitatea de recrutare și angajare (utilizarea listelor de rezervă, integrarea, mentoratul);</w:t>
      </w:r>
    </w:p>
    <w:p w:rsidR="0097119D" w:rsidRPr="002B6961" w:rsidRDefault="0097119D" w:rsidP="0097119D">
      <w:pPr>
        <w:pStyle w:val="NormalHanging12a"/>
      </w:pPr>
      <w:r w:rsidRPr="002B6961">
        <w:t>22.</w:t>
      </w:r>
      <w:r w:rsidRPr="002B6961">
        <w:tab/>
        <w:t>salută faptul că Agenția se străduiește să asigure un echilibru geografic în rândul membrilor personalului său, încurajând candidații din toate statele membre să își depună candidatura pentru posturile sale; ia act de faptul că posturile temporare sunt publicate în toate limbile UE și că cererile de candidaturi nu sunt publicate numai pe site-ul Agenției, ci sunt difuzate și la nivelul reprezentanțelor permanente ale statelor membre;</w:t>
      </w:r>
    </w:p>
    <w:p w:rsidR="0097119D" w:rsidRPr="002B6961" w:rsidRDefault="0097119D" w:rsidP="0097119D">
      <w:pPr>
        <w:spacing w:after="240"/>
        <w:ind w:left="567" w:hanging="567"/>
        <w:rPr>
          <w:szCs w:val="24"/>
        </w:rPr>
      </w:pPr>
      <w:r w:rsidRPr="002B6961">
        <w:t>23.</w:t>
      </w:r>
      <w:r w:rsidRPr="002B6961">
        <w:tab/>
        <w:t>constată, pe baza răspunsurilor Agenției la întrebările cu solicitare de răspuns scris ale Parlamentului, că, în ceea ce privește cazurile raportate de hărțuire în cadrul Agenției, care sunt tratate de consilierii confidențiali interni, patru membri ai personalului au fost înscriși în registru, doi membri ai personalului au fost radiați din registru la sfârșitul anului 2022, fără a se efectua nicio anchetă și fără a se ajunge la nicio concluzie; încurajează Agenția să își dezvolte în continuare politicile și metodele pentru a preveni astfel de cazuri într-un mod mai eficient în viitor;</w:t>
      </w:r>
    </w:p>
    <w:p w:rsidR="0097119D" w:rsidRPr="002B6961" w:rsidRDefault="0097119D" w:rsidP="0097119D">
      <w:pPr>
        <w:spacing w:after="240"/>
        <w:ind w:left="567" w:hanging="567"/>
        <w:rPr>
          <w:b/>
          <w:i/>
          <w:szCs w:val="24"/>
        </w:rPr>
      </w:pPr>
      <w:r w:rsidRPr="002B6961">
        <w:rPr>
          <w:b/>
          <w:i/>
        </w:rPr>
        <w:t>Achizițiile publice</w:t>
      </w:r>
    </w:p>
    <w:p w:rsidR="0097119D" w:rsidRPr="002B6961" w:rsidRDefault="0097119D" w:rsidP="0097119D">
      <w:pPr>
        <w:spacing w:after="240"/>
        <w:ind w:left="567" w:hanging="567"/>
        <w:rPr>
          <w:szCs w:val="24"/>
        </w:rPr>
      </w:pPr>
      <w:r w:rsidRPr="002B6961">
        <w:t>24.</w:t>
      </w:r>
      <w:r w:rsidRPr="002B6961">
        <w:tab/>
        <w:t>ia act de faptul că Agenția a organizat 2 proceduri de ofertare deschise, 3 proceduri de negociere și o reluare a procedurii de atribuire în 2022 și 2 proceduri deschise de ofertare și 3 proceduri de negociere finanțate din credite administrative;</w:t>
      </w:r>
    </w:p>
    <w:p w:rsidR="0097119D" w:rsidRPr="002B6961" w:rsidRDefault="0097119D" w:rsidP="0097119D">
      <w:pPr>
        <w:spacing w:after="240"/>
        <w:ind w:left="567" w:hanging="567"/>
      </w:pPr>
      <w:r w:rsidRPr="002B6961">
        <w:t>25.</w:t>
      </w:r>
      <w:r w:rsidRPr="002B6961">
        <w:tab/>
        <w:t>constată, pe baza răspunsurilor Agenției la întrebările cu solicitare de răspuns scris ale Parlamentului, că implementarea achizițiilor publice ecologice este în desfășurare și este una dintre inițiativele/acțiunile strategiei Agenției de management de mediu;</w:t>
      </w:r>
    </w:p>
    <w:p w:rsidR="0097119D" w:rsidRPr="002B6961" w:rsidRDefault="0097119D" w:rsidP="0097119D">
      <w:pPr>
        <w:spacing w:after="240"/>
        <w:ind w:left="567" w:hanging="567"/>
        <w:rPr>
          <w:szCs w:val="24"/>
        </w:rPr>
      </w:pPr>
      <w:r w:rsidRPr="002B6961">
        <w:t>26.</w:t>
      </w:r>
      <w:r w:rsidRPr="002B6961">
        <w:tab/>
        <w:t>constată, pe baza răspunsurilor Agenției la întrebările autorității care acordă descărcarea de gestiune, că, în 2022, procesele de achiziții ale Agenției erau deja complet digitalizate; salută faptul că, în iulie 2023, Agenția a început integrarea instrumentului de gestionare a achizițiilor publice;</w:t>
      </w:r>
    </w:p>
    <w:p w:rsidR="0097119D" w:rsidRPr="002B6961" w:rsidRDefault="0097119D" w:rsidP="0097119D">
      <w:pPr>
        <w:spacing w:after="240"/>
        <w:ind w:left="567" w:hanging="567"/>
        <w:rPr>
          <w:b/>
          <w:i/>
          <w:szCs w:val="24"/>
        </w:rPr>
      </w:pPr>
      <w:r w:rsidRPr="002B6961">
        <w:rPr>
          <w:b/>
          <w:i/>
        </w:rPr>
        <w:t>Prevenirea și gestionarea conflictelor de interese și transparența</w:t>
      </w:r>
    </w:p>
    <w:p w:rsidR="0097119D" w:rsidRPr="002B6961" w:rsidRDefault="0097119D" w:rsidP="0097119D">
      <w:pPr>
        <w:spacing w:after="240"/>
        <w:ind w:left="567" w:hanging="567"/>
        <w:rPr>
          <w:szCs w:val="24"/>
        </w:rPr>
      </w:pPr>
      <w:r w:rsidRPr="002B6961">
        <w:t>27.</w:t>
      </w:r>
      <w:r w:rsidRPr="002B6961">
        <w:tab/>
        <w:t xml:space="preserve">ia act de faptul că Agenția a publicat pe site-ul său CV-urile și declarațiile de interese ale membrilor Consiliului de administrație și ale personalului său de conducere de nivel superior; constată că Agenția nu publică CV-urile experților externi și ale experților </w:t>
      </w:r>
      <w:r w:rsidRPr="002B6961">
        <w:lastRenderedPageBreak/>
        <w:t>interni;</w:t>
      </w:r>
    </w:p>
    <w:p w:rsidR="0097119D" w:rsidRPr="002B6961" w:rsidRDefault="0097119D" w:rsidP="0097119D">
      <w:pPr>
        <w:spacing w:after="240"/>
        <w:ind w:left="567" w:hanging="567"/>
        <w:rPr>
          <w:bCs/>
          <w:szCs w:val="24"/>
        </w:rPr>
      </w:pPr>
      <w:r w:rsidRPr="002B6961">
        <w:t>28.</w:t>
      </w:r>
      <w:r w:rsidRPr="002B6961">
        <w:tab/>
        <w:t>salută eforturile Agenției de a îmbunătăți transparența activităților Agenției prin publicarea periodică pe site-ul său a informațiilor despre toate reuniunile desfășurate de directorul executiv cu organizații sau persoane care desfășoară activități independente; ia act de faptul că Agenția utilizează mai multe mecanisme pentru a identifica și a evita conflictele de interese, cum ar fi enumerarea intereselor în funcție de categorii specifice (de exemplu, profesionale, familiale), revizuirea declarațiilor de interese, solicitarea unor declarații spontane privind absența conflictelor de interese și formarea periodică;</w:t>
      </w:r>
    </w:p>
    <w:p w:rsidR="0097119D" w:rsidRPr="002B6961" w:rsidRDefault="0097119D" w:rsidP="0097119D">
      <w:pPr>
        <w:spacing w:after="240"/>
        <w:ind w:left="567" w:hanging="567"/>
      </w:pPr>
      <w:r w:rsidRPr="002B6961">
        <w:t>29.</w:t>
      </w:r>
      <w:r w:rsidRPr="002B6961">
        <w:tab/>
        <w:t>felicită Agenția pentru procedurile sale de avertizare în interes public prin care membrii personalului pot raporta potențiale conflicte fără teama de represalii; constată, în acest context, că în 2022 au fost raportate potențiale situații de conflict de interese la nivelul membrilor Consiliului de administrație și al membrilor personalului Agenției, fiind luate și înregistrate măsuri de atenuare în cadrul reuniunilor Consiliului de administrație sau documentate în declarațiile de interese ale membrilor personalului în cauză;</w:t>
      </w:r>
    </w:p>
    <w:p w:rsidR="0097119D" w:rsidRPr="002B6961" w:rsidRDefault="0097119D" w:rsidP="0097119D">
      <w:pPr>
        <w:spacing w:after="240"/>
        <w:ind w:left="567" w:hanging="567"/>
      </w:pPr>
      <w:r w:rsidRPr="002B6961">
        <w:t>30.</w:t>
      </w:r>
      <w:r w:rsidRPr="002B6961">
        <w:tab/>
        <w:t>constată, pe baza răspunsurilor Agenției la întrebările cu solicitare de răspuns scris ale Parlamentului, că Agenția a instituit proceduri pentru gestionarea potențialelor situații de tipul „ușilor turnante” în cazul foștilor membri ai personalului; regretă, în acest context, că Agenția nu efectuează o monitorizare sistematică a respectării normelor aplicabile, ceea ce înseamnă că situațiile de tipul „ușilor turnante” nedeclarate pot rămâne nedetectate sau că este posibil să nu se asigure respectarea instrucțiunilor impuse anterior membrilor personalului care au părăsit Agenția;</w:t>
      </w:r>
    </w:p>
    <w:p w:rsidR="0097119D" w:rsidRPr="002B6961" w:rsidRDefault="0097119D" w:rsidP="0097119D">
      <w:pPr>
        <w:spacing w:after="240"/>
        <w:ind w:left="567" w:hanging="567"/>
        <w:rPr>
          <w:szCs w:val="24"/>
        </w:rPr>
      </w:pPr>
      <w:r w:rsidRPr="002B6961">
        <w:t>31.</w:t>
      </w:r>
      <w:r w:rsidRPr="002B6961">
        <w:tab/>
        <w:t>ia act de faptul că Agenția a continuat sesiunile de formare privind etica și combaterea fraudei, care sunt obligatorii pentru întregul personal, făcând parte dintr-un ciclu continuu de 4 ani de sesiuni de formare, cu scopul de a atinge o participare de 100 % la sfârșitul ciclului; ia act de faptul că rata globală de participare în 2022 a fost de 22,1 % la formările privind combaterea fraudei și de 31,11 % la cele despre etică și că ambele cursuri de formare sunt personalizate, în funcție de mediul de risc al Agenției;</w:t>
      </w:r>
    </w:p>
    <w:p w:rsidR="0097119D" w:rsidRPr="002B6961" w:rsidRDefault="0097119D" w:rsidP="0097119D">
      <w:pPr>
        <w:spacing w:after="240"/>
        <w:ind w:left="567" w:hanging="567"/>
        <w:rPr>
          <w:szCs w:val="24"/>
        </w:rPr>
      </w:pPr>
      <w:r w:rsidRPr="002B6961">
        <w:rPr>
          <w:b/>
          <w:i/>
        </w:rPr>
        <w:t>Controlul intern</w:t>
      </w:r>
    </w:p>
    <w:p w:rsidR="0097119D" w:rsidRPr="002B6961" w:rsidRDefault="0097119D" w:rsidP="0097119D">
      <w:pPr>
        <w:spacing w:after="240"/>
        <w:ind w:left="567" w:hanging="567"/>
        <w:rPr>
          <w:szCs w:val="24"/>
        </w:rPr>
      </w:pPr>
      <w:r w:rsidRPr="002B6961">
        <w:t>32.</w:t>
      </w:r>
      <w:r w:rsidRPr="002B6961">
        <w:tab/>
        <w:t>ia act cu îngrijorare, din raportul Curții, de observațiile privind unele deficiențe ale sistemelor de gestiune și control ale Agenției, și anume lipsa unei politici de clasificare și protejare a informațiilor sensibile și utilizarea unor metode de aprobare nevalidate, altele decât semnăturile electronice fizice sau calificate, în domeniul procedurilor de achiziții publice; constată, pe baza răspunsurilor Agenției la observațiile Curții, că aceste deficiențe au fost remediate între timp prin diverse acțiuni și măsuri; invită Curtea să includă aceste acțiuni și măsuri în auditurile sale de urmărire subsecventă;</w:t>
      </w:r>
    </w:p>
    <w:p w:rsidR="0097119D" w:rsidRPr="002B6961" w:rsidRDefault="0097119D" w:rsidP="0097119D">
      <w:pPr>
        <w:spacing w:after="240"/>
        <w:ind w:left="567" w:hanging="567"/>
      </w:pPr>
      <w:r w:rsidRPr="002B6961">
        <w:t>33.</w:t>
      </w:r>
      <w:r w:rsidRPr="002B6961">
        <w:tab/>
        <w:t>constată, pe baza avizului Agenției, că, în ceea ce privește recomandările formulate de Serviciul de Audit Intern (IAS) după auditul efectuat în 2019 cu privire la gestionarea informațiilor și securitatea informațiilor, Agenția a pus în aplicare recomandarea foarte importantă privind cadrul de guvernanță a datelor și recomandarea importantă privind datele și operațiunile informatice (deja închisă de IAS), în timp ce se lucrează la punerea în aplicare a celor trei recomandări rămase în 2023 (privind interoperabilitatea și calitatea datelor, securitatea datelor și securitatea informatică, precum și continuitatea IT și securitatea fizică); invită Agenția să informeze autoritatea bugetară despre progresele înregistrate în acest sens;</w:t>
      </w:r>
    </w:p>
    <w:p w:rsidR="0097119D" w:rsidRPr="002B6961" w:rsidRDefault="0097119D" w:rsidP="0097119D">
      <w:pPr>
        <w:spacing w:after="240"/>
        <w:ind w:left="567" w:hanging="567"/>
        <w:rPr>
          <w:szCs w:val="24"/>
        </w:rPr>
      </w:pPr>
      <w:r w:rsidRPr="002B6961">
        <w:lastRenderedPageBreak/>
        <w:t>34.</w:t>
      </w:r>
      <w:r w:rsidRPr="002B6961">
        <w:tab/>
        <w:t xml:space="preserve">ia act de faptul că, în cadrul Agenției, fiecare abatere de la un proces sau o procedură stabilită este documentată, justificată și aprobată la nivelul de conducere corespunzător; constată cu satisfacție o scădere a numărului de neconformități înregistrate de la 35 în 2021 la 28 în 2022; observă că, în 2022, au fost înregistrate 28 de neconformități în ceea ce privește respectarea, de exemplu, a normelor administrative (abaterea de la normele privind </w:t>
      </w:r>
      <w:proofErr w:type="spellStart"/>
      <w:r w:rsidRPr="002B6961">
        <w:t>telemunca</w:t>
      </w:r>
      <w:proofErr w:type="spellEnd"/>
      <w:r w:rsidRPr="002B6961">
        <w:t>), a procedurilor/normelor privind achizițiile publice (utilizarea neconformă a procedurii de negociere), a normelor privind misiunile (plecare în misiuni fără un ordin de misiune autorizat), precum și a normelor din domenii precum gestionarea contractelor, angajamentele și selecția personalului; constată că 13 dintre cele 28 de neconformități au fost excepționale (neconformități ex ante) și documentate în mod transparent și justificate, de exemplu, pentru a asigura continuitatea activității sau din motive economice; salută faptul că Agenția a luat măsuri de atenuare sau de monitorizare pentru a aborda fiecare neconformitate; invită Agenția să continue să efectueze evaluări periodice și bazate pe riscuri ale funcționării principalelor domenii de control intern care sprijină procesul de asigurare;</w:t>
      </w:r>
    </w:p>
    <w:p w:rsidR="0097119D" w:rsidRPr="002B6961" w:rsidRDefault="0097119D" w:rsidP="0097119D">
      <w:pPr>
        <w:spacing w:after="240"/>
        <w:ind w:left="567" w:hanging="567"/>
        <w:rPr>
          <w:szCs w:val="24"/>
        </w:rPr>
      </w:pPr>
      <w:r w:rsidRPr="002B6961">
        <w:t>35.</w:t>
      </w:r>
      <w:r w:rsidRPr="002B6961">
        <w:tab/>
        <w:t>ia act de faptul că, în 2022, Agenția a efectuat exercițiul de evaluare a riscurilor aliniat la planificarea sa strategică anuală și a revizuit în mod continuu relevanța riscurilor și a măsurilor de atenuare aferente pe tot parcursul anului; ia act de provocările/riscurile majore identificate în legătură cu execuția bugetului, punerea în aplicare a unui nou instrument informatic financiar corporativ (SUMMA), constrângerile legate de personal, problemele de securitate informatică și consecințele pandemiei de COVID-19;</w:t>
      </w:r>
    </w:p>
    <w:p w:rsidR="0097119D" w:rsidRPr="002B6961" w:rsidRDefault="0097119D" w:rsidP="0097119D">
      <w:pPr>
        <w:spacing w:after="240"/>
        <w:ind w:left="567" w:hanging="567"/>
        <w:rPr>
          <w:szCs w:val="24"/>
        </w:rPr>
      </w:pPr>
      <w:r w:rsidRPr="002B6961">
        <w:t>36.</w:t>
      </w:r>
      <w:r w:rsidRPr="002B6961">
        <w:tab/>
        <w:t>ia act de faptul că ancheta OLAF a fost închisă în decembrie 2022, fără constatări sau recomandări suplimentare;</w:t>
      </w:r>
    </w:p>
    <w:p w:rsidR="0097119D" w:rsidRPr="002B6961" w:rsidRDefault="0097119D" w:rsidP="0097119D">
      <w:pPr>
        <w:spacing w:after="240"/>
        <w:ind w:left="567" w:hanging="567"/>
        <w:rPr>
          <w:szCs w:val="24"/>
        </w:rPr>
      </w:pPr>
      <w:r w:rsidRPr="002B6961">
        <w:rPr>
          <w:b/>
          <w:i/>
        </w:rPr>
        <w:t>Alte observații</w:t>
      </w:r>
    </w:p>
    <w:p w:rsidR="0097119D" w:rsidRPr="002B6961" w:rsidRDefault="0097119D" w:rsidP="0097119D">
      <w:pPr>
        <w:tabs>
          <w:tab w:val="left" w:pos="567"/>
        </w:tabs>
        <w:spacing w:after="240"/>
        <w:ind w:left="567" w:hanging="567"/>
        <w:rPr>
          <w:szCs w:val="24"/>
        </w:rPr>
      </w:pPr>
      <w:r w:rsidRPr="002B6961">
        <w:t>37.</w:t>
      </w:r>
      <w:r w:rsidRPr="002B6961">
        <w:tab/>
        <w:t xml:space="preserve">ia act de faptul că, în urma măsurilor luate împreună cu Parlamentul European și cu Consiliul în legătură cu noua clădire a Agenției, directorul executiv a informat Consiliul de administrație cu privire la multiplele reuniuni cu Valenciennes </w:t>
      </w:r>
      <w:proofErr w:type="spellStart"/>
      <w:r w:rsidRPr="002B6961">
        <w:t>Métropole</w:t>
      </w:r>
      <w:proofErr w:type="spellEnd"/>
      <w:r w:rsidRPr="002B6961">
        <w:t xml:space="preserve"> din 2023; constată, de asemenea, că autorizația de construcție ar trebui să fie gata în martie 2024, iar construcția ar putea începe în vara anului 2024, clădirea urmând să fie gata în 2026;</w:t>
      </w:r>
    </w:p>
    <w:p w:rsidR="0097119D" w:rsidRPr="002B6961" w:rsidRDefault="0097119D" w:rsidP="0097119D">
      <w:pPr>
        <w:pStyle w:val="NormalHanging12a"/>
      </w:pPr>
      <w:r w:rsidRPr="002B6961">
        <w:t>38.</w:t>
      </w:r>
      <w:r w:rsidRPr="002B6961">
        <w:tab/>
        <w:t xml:space="preserve">salută eforturile susținute ale Agenției de a-și consolida comunicarea, efectuată prin diferite canale pentru a ajunge la un public cât mai larg posibil; ia act de dezvoltarea și lansarea noului site al ERA în noiembrie 2022, care oferă un instrument mai clar, raționalizat și modern pentru a prezenta contribuția Agenției la sectorul feroviar și pentru cetățenii UE în general; ia act de eforturile Agenției de a organiza 9 </w:t>
      </w:r>
      <w:proofErr w:type="spellStart"/>
      <w:r w:rsidRPr="002B6961">
        <w:t>webinare</w:t>
      </w:r>
      <w:proofErr w:type="spellEnd"/>
      <w:r w:rsidRPr="002B6961">
        <w:t xml:space="preserve"> și de a elabora mai multe publicații și materiale video în 2022; salută faptul că Agenția a menținut o prezență puternică în mass-media și că a avut un număr tot mai mare de urmăritori pe platformele de comunicare socială în 2022;</w:t>
      </w:r>
    </w:p>
    <w:p w:rsidR="0097119D" w:rsidRPr="002B6961" w:rsidRDefault="0097119D" w:rsidP="0097119D">
      <w:pPr>
        <w:pStyle w:val="NormalHanging12a"/>
        <w:jc w:val="both"/>
      </w:pPr>
      <w:r w:rsidRPr="002B6961">
        <w:t>39.</w:t>
      </w:r>
      <w:r w:rsidRPr="002B6961">
        <w:tab/>
        <w:t>accentuează că în 2022, companiile feroviare europene și-au continuat redresarea în urma pandemiei de COVID-19; reziliența continuă a sectorului feroviar, alături de emisiile sale scăzute de dioxid de carbon, sunt doi factori esențiali care contribuie la o viitoare revenire la nivelurile anterioare pandemiei;</w:t>
      </w:r>
    </w:p>
    <w:p w:rsidR="0097119D" w:rsidRPr="002B6961" w:rsidRDefault="0097119D" w:rsidP="0097119D">
      <w:pPr>
        <w:pStyle w:val="NormalHanging12a"/>
        <w:jc w:val="both"/>
      </w:pPr>
      <w:r w:rsidRPr="002B6961">
        <w:t>40.</w:t>
      </w:r>
      <w:r w:rsidRPr="002B6961">
        <w:tab/>
        <w:t xml:space="preserve">regretă că cerințele actuale privind raportarea accidentelor și incidentelor legate de siguranța feroviară sunt fragmentate în Europa, se limitează la o funcție de supraveghere și nu sunt sprijinite de un instrument adecvat de facilitare și invită așadar Comisia să ia </w:t>
      </w:r>
      <w:r w:rsidRPr="002B6961">
        <w:lastRenderedPageBreak/>
        <w:t>măsuri în legătură cu această lacună și să asigure finanțarea necesară în acest scop;</w:t>
      </w:r>
    </w:p>
    <w:p w:rsidR="0097119D" w:rsidRPr="002B6961" w:rsidRDefault="0097119D" w:rsidP="0097119D">
      <w:pPr>
        <w:pStyle w:val="NormalHanging12a"/>
        <w:jc w:val="both"/>
      </w:pPr>
      <w:r w:rsidRPr="002B6961">
        <w:t>41.</w:t>
      </w:r>
      <w:r w:rsidRPr="002B6961">
        <w:tab/>
        <w:t>constată că atunci când țările candidate la UE aderă la Uniune, acestea vor fi pus în aplicare cadrul și acquis-</w:t>
      </w:r>
      <w:proofErr w:type="spellStart"/>
      <w:r w:rsidRPr="002B6961">
        <w:t>ul</w:t>
      </w:r>
      <w:proofErr w:type="spellEnd"/>
      <w:r w:rsidRPr="002B6961">
        <w:t xml:space="preserve"> UE; evidențiază că acest lucru le va permite cetățenilor UE să folosească transportul feroviar ca mod de transport ecologic și sigur și să își transporte mărfurile din/către Europa de Sud-Est, întrucât în prezent există coridoare de transport feroviar de marfă care conectează Balcanii de Vest cu UE; accentuează rolul IPA și al proiectului Balcanilor de Vest în sprijinirea punerii în aplicare a Directivei privind interoperabilitatea și a Directivei privind siguranța în rândul beneficiarilor proiectului; constată, de asemenea, că acest lucru va oferi baza pentru o deschidere a pieței serviciilor feroviare și pentru circulația fără sincope a trenurilor dinspre și către această regiune învecinată;</w:t>
      </w:r>
    </w:p>
    <w:p w:rsidR="0097119D" w:rsidRPr="002B6961" w:rsidRDefault="0097119D" w:rsidP="0097119D">
      <w:pPr>
        <w:pStyle w:val="NormalCenter12a"/>
      </w:pPr>
      <w:r w:rsidRPr="002B6961">
        <w:t>°</w:t>
      </w:r>
    </w:p>
    <w:p w:rsidR="0097119D" w:rsidRPr="002B6961" w:rsidRDefault="0097119D" w:rsidP="0097119D">
      <w:pPr>
        <w:pStyle w:val="NormalCenter12a"/>
      </w:pPr>
      <w:r w:rsidRPr="002B6961">
        <w:t>°</w:t>
      </w:r>
      <w:r w:rsidRPr="002B6961">
        <w:tab/>
        <w:t>°</w:t>
      </w:r>
    </w:p>
    <w:p w:rsidR="0097119D" w:rsidRPr="002B6961" w:rsidRDefault="0097119D" w:rsidP="0097119D">
      <w:pPr>
        <w:pStyle w:val="NormalHanging12a"/>
      </w:pPr>
      <w:r w:rsidRPr="002B6961">
        <w:t>42.</w:t>
      </w:r>
      <w:r w:rsidRPr="002B6961">
        <w:tab/>
        <w:t xml:space="preserve">face trimitere, pentru alte observații cu caracter orizontal care însoțesc decizia privind descărcarea de gestiune, la Rezoluția sa din </w:t>
      </w:r>
      <w:r w:rsidR="00B87AD2" w:rsidRPr="002B6961">
        <w:t xml:space="preserve">11 aprilie </w:t>
      </w:r>
      <w:r w:rsidRPr="002B6961">
        <w:t>2024</w:t>
      </w:r>
      <w:r w:rsidRPr="002B6961">
        <w:rPr>
          <w:rStyle w:val="FootnoteReference"/>
        </w:rPr>
        <w:footnoteReference w:id="12"/>
      </w:r>
      <w:r w:rsidRPr="002B6961">
        <w:t xml:space="preserve"> referitoare la performanțele, gestiunea financiară și controlul agențiilor.</w:t>
      </w:r>
    </w:p>
    <w:p w:rsidR="00E365E1" w:rsidRPr="002B6961" w:rsidRDefault="00E365E1" w:rsidP="006F62B5"/>
    <w:sectPr w:rsidR="00E365E1" w:rsidRPr="002B6961" w:rsidSect="001E41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2B5" w:rsidRPr="001E416E" w:rsidRDefault="006F62B5">
      <w:r w:rsidRPr="001E416E">
        <w:separator/>
      </w:r>
    </w:p>
  </w:endnote>
  <w:endnote w:type="continuationSeparator" w:id="0">
    <w:p w:rsidR="006F62B5" w:rsidRPr="001E416E" w:rsidRDefault="006F62B5">
      <w:r w:rsidRPr="001E4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19D" w:rsidRPr="001E416E" w:rsidRDefault="0097119D" w:rsidP="001B3CD3">
    <w:pPr>
      <w:pStyle w:val="EPFooter"/>
    </w:pPr>
    <w:r w:rsidRPr="001E416E">
      <w:t>PE</w:t>
    </w:r>
    <w:r w:rsidRPr="001E416E">
      <w:rPr>
        <w:rStyle w:val="HideTWBExt"/>
      </w:rPr>
      <w:t>&lt;NoPE&gt;</w:t>
    </w:r>
    <w:r w:rsidRPr="001E416E">
      <w:t>753.528</w:t>
    </w:r>
    <w:r w:rsidRPr="001E416E">
      <w:rPr>
        <w:rStyle w:val="HideTWBExt"/>
      </w:rPr>
      <w:t>&lt;/NoPE&gt;&lt;Version&gt;</w:t>
    </w:r>
    <w:r w:rsidRPr="001E416E">
      <w:t>v02-00</w:t>
    </w:r>
    <w:r w:rsidRPr="001E416E">
      <w:rPr>
        <w:rStyle w:val="HideTWBExt"/>
      </w:rPr>
      <w:t>&lt;/Version&gt;</w:t>
    </w:r>
    <w:r w:rsidRPr="001E416E">
      <w:tab/>
    </w:r>
    <w:r w:rsidRPr="001E416E">
      <w:fldChar w:fldCharType="begin"/>
    </w:r>
    <w:r w:rsidRPr="001E416E">
      <w:instrText xml:space="preserve"> PAGE  \* MERGEFORMAT </w:instrText>
    </w:r>
    <w:r w:rsidRPr="001E416E">
      <w:fldChar w:fldCharType="separate"/>
    </w:r>
    <w:r w:rsidR="001E416E" w:rsidRPr="001E416E">
      <w:rPr>
        <w:noProof/>
      </w:rPr>
      <w:t>2</w:t>
    </w:r>
    <w:r w:rsidRPr="001E416E">
      <w:fldChar w:fldCharType="end"/>
    </w:r>
    <w:r w:rsidRPr="001E416E">
      <w:t>/</w:t>
    </w:r>
    <w:fldSimple w:instr=" NUMPAGES  \* MERGEFORMAT ">
      <w:r w:rsidR="001E416E" w:rsidRPr="001E416E">
        <w:rPr>
          <w:noProof/>
        </w:rPr>
        <w:t>3</w:t>
      </w:r>
    </w:fldSimple>
    <w:r w:rsidRPr="001E416E">
      <w:tab/>
    </w:r>
    <w:r w:rsidRPr="001E416E">
      <w:rPr>
        <w:rStyle w:val="HideTWBExt"/>
      </w:rPr>
      <w:t>&lt;PathFdR&gt;</w:t>
    </w:r>
    <w:r w:rsidRPr="001E416E">
      <w:t>RR\1298731RO.docx</w:t>
    </w:r>
    <w:r w:rsidRPr="001E416E">
      <w:rPr>
        <w:rStyle w:val="HideTWBExt"/>
      </w:rPr>
      <w:t>&lt;/PathFdR&gt;</w:t>
    </w:r>
  </w:p>
  <w:p w:rsidR="0097119D" w:rsidRPr="001E416E" w:rsidRDefault="0097119D" w:rsidP="001B3CD3">
    <w:pPr>
      <w:pStyle w:val="EPFooter2"/>
    </w:pPr>
    <w:r w:rsidRPr="001E416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19D" w:rsidRPr="001E416E" w:rsidRDefault="0097119D" w:rsidP="001B3CD3">
    <w:pPr>
      <w:pStyle w:val="EPFooter"/>
    </w:pPr>
    <w:r w:rsidRPr="001E416E">
      <w:rPr>
        <w:rStyle w:val="HideTWBExt"/>
      </w:rPr>
      <w:t>&lt;PathFdR&gt;</w:t>
    </w:r>
    <w:r w:rsidRPr="001E416E">
      <w:t>RR\1298731RO.docx</w:t>
    </w:r>
    <w:r w:rsidRPr="001E416E">
      <w:rPr>
        <w:rStyle w:val="HideTWBExt"/>
      </w:rPr>
      <w:t>&lt;/PathFdR&gt;</w:t>
    </w:r>
    <w:r w:rsidRPr="001E416E">
      <w:tab/>
    </w:r>
    <w:r w:rsidRPr="001E416E">
      <w:tab/>
      <w:t>PE</w:t>
    </w:r>
    <w:r w:rsidRPr="001E416E">
      <w:rPr>
        <w:rStyle w:val="HideTWBExt"/>
      </w:rPr>
      <w:t>&lt;NoPE&gt;</w:t>
    </w:r>
    <w:r w:rsidRPr="001E416E">
      <w:t>753.528</w:t>
    </w:r>
    <w:r w:rsidRPr="001E416E">
      <w:rPr>
        <w:rStyle w:val="HideTWBExt"/>
      </w:rPr>
      <w:t>&lt;/NoPE&gt;&lt;Version&gt;</w:t>
    </w:r>
    <w:r w:rsidRPr="001E416E">
      <w:t>v02-00</w:t>
    </w:r>
    <w:r w:rsidRPr="001E416E">
      <w:rPr>
        <w:rStyle w:val="HideTWBExt"/>
      </w:rPr>
      <w:t>&lt;/Version&gt;</w:t>
    </w:r>
  </w:p>
  <w:p w:rsidR="0097119D" w:rsidRPr="001E416E" w:rsidRDefault="0097119D" w:rsidP="001B3CD3">
    <w:pPr>
      <w:pStyle w:val="EPFooter2"/>
    </w:pPr>
    <w:r w:rsidRPr="001E416E">
      <w:t>RO</w:t>
    </w:r>
    <w:r w:rsidRPr="001E416E">
      <w:tab/>
    </w:r>
    <w:r w:rsidRPr="001E416E">
      <w:rPr>
        <w:b w:val="0"/>
        <w:i/>
        <w:color w:val="C0C0C0"/>
        <w:sz w:val="22"/>
      </w:rPr>
      <w:t>Unită în diversitate</w:t>
    </w:r>
    <w:r w:rsidRPr="001E416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2B5" w:rsidRPr="001E416E" w:rsidRDefault="006F62B5">
      <w:r w:rsidRPr="001E416E">
        <w:separator/>
      </w:r>
    </w:p>
  </w:footnote>
  <w:footnote w:type="continuationSeparator" w:id="0">
    <w:p w:rsidR="006F62B5" w:rsidRPr="001E416E" w:rsidRDefault="006F62B5">
      <w:r w:rsidRPr="001E416E">
        <w:continuationSeparator/>
      </w:r>
    </w:p>
  </w:footnote>
  <w:footnote w:id="1">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C, C/2023/594, 27.10.2023.</w:t>
      </w:r>
    </w:p>
  </w:footnote>
  <w:footnote w:id="2">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C, C/2023/112, 12.10.2023.</w:t>
      </w:r>
    </w:p>
  </w:footnote>
  <w:footnote w:id="3">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193, 30.7.2018, p. 1.</w:t>
      </w:r>
    </w:p>
  </w:footnote>
  <w:footnote w:id="4">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138, 26.5.2016, p. 1.</w:t>
      </w:r>
    </w:p>
  </w:footnote>
  <w:footnote w:id="5">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122, 10.5.2019, p. 1.</w:t>
      </w:r>
    </w:p>
  </w:footnote>
  <w:footnote w:id="6">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C, C/2023/594, 27.10.2023.</w:t>
      </w:r>
    </w:p>
  </w:footnote>
  <w:footnote w:id="7">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C, C/2023/112, 12.10.2023.</w:t>
      </w:r>
    </w:p>
  </w:footnote>
  <w:footnote w:id="8">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193, 30.7.2018, p. 1.</w:t>
      </w:r>
    </w:p>
  </w:footnote>
  <w:footnote w:id="9">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138, 26.5.2016, p. 1.</w:t>
      </w:r>
    </w:p>
  </w:footnote>
  <w:footnote w:id="10">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L 122, 10.5.2019, p. 1.</w:t>
      </w:r>
    </w:p>
  </w:footnote>
  <w:footnote w:id="11">
    <w:p w:rsidR="0097119D" w:rsidRPr="002B6961"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JO C 38, 31.1.2023, p. 51.</w:t>
      </w:r>
    </w:p>
  </w:footnote>
  <w:footnote w:id="12">
    <w:p w:rsidR="0097119D" w:rsidRPr="001E416E" w:rsidRDefault="0097119D" w:rsidP="001E416E">
      <w:pPr>
        <w:pStyle w:val="FootnoteText"/>
        <w:ind w:left="567" w:hanging="567"/>
        <w:rPr>
          <w:sz w:val="24"/>
          <w:lang w:val="ro-RO"/>
        </w:rPr>
      </w:pPr>
      <w:r w:rsidRPr="002B6961">
        <w:rPr>
          <w:rStyle w:val="FootnoteReference"/>
          <w:sz w:val="24"/>
          <w:lang w:val="ro-RO"/>
        </w:rPr>
        <w:footnoteRef/>
      </w:r>
      <w:r w:rsidR="001E416E" w:rsidRPr="002B6961">
        <w:rPr>
          <w:sz w:val="24"/>
          <w:lang w:val="ro-RO"/>
        </w:rPr>
        <w:t xml:space="preserve"> </w:t>
      </w:r>
      <w:r w:rsidR="001E416E" w:rsidRPr="002B6961">
        <w:rPr>
          <w:sz w:val="24"/>
          <w:lang w:val="ro-RO"/>
        </w:rPr>
        <w:tab/>
      </w:r>
      <w:r w:rsidRPr="002B6961">
        <w:rPr>
          <w:sz w:val="24"/>
          <w:lang w:val="ro-RO"/>
        </w:rPr>
        <w:t>Texte adoptate, P9_TA(2024)</w:t>
      </w:r>
      <w:r w:rsidR="002B6961" w:rsidRPr="002B6961">
        <w:rPr>
          <w:sz w:val="24"/>
          <w:lang w:val="ro-RO"/>
        </w:rPr>
        <w:t>0280</w:t>
      </w:r>
      <w:r w:rsidRPr="002B696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1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RO"/>
    <w:docVar w:name="dvnumam" w:val="0"/>
    <w:docVar w:name="dvpe" w:val="753.528"/>
    <w:docVar w:name="dvrapporteur" w:val="Raportor: "/>
    <w:docVar w:name="dvtitre" w:val="1. Decizia Parlamentului European din 11 aprilie 2024 privind descărcarea de gestiune pentru execuția bugetului Agenției Uniunii Europene pentru Căile Ferate aferent exercițiului financiar 2022(2023/2160(DEC))"/>
  </w:docVars>
  <w:rsids>
    <w:rsidRoot w:val="006F62B5"/>
    <w:rsid w:val="00002272"/>
    <w:rsid w:val="00064002"/>
    <w:rsid w:val="000677B9"/>
    <w:rsid w:val="000831BA"/>
    <w:rsid w:val="000A42CC"/>
    <w:rsid w:val="000D13ED"/>
    <w:rsid w:val="000E7DD9"/>
    <w:rsid w:val="0010095E"/>
    <w:rsid w:val="00125B37"/>
    <w:rsid w:val="00187494"/>
    <w:rsid w:val="001E416E"/>
    <w:rsid w:val="001F32AE"/>
    <w:rsid w:val="002767FF"/>
    <w:rsid w:val="002B18FE"/>
    <w:rsid w:val="002B5493"/>
    <w:rsid w:val="002B696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911"/>
    <w:rsid w:val="00545827"/>
    <w:rsid w:val="00560270"/>
    <w:rsid w:val="005C2568"/>
    <w:rsid w:val="006037C0"/>
    <w:rsid w:val="006631B6"/>
    <w:rsid w:val="00664343"/>
    <w:rsid w:val="00680577"/>
    <w:rsid w:val="006F62B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19D"/>
    <w:rsid w:val="00981893"/>
    <w:rsid w:val="00A1687D"/>
    <w:rsid w:val="00A43E52"/>
    <w:rsid w:val="00A4678D"/>
    <w:rsid w:val="00A778C7"/>
    <w:rsid w:val="00AB441E"/>
    <w:rsid w:val="00AB6293"/>
    <w:rsid w:val="00AE0928"/>
    <w:rsid w:val="00AF3B82"/>
    <w:rsid w:val="00B12E95"/>
    <w:rsid w:val="00B22876"/>
    <w:rsid w:val="00B558F0"/>
    <w:rsid w:val="00B87AD2"/>
    <w:rsid w:val="00BD48FE"/>
    <w:rsid w:val="00BD7BD8"/>
    <w:rsid w:val="00BE6ADC"/>
    <w:rsid w:val="00C05BFE"/>
    <w:rsid w:val="00C23CD4"/>
    <w:rsid w:val="00C61C0C"/>
    <w:rsid w:val="00C941CB"/>
    <w:rsid w:val="00CC2357"/>
    <w:rsid w:val="00CF071A"/>
    <w:rsid w:val="00D058B8"/>
    <w:rsid w:val="00D176F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75B18"/>
  <w15:chartTrackingRefBased/>
  <w15:docId w15:val="{F0A25625-A329-4CD3-9811-BF6E0F0E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11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119D"/>
    <w:pPr>
      <w:spacing w:before="480" w:after="240"/>
    </w:pPr>
  </w:style>
  <w:style w:type="paragraph" w:customStyle="1" w:styleId="PageHeading">
    <w:name w:val="PageHeading"/>
    <w:basedOn w:val="Normal"/>
    <w:rsid w:val="0097119D"/>
    <w:pPr>
      <w:keepNext/>
      <w:spacing w:after="480"/>
      <w:jc w:val="center"/>
    </w:pPr>
    <w:rPr>
      <w:rFonts w:ascii="Arial" w:hAnsi="Arial" w:cs="Arial"/>
      <w:b/>
    </w:rPr>
  </w:style>
  <w:style w:type="paragraph" w:customStyle="1" w:styleId="NormalBold">
    <w:name w:val="NormalBold"/>
    <w:basedOn w:val="Normal"/>
    <w:rsid w:val="0097119D"/>
    <w:rPr>
      <w:b/>
    </w:rPr>
  </w:style>
  <w:style w:type="paragraph" w:customStyle="1" w:styleId="NormalHanging12a">
    <w:name w:val="NormalHanging12a"/>
    <w:basedOn w:val="Normal"/>
    <w:link w:val="NormalHanging12aChar"/>
    <w:rsid w:val="0097119D"/>
    <w:pPr>
      <w:spacing w:after="240"/>
      <w:ind w:left="567" w:hanging="567"/>
    </w:pPr>
  </w:style>
  <w:style w:type="paragraph" w:customStyle="1" w:styleId="NormalCenter12a">
    <w:name w:val="NormalCenter12a"/>
    <w:basedOn w:val="Normal"/>
    <w:rsid w:val="0097119D"/>
    <w:pPr>
      <w:spacing w:after="240"/>
      <w:jc w:val="center"/>
    </w:pPr>
  </w:style>
  <w:style w:type="paragraph" w:styleId="Header">
    <w:name w:val="header"/>
    <w:basedOn w:val="Normal"/>
    <w:link w:val="HeaderChar"/>
    <w:rsid w:val="0097119D"/>
    <w:pPr>
      <w:tabs>
        <w:tab w:val="center" w:pos="4513"/>
        <w:tab w:val="right" w:pos="9026"/>
      </w:tabs>
    </w:pPr>
  </w:style>
  <w:style w:type="character" w:customStyle="1" w:styleId="HeaderChar">
    <w:name w:val="Header Char"/>
    <w:basedOn w:val="DefaultParagraphFont"/>
    <w:link w:val="Header"/>
    <w:rsid w:val="0097119D"/>
    <w:rPr>
      <w:sz w:val="24"/>
      <w:lang w:val="ro-RO"/>
    </w:rPr>
  </w:style>
  <w:style w:type="paragraph" w:customStyle="1" w:styleId="EPFooter">
    <w:name w:val="EPFooter"/>
    <w:basedOn w:val="Normal"/>
    <w:rsid w:val="0097119D"/>
    <w:pPr>
      <w:tabs>
        <w:tab w:val="center" w:pos="4535"/>
        <w:tab w:val="right" w:pos="9071"/>
      </w:tabs>
      <w:spacing w:before="240" w:after="240"/>
    </w:pPr>
    <w:rPr>
      <w:color w:val="010000"/>
      <w:sz w:val="22"/>
    </w:rPr>
  </w:style>
  <w:style w:type="paragraph" w:customStyle="1" w:styleId="Normal24a">
    <w:name w:val="Normal24a"/>
    <w:basedOn w:val="Normal"/>
    <w:rsid w:val="0097119D"/>
    <w:pPr>
      <w:spacing w:after="480"/>
    </w:pPr>
  </w:style>
  <w:style w:type="paragraph" w:customStyle="1" w:styleId="Normal12a">
    <w:name w:val="Normal12a"/>
    <w:basedOn w:val="Normal"/>
    <w:rsid w:val="0097119D"/>
    <w:pPr>
      <w:spacing w:after="240"/>
    </w:pPr>
  </w:style>
  <w:style w:type="paragraph" w:customStyle="1" w:styleId="PageHeadingNotTOC">
    <w:name w:val="PageHeadingNotTOC"/>
    <w:basedOn w:val="Normal"/>
    <w:rsid w:val="0097119D"/>
    <w:pPr>
      <w:keepNext/>
      <w:spacing w:after="480"/>
      <w:jc w:val="center"/>
    </w:pPr>
    <w:rPr>
      <w:rFonts w:ascii="Arial" w:hAnsi="Arial" w:cs="Arial"/>
      <w:b/>
    </w:rPr>
  </w:style>
  <w:style w:type="paragraph" w:customStyle="1" w:styleId="RollCallSymbols14pt">
    <w:name w:val="RollCallSymbols14pt"/>
    <w:basedOn w:val="Normal"/>
    <w:rsid w:val="009711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119D"/>
    <w:pPr>
      <w:tabs>
        <w:tab w:val="center" w:pos="284"/>
        <w:tab w:val="left" w:pos="426"/>
      </w:tabs>
    </w:pPr>
    <w:rPr>
      <w:snapToGrid w:val="0"/>
      <w:lang w:eastAsia="en-US"/>
    </w:rPr>
  </w:style>
  <w:style w:type="paragraph" w:customStyle="1" w:styleId="RollCallVotes">
    <w:name w:val="RollCallVotes"/>
    <w:basedOn w:val="Normal"/>
    <w:rsid w:val="0097119D"/>
    <w:pPr>
      <w:spacing w:before="120" w:after="120"/>
      <w:jc w:val="center"/>
    </w:pPr>
    <w:rPr>
      <w:b/>
      <w:bCs/>
      <w:snapToGrid w:val="0"/>
      <w:sz w:val="16"/>
      <w:lang w:eastAsia="en-US"/>
    </w:rPr>
  </w:style>
  <w:style w:type="paragraph" w:customStyle="1" w:styleId="RollCallTable">
    <w:name w:val="RollCallTable"/>
    <w:basedOn w:val="Normal"/>
    <w:rsid w:val="0097119D"/>
    <w:pPr>
      <w:spacing w:before="120" w:after="120"/>
    </w:pPr>
    <w:rPr>
      <w:snapToGrid w:val="0"/>
      <w:sz w:val="16"/>
      <w:lang w:eastAsia="en-US"/>
    </w:rPr>
  </w:style>
  <w:style w:type="character" w:customStyle="1" w:styleId="NormalHanging12aChar">
    <w:name w:val="NormalHanging12a Char"/>
    <w:basedOn w:val="DefaultParagraphFont"/>
    <w:link w:val="NormalHanging12a"/>
    <w:rsid w:val="0097119D"/>
    <w:rPr>
      <w:sz w:val="24"/>
      <w:lang w:val="ro-RO"/>
    </w:rPr>
  </w:style>
  <w:style w:type="paragraph" w:styleId="Footer">
    <w:name w:val="footer"/>
    <w:basedOn w:val="Normal"/>
    <w:link w:val="FooterChar"/>
    <w:rsid w:val="00664343"/>
    <w:pPr>
      <w:tabs>
        <w:tab w:val="center" w:pos="4513"/>
        <w:tab w:val="right" w:pos="9026"/>
      </w:tabs>
    </w:pPr>
  </w:style>
  <w:style w:type="character" w:customStyle="1" w:styleId="FooterChar">
    <w:name w:val="Footer Char"/>
    <w:basedOn w:val="DefaultParagraphFont"/>
    <w:link w:val="Footer"/>
    <w:rsid w:val="00664343"/>
    <w:rPr>
      <w:sz w:val="24"/>
      <w:lang w:val="ro-RO"/>
    </w:rPr>
  </w:style>
  <w:style w:type="paragraph" w:styleId="BalloonText">
    <w:name w:val="Balloon Text"/>
    <w:basedOn w:val="Normal"/>
    <w:link w:val="BalloonTextChar"/>
    <w:rsid w:val="00B87AD2"/>
    <w:rPr>
      <w:rFonts w:ascii="Segoe UI" w:hAnsi="Segoe UI" w:cs="Segoe UI"/>
      <w:sz w:val="18"/>
      <w:szCs w:val="18"/>
    </w:rPr>
  </w:style>
  <w:style w:type="character" w:customStyle="1" w:styleId="BalloonTextChar">
    <w:name w:val="Balloon Text Char"/>
    <w:basedOn w:val="DefaultParagraphFont"/>
    <w:link w:val="BalloonText"/>
    <w:rsid w:val="00B87AD2"/>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CEA88-109E-48B7-9BBA-B007F137D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5259</Words>
  <Characters>30849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Karina Pesa</cp:lastModifiedBy>
  <cp:revision>3</cp:revision>
  <cp:lastPrinted>2004-11-19T15:42:00Z</cp:lastPrinted>
  <dcterms:created xsi:type="dcterms:W3CDTF">2024-05-22T11:45:00Z</dcterms:created>
  <dcterms:modified xsi:type="dcterms:W3CDTF">2024-10-30T16:29:00Z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P9_TA(2024)0253_</vt:lpwstr>
  </property>
  <property fmtid="{D5CDD505-2E9C-101B-9397-08002B2CF9AE}" pid="4" name="&lt;Type&gt;">
    <vt:lpwstr>RR</vt:lpwstr>
  </property>
</Properties>
</file>