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42FA1" w:rsidRPr="000F3185">
        <w:trPr>
          <w:trHeight w:hRule="exact" w:val="1418"/>
        </w:trPr>
        <w:tc>
          <w:tcPr>
            <w:tcW w:w="6804" w:type="dxa"/>
            <w:shd w:val="clear" w:color="auto" w:fill="auto"/>
            <w:vAlign w:val="center"/>
          </w:tcPr>
          <w:p w:rsidR="00142FA1" w:rsidRPr="000F3185" w:rsidRDefault="00FE5197">
            <w:pPr>
              <w:pStyle w:val="EPName"/>
            </w:pPr>
            <w:r w:rsidRPr="000F3185">
              <w:t>Európsky parlament</w:t>
            </w:r>
          </w:p>
          <w:p w:rsidR="00142FA1" w:rsidRPr="000F3185" w:rsidRDefault="00FE5197">
            <w:pPr>
              <w:pStyle w:val="EPTerm"/>
              <w:rPr>
                <w:rStyle w:val="HideTWBExt"/>
                <w:noProof w:val="0"/>
                <w:vanish w:val="0"/>
                <w:color w:val="auto"/>
              </w:rPr>
            </w:pPr>
            <w:r w:rsidRPr="000F3185">
              <w:t>2019-2024</w:t>
            </w:r>
          </w:p>
        </w:tc>
        <w:tc>
          <w:tcPr>
            <w:tcW w:w="2268" w:type="dxa"/>
            <w:shd w:val="clear" w:color="auto" w:fill="auto"/>
          </w:tcPr>
          <w:p w:rsidR="00142FA1" w:rsidRPr="000F3185" w:rsidRDefault="00FE5197">
            <w:pPr>
              <w:pStyle w:val="EPLogo"/>
            </w:pPr>
            <w:r w:rsidRPr="000F318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42FA1" w:rsidRPr="000F3185" w:rsidRDefault="00142FA1">
      <w:pPr>
        <w:pStyle w:val="LineTop"/>
      </w:pPr>
    </w:p>
    <w:p w:rsidR="00142FA1" w:rsidRPr="000F3185" w:rsidRDefault="00FE5197">
      <w:pPr>
        <w:pStyle w:val="EPBodyTA1"/>
      </w:pPr>
      <w:r w:rsidRPr="000F3185">
        <w:t>PRIJATÉ TEXTY</w:t>
      </w:r>
    </w:p>
    <w:p w:rsidR="00142FA1" w:rsidRPr="000F3185" w:rsidRDefault="00142FA1">
      <w:pPr>
        <w:pStyle w:val="LineBottom"/>
      </w:pPr>
    </w:p>
    <w:p w:rsidR="00142FA1" w:rsidRPr="000F3185" w:rsidRDefault="00FE5197">
      <w:pPr>
        <w:pStyle w:val="ATHeading1"/>
      </w:pPr>
      <w:bookmarkStart w:id="0" w:name="TANumber"/>
      <w:r w:rsidRPr="000F3185">
        <w:t>P9_TA(2024)0</w:t>
      </w:r>
      <w:r w:rsidR="000F3185" w:rsidRPr="000F3185">
        <w:t>253</w:t>
      </w:r>
      <w:bookmarkEnd w:id="0"/>
    </w:p>
    <w:p w:rsidR="00142FA1" w:rsidRPr="000F3185" w:rsidRDefault="00FE5197">
      <w:pPr>
        <w:pStyle w:val="ATHeading2"/>
      </w:pPr>
      <w:bookmarkStart w:id="1" w:name="title"/>
      <w:r w:rsidRPr="000F3185">
        <w:t>Absolutórium za rok 2022: Železničná agentúra Európskej únie</w:t>
      </w:r>
      <w:bookmarkEnd w:id="1"/>
    </w:p>
    <w:p w:rsidR="00142FA1" w:rsidRPr="000F3185" w:rsidRDefault="00FE5197">
      <w:pPr>
        <w:rPr>
          <w:i/>
          <w:vanish/>
        </w:rPr>
      </w:pPr>
      <w:r w:rsidRPr="000F3185">
        <w:rPr>
          <w:i/>
        </w:rPr>
        <w:fldChar w:fldCharType="begin"/>
      </w:r>
      <w:r w:rsidRPr="000F3185">
        <w:rPr>
          <w:i/>
        </w:rPr>
        <w:instrText xml:space="preserve"> TC"(</w:instrText>
      </w:r>
      <w:bookmarkStart w:id="2" w:name="DocNumber"/>
      <w:r w:rsidRPr="000F3185">
        <w:rPr>
          <w:i/>
        </w:rPr>
        <w:instrText>A9-0092/2024</w:instrText>
      </w:r>
      <w:bookmarkEnd w:id="2"/>
      <w:r w:rsidRPr="000F3185">
        <w:rPr>
          <w:i/>
        </w:rPr>
        <w:instrText xml:space="preserve"> - Spravodajca: Petri Sarvamaa)"\l3 \n&gt; \* MERGEFORMAT </w:instrText>
      </w:r>
      <w:r w:rsidRPr="000F3185">
        <w:rPr>
          <w:i/>
        </w:rPr>
        <w:fldChar w:fldCharType="end"/>
      </w:r>
    </w:p>
    <w:p w:rsidR="00142FA1" w:rsidRPr="000F3185" w:rsidRDefault="00FE5197">
      <w:pPr>
        <w:rPr>
          <w:vanish/>
        </w:rPr>
      </w:pPr>
      <w:bookmarkStart w:id="3" w:name="Commission"/>
      <w:r w:rsidRPr="000F3185">
        <w:rPr>
          <w:vanish/>
        </w:rPr>
        <w:t>Výbor pre kontrolu rozpočtu</w:t>
      </w:r>
      <w:bookmarkEnd w:id="3"/>
    </w:p>
    <w:p w:rsidR="00142FA1" w:rsidRPr="000F3185" w:rsidRDefault="00FE5197">
      <w:pPr>
        <w:rPr>
          <w:vanish/>
        </w:rPr>
      </w:pPr>
      <w:bookmarkStart w:id="4" w:name="PE"/>
      <w:r w:rsidRPr="000F3185">
        <w:rPr>
          <w:vanish/>
        </w:rPr>
        <w:t>PE753.528</w:t>
      </w:r>
      <w:bookmarkEnd w:id="4"/>
    </w:p>
    <w:p w:rsidR="00142FA1" w:rsidRPr="000F3185" w:rsidRDefault="00FE5197">
      <w:pPr>
        <w:pStyle w:val="ATHeading3"/>
      </w:pPr>
      <w:bookmarkStart w:id="5" w:name="Sujet"/>
      <w:r w:rsidRPr="000F3185">
        <w:t>1. Rozhodnutie Európskeho parlamentu z 11. apríla 2024 o absolutóriu za plnenie rozpočtu Železničnej agentúry Európskej únie za rozpočtový rok 2022</w:t>
      </w:r>
      <w:bookmarkEnd w:id="5"/>
      <w:r w:rsidRPr="000F3185">
        <w:t xml:space="preserve"> </w:t>
      </w:r>
      <w:bookmarkStart w:id="6" w:name="References"/>
      <w:r w:rsidRPr="000F3185">
        <w:t>(2023/2160(DEC))</w:t>
      </w:r>
      <w:bookmarkEnd w:id="6"/>
    </w:p>
    <w:p w:rsidR="00142FA1" w:rsidRPr="000F3185" w:rsidRDefault="00FE5197">
      <w:pPr>
        <w:pStyle w:val="EPComma"/>
      </w:pPr>
      <w:r w:rsidRPr="000F3185">
        <w:rPr>
          <w:i/>
        </w:rPr>
        <w:t>Európsky parlament</w:t>
      </w:r>
      <w:r w:rsidRPr="000F3185">
        <w:t>,</w:t>
      </w:r>
    </w:p>
    <w:p w:rsidR="00142FA1" w:rsidRPr="000F3185" w:rsidRDefault="00FE5197">
      <w:pPr>
        <w:pStyle w:val="NormalHanging12a"/>
      </w:pPr>
      <w:r w:rsidRPr="000F3185">
        <w:t>–</w:t>
      </w:r>
      <w:r w:rsidRPr="000F3185">
        <w:tab/>
        <w:t>so zreteľom na konečnú ročnú účtovnú závierku Železničnej agentúry Európskej únie za rozpočtový rok 2022,</w:t>
      </w:r>
    </w:p>
    <w:p w:rsidR="00142FA1" w:rsidRPr="000F3185" w:rsidRDefault="00FE5197">
      <w:pPr>
        <w:pStyle w:val="NormalHanging12a"/>
      </w:pPr>
      <w:r w:rsidRPr="000F3185">
        <w:t>–</w:t>
      </w:r>
      <w:r w:rsidRPr="000F3185">
        <w:tab/>
        <w:t>so zreteľom na výročnú správu Dvora audítorov o agentúrach EÚ za rozpočtový rok 2022 spolu s odpoveďami agentúr</w:t>
      </w:r>
      <w:r w:rsidRPr="000F3185">
        <w:rPr>
          <w:rStyle w:val="FootnoteReference"/>
        </w:rPr>
        <w:footnoteReference w:id="1"/>
      </w:r>
      <w:r w:rsidRPr="000F3185">
        <w:t>,</w:t>
      </w:r>
    </w:p>
    <w:p w:rsidR="00142FA1" w:rsidRPr="000F3185" w:rsidRDefault="00FE5197">
      <w:pPr>
        <w:pStyle w:val="NormalHanging12a"/>
      </w:pPr>
      <w:r w:rsidRPr="000F3185">
        <w:t>–</w:t>
      </w:r>
      <w:r w:rsidRPr="000F3185">
        <w:tab/>
        <w:t>so zreteľom na vyhlásenie o vierohodnosti</w:t>
      </w:r>
      <w:r w:rsidRPr="000F3185">
        <w:rPr>
          <w:rStyle w:val="FootnoteReference"/>
        </w:rPr>
        <w:footnoteReference w:id="2"/>
      </w:r>
      <w:r w:rsidRPr="000F3185">
        <w:t xml:space="preserve"> vedenia účtov a zákonnosti a správnosti príslušných operácií, ktoré poskytol Dvor audítorov za rozpočtový rok 2022 v súlade s článkom 287 Zmluvy o fungovaní Európskej únie,</w:t>
      </w:r>
    </w:p>
    <w:p w:rsidR="00142FA1" w:rsidRPr="000F3185" w:rsidRDefault="00FE5197">
      <w:pPr>
        <w:pStyle w:val="NormalHanging12a"/>
      </w:pPr>
      <w:r w:rsidRPr="000F3185">
        <w:t>–</w:t>
      </w:r>
      <w:r w:rsidRPr="000F3185">
        <w:tab/>
        <w:t>so zreteľom na odporúčanie Rady z 22. februára 2024 o udelení absolutória agentúre za plnenie rozpočtu za rozpočtový rok 2022 (</w:t>
      </w:r>
      <w:r w:rsidR="008D0221" w:rsidRPr="000F3185">
        <w:t>06180</w:t>
      </w:r>
      <w:r w:rsidRPr="000F3185">
        <w:t>/2024 – C9</w:t>
      </w:r>
      <w:r w:rsidRPr="000F3185">
        <w:noBreakHyphen/>
        <w:t>00</w:t>
      </w:r>
      <w:r w:rsidR="008D0221" w:rsidRPr="000F3185">
        <w:t>98</w:t>
      </w:r>
      <w:r w:rsidRPr="000F3185">
        <w:t>/2024),</w:t>
      </w:r>
    </w:p>
    <w:p w:rsidR="00142FA1" w:rsidRPr="000F3185" w:rsidRDefault="00FE5197">
      <w:pPr>
        <w:pStyle w:val="NormalHanging12a"/>
      </w:pPr>
      <w:r w:rsidRPr="000F3185">
        <w:t>–</w:t>
      </w:r>
      <w:r w:rsidRPr="000F3185">
        <w:tab/>
        <w:t>so zreteľom na článok 319 Zmluvy o fungovaní Európskej únie,</w:t>
      </w:r>
    </w:p>
    <w:p w:rsidR="00142FA1" w:rsidRPr="000F3185" w:rsidRDefault="00FE5197">
      <w:pPr>
        <w:pStyle w:val="NormalHanging12a"/>
      </w:pPr>
      <w:r w:rsidRPr="000F3185">
        <w:t>–</w:t>
      </w:r>
      <w:r w:rsidRPr="000F3185">
        <w:tab/>
        <w:t xml:space="preserve">so zreteľom na nariadenie Európskeho parlamentu a Rady (EÚ, </w:t>
      </w:r>
      <w:proofErr w:type="spellStart"/>
      <w:r w:rsidRPr="000F3185">
        <w:t>Euratom</w:t>
      </w:r>
      <w:proofErr w:type="spellEnd"/>
      <w:r w:rsidRPr="000F3185">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0F3185">
        <w:t>Euratom</w:t>
      </w:r>
      <w:proofErr w:type="spellEnd"/>
      <w:r w:rsidRPr="000F3185">
        <w:t>) č. 966/2012</w:t>
      </w:r>
      <w:r w:rsidRPr="000F3185">
        <w:rPr>
          <w:rStyle w:val="FootnoteReference"/>
        </w:rPr>
        <w:footnoteReference w:id="3"/>
      </w:r>
      <w:r w:rsidRPr="000F3185">
        <w:t>, a najmä na jeho článok 70,</w:t>
      </w:r>
    </w:p>
    <w:p w:rsidR="00142FA1" w:rsidRPr="000F3185" w:rsidRDefault="00FE5197">
      <w:pPr>
        <w:pStyle w:val="NormalHanging12a"/>
      </w:pPr>
      <w:r w:rsidRPr="000F3185">
        <w:t>–</w:t>
      </w:r>
      <w:r w:rsidRPr="000F3185">
        <w:tab/>
        <w:t xml:space="preserve">so zreteľom na nariadenie Európskeho parlamentu a Rady (EÚ) 2016/796 z 11. mája 2016 o Železničnej agentúre Európskej únie, ktorým sa zrušuje nariadenie (ES) </w:t>
      </w:r>
      <w:r w:rsidRPr="000F3185">
        <w:lastRenderedPageBreak/>
        <w:t>č. 881/2004</w:t>
      </w:r>
      <w:r w:rsidRPr="000F3185">
        <w:rPr>
          <w:rStyle w:val="FootnoteReference"/>
        </w:rPr>
        <w:footnoteReference w:id="4"/>
      </w:r>
      <w:r w:rsidRPr="000F3185">
        <w:t>, a najmä na jeho článok 65,</w:t>
      </w:r>
    </w:p>
    <w:p w:rsidR="00142FA1" w:rsidRPr="000F3185" w:rsidRDefault="00FE5197">
      <w:pPr>
        <w:pStyle w:val="NormalHanging12a"/>
      </w:pPr>
      <w:r w:rsidRPr="000F3185">
        <w:t>–</w:t>
      </w:r>
      <w:r w:rsidRPr="000F3185">
        <w:tab/>
        <w:t>so zreteľom na delegované nariadenie Komisie (EÚ) 2019/715 z 18. decembra 2018 o rámcovom nariadení o rozpočtových pravidlách pre subjekty zriadené podľa ZFEÚ a Zmluvy o </w:t>
      </w:r>
      <w:proofErr w:type="spellStart"/>
      <w:r w:rsidRPr="000F3185">
        <w:t>Euratome</w:t>
      </w:r>
      <w:proofErr w:type="spellEnd"/>
      <w:r w:rsidRPr="000F3185">
        <w:t xml:space="preserve"> a uvedené v článku 70 nariadenia Európskeho parlamentu a Rady (EÚ, </w:t>
      </w:r>
      <w:proofErr w:type="spellStart"/>
      <w:r w:rsidRPr="000F3185">
        <w:t>Euratom</w:t>
      </w:r>
      <w:proofErr w:type="spellEnd"/>
      <w:r w:rsidRPr="000F3185">
        <w:t>) 2018/1046</w:t>
      </w:r>
      <w:r w:rsidRPr="000F3185">
        <w:rPr>
          <w:rStyle w:val="FootnoteReference"/>
        </w:rPr>
        <w:footnoteReference w:id="5"/>
      </w:r>
      <w:r w:rsidRPr="000F3185">
        <w:t>, a najmä na jeho článok 105,</w:t>
      </w:r>
    </w:p>
    <w:p w:rsidR="00142FA1" w:rsidRPr="000F3185" w:rsidRDefault="00FE5197">
      <w:pPr>
        <w:pStyle w:val="NormalHanging12a"/>
      </w:pPr>
      <w:r w:rsidRPr="000F3185">
        <w:t>–</w:t>
      </w:r>
      <w:r w:rsidRPr="000F3185">
        <w:tab/>
        <w:t>so zreteľom na článok 100 a prílohu V k rokovaciemu poriadku,</w:t>
      </w:r>
    </w:p>
    <w:p w:rsidR="00142FA1" w:rsidRPr="000F3185" w:rsidRDefault="00FE5197">
      <w:pPr>
        <w:pStyle w:val="NormalHanging12a"/>
      </w:pPr>
      <w:r w:rsidRPr="000F3185">
        <w:t>–</w:t>
      </w:r>
      <w:r w:rsidRPr="000F3185">
        <w:tab/>
        <w:t>so zreteľom na stanovisko Výboru pre dopravu a cestovný ruch,</w:t>
      </w:r>
    </w:p>
    <w:p w:rsidR="00142FA1" w:rsidRPr="000F3185" w:rsidRDefault="00FE5197">
      <w:pPr>
        <w:pStyle w:val="NormalHanging12a"/>
      </w:pPr>
      <w:r w:rsidRPr="000F3185">
        <w:t>–</w:t>
      </w:r>
      <w:r w:rsidRPr="000F3185">
        <w:tab/>
        <w:t>so zreteľom na správu Výboru pre kontrolu rozpočtu (A9-0092/2024),</w:t>
      </w:r>
    </w:p>
    <w:p w:rsidR="00142FA1" w:rsidRPr="000F3185" w:rsidRDefault="00FE5197">
      <w:pPr>
        <w:pStyle w:val="NormalHanging12a"/>
      </w:pPr>
      <w:r w:rsidRPr="000F3185">
        <w:t>1.</w:t>
      </w:r>
      <w:r w:rsidRPr="000F3185">
        <w:tab/>
        <w:t>udeľuje absolutórium výkonnému riaditeľovi Železničnej agentúry Európskej únie za plnenie rozpočtu agentúry za rozpočtový rok 2022;</w:t>
      </w:r>
    </w:p>
    <w:p w:rsidR="00142FA1" w:rsidRPr="000F3185" w:rsidRDefault="00FE5197">
      <w:pPr>
        <w:pStyle w:val="NormalHanging12a"/>
      </w:pPr>
      <w:r w:rsidRPr="000F3185">
        <w:t>2.</w:t>
      </w:r>
      <w:r w:rsidRPr="000F3185">
        <w:tab/>
        <w:t>uvádza svoje poznámky v priloženom uznesení;</w:t>
      </w:r>
    </w:p>
    <w:p w:rsidR="00142FA1" w:rsidRPr="000F3185" w:rsidRDefault="00FE5197">
      <w:pPr>
        <w:pStyle w:val="NormalHanging12a"/>
      </w:pPr>
      <w:r w:rsidRPr="000F3185">
        <w:t>3.</w:t>
      </w:r>
      <w:r w:rsidRPr="000F3185">
        <w:tab/>
        <w:t>poveruje svoju predsedníčku, aby postúpila toto rozhodnutie a uznesenie, ktoré je jeho neoddeliteľnou súčasťou, výkonnému riaditeľovi Železničnej agentúry Európskej únie, Rade, Komisii a Dvoru audítorov a aby zabezpečila ich uverejnenie v </w:t>
      </w:r>
      <w:r w:rsidRPr="000F3185">
        <w:rPr>
          <w:i/>
          <w:iCs/>
        </w:rPr>
        <w:t>Úradnom vestníku Európskej únie</w:t>
      </w:r>
      <w:r w:rsidRPr="000F3185">
        <w:t xml:space="preserve"> (v sérii L).</w:t>
      </w:r>
    </w:p>
    <w:p w:rsidR="00142FA1" w:rsidRPr="000F3185" w:rsidRDefault="00142FA1"/>
    <w:p w:rsidR="00142FA1" w:rsidRPr="000F3185" w:rsidRDefault="00142FA1">
      <w:pPr>
        <w:widowControl/>
        <w:rPr>
          <w:rFonts w:ascii="Arial" w:hAnsi="Arial" w:cs="Arial"/>
          <w:b/>
        </w:rPr>
        <w:sectPr w:rsidR="00142FA1" w:rsidRPr="000F3185">
          <w:footerReference w:type="even" r:id="rId9"/>
          <w:footnotePr>
            <w:numRestart w:val="eachSect"/>
          </w:footnotePr>
          <w:endnotePr>
            <w:numFmt w:val="decimal"/>
          </w:endnotePr>
          <w:pgSz w:w="11906" w:h="16838"/>
          <w:pgMar w:top="1134" w:right="1418" w:bottom="1418" w:left="1418" w:header="1134" w:footer="567" w:gutter="0"/>
          <w:cols w:space="720"/>
          <w:titlePg/>
        </w:sectPr>
      </w:pPr>
    </w:p>
    <w:p w:rsidR="00142FA1" w:rsidRPr="000F3185" w:rsidRDefault="00FE5197">
      <w:pPr>
        <w:pStyle w:val="NormalBold"/>
      </w:pPr>
      <w:r w:rsidRPr="000F3185">
        <w:lastRenderedPageBreak/>
        <w:t>2. Rozhodnutie Európskeho parlamentu z 11. apríla 2024 o účtovnej závierke Železničnej agentúry Európskej únie za rozpočtový rok 2022 (2023/2160(DEC))</w:t>
      </w:r>
    </w:p>
    <w:p w:rsidR="00142FA1" w:rsidRPr="000F3185" w:rsidRDefault="00FE5197">
      <w:pPr>
        <w:pStyle w:val="EPComma"/>
      </w:pPr>
      <w:r w:rsidRPr="000F3185">
        <w:rPr>
          <w:i/>
        </w:rPr>
        <w:t>Európsky parlament</w:t>
      </w:r>
      <w:r w:rsidRPr="000F3185">
        <w:t>,</w:t>
      </w:r>
    </w:p>
    <w:p w:rsidR="00142FA1" w:rsidRPr="000F3185" w:rsidRDefault="00FE5197">
      <w:pPr>
        <w:pStyle w:val="NormalHanging12a"/>
      </w:pPr>
      <w:r w:rsidRPr="000F3185">
        <w:t>–</w:t>
      </w:r>
      <w:r w:rsidRPr="000F3185">
        <w:tab/>
        <w:t>so zreteľom na konečnú ročnú účtovnú závierku Železničnej agentúry Európskej únie za rozpočtový rok 2022,</w:t>
      </w:r>
    </w:p>
    <w:p w:rsidR="00142FA1" w:rsidRPr="000F3185" w:rsidRDefault="00FE5197">
      <w:pPr>
        <w:pStyle w:val="NormalHanging12a"/>
      </w:pPr>
      <w:r w:rsidRPr="000F3185">
        <w:t>–</w:t>
      </w:r>
      <w:r w:rsidRPr="000F3185">
        <w:tab/>
        <w:t>so zreteľom na výročnú správu Dvora audítorov o agentúrach EÚ za rozpočtový rok 2022 spolu s odpoveďami agentúr</w:t>
      </w:r>
      <w:r w:rsidRPr="000F3185">
        <w:rPr>
          <w:rStyle w:val="FootnoteReference"/>
        </w:rPr>
        <w:footnoteReference w:id="6"/>
      </w:r>
      <w:r w:rsidRPr="000F3185">
        <w:t>,</w:t>
      </w:r>
    </w:p>
    <w:p w:rsidR="00142FA1" w:rsidRPr="000F3185" w:rsidRDefault="00FE5197">
      <w:pPr>
        <w:pStyle w:val="NormalHanging12a"/>
      </w:pPr>
      <w:r w:rsidRPr="000F3185">
        <w:t>–</w:t>
      </w:r>
      <w:r w:rsidRPr="000F3185">
        <w:tab/>
        <w:t>so zreteľom na vyhlásenie o vierohodnosti</w:t>
      </w:r>
      <w:r w:rsidRPr="000F3185">
        <w:rPr>
          <w:rStyle w:val="FootnoteReference"/>
        </w:rPr>
        <w:footnoteReference w:id="7"/>
      </w:r>
      <w:r w:rsidRPr="000F3185">
        <w:t xml:space="preserve"> vedenia účtov a zákonnosti a správnosti príslušných operácií, ktoré poskytol Dvor audítorov za rozpočtový rok 2022 v súlade s článkom 287 Zmluvy o fungovaní Európskej únie,</w:t>
      </w:r>
    </w:p>
    <w:p w:rsidR="00142FA1" w:rsidRPr="000F3185" w:rsidRDefault="00FE5197">
      <w:pPr>
        <w:pStyle w:val="NormalHanging12a"/>
      </w:pPr>
      <w:r w:rsidRPr="000F3185">
        <w:t>–</w:t>
      </w:r>
      <w:r w:rsidRPr="000F3185">
        <w:tab/>
        <w:t>so zreteľom na odporúčanie Rady z 22. februára 2024 o udelení absolutória agentúre za plnenie rozpočtu za rozpočtový rok 2022 (06180/2024 – C9</w:t>
      </w:r>
      <w:r w:rsidRPr="000F3185">
        <w:noBreakHyphen/>
        <w:t>0098/2024),</w:t>
      </w:r>
    </w:p>
    <w:p w:rsidR="00142FA1" w:rsidRPr="000F3185" w:rsidRDefault="00FE5197">
      <w:pPr>
        <w:pStyle w:val="NormalHanging12a"/>
      </w:pPr>
      <w:r w:rsidRPr="000F3185">
        <w:t>–</w:t>
      </w:r>
      <w:r w:rsidRPr="000F3185">
        <w:tab/>
        <w:t>so zreteľom na článok 319 Zmluvy o fungovaní Európskej únie,</w:t>
      </w:r>
    </w:p>
    <w:p w:rsidR="00142FA1" w:rsidRPr="000F3185" w:rsidRDefault="00FE5197">
      <w:pPr>
        <w:pStyle w:val="NormalHanging12a"/>
      </w:pPr>
      <w:r w:rsidRPr="000F3185">
        <w:t>–</w:t>
      </w:r>
      <w:r w:rsidRPr="000F3185">
        <w:tab/>
        <w:t xml:space="preserve">so zreteľom na nariadenie Európskeho parlamentu a Rady (EÚ, </w:t>
      </w:r>
      <w:proofErr w:type="spellStart"/>
      <w:r w:rsidRPr="000F3185">
        <w:t>Euratom</w:t>
      </w:r>
      <w:proofErr w:type="spellEnd"/>
      <w:r w:rsidRPr="000F3185">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0F3185">
        <w:t>Euratom</w:t>
      </w:r>
      <w:proofErr w:type="spellEnd"/>
      <w:r w:rsidRPr="000F3185">
        <w:t>) č. 966/2012</w:t>
      </w:r>
      <w:r w:rsidRPr="000F3185">
        <w:rPr>
          <w:rStyle w:val="FootnoteReference"/>
        </w:rPr>
        <w:footnoteReference w:id="8"/>
      </w:r>
      <w:r w:rsidRPr="000F3185">
        <w:t>, a najmä na jeho článok 70,</w:t>
      </w:r>
    </w:p>
    <w:p w:rsidR="00142FA1" w:rsidRPr="000F3185" w:rsidRDefault="00FE5197">
      <w:pPr>
        <w:pStyle w:val="NormalHanging12a"/>
      </w:pPr>
      <w:r w:rsidRPr="000F3185">
        <w:t>–</w:t>
      </w:r>
      <w:r w:rsidRPr="000F3185">
        <w:tab/>
        <w:t>so zreteľom na nariadenie Európskeho parlamentu a Rady (EÚ) 2016/796 z 11. mája 2016 o Železničnej agentúre Európskej únie, ktorým sa zrušuje nariadenie (ES) č. 881/2004</w:t>
      </w:r>
      <w:r w:rsidRPr="000F3185">
        <w:rPr>
          <w:rStyle w:val="FootnoteReference"/>
        </w:rPr>
        <w:footnoteReference w:id="9"/>
      </w:r>
      <w:r w:rsidRPr="000F3185">
        <w:t>, a najmä na jeho článok 65,</w:t>
      </w:r>
    </w:p>
    <w:p w:rsidR="00142FA1" w:rsidRPr="000F3185" w:rsidRDefault="00FE5197">
      <w:pPr>
        <w:pStyle w:val="NormalHanging12a"/>
      </w:pPr>
      <w:r w:rsidRPr="000F3185">
        <w:t>–</w:t>
      </w:r>
      <w:r w:rsidRPr="000F3185">
        <w:tab/>
        <w:t>so zreteľom na delegované nariadenie Komisie (EÚ) 2019/715 z 18. decembra 2018 o rámcovom nariadení o rozpočtových pravidlách pre subjekty zriadené podľa ZFEÚ a Zmluvy o </w:t>
      </w:r>
      <w:proofErr w:type="spellStart"/>
      <w:r w:rsidRPr="000F3185">
        <w:t>Euratome</w:t>
      </w:r>
      <w:proofErr w:type="spellEnd"/>
      <w:r w:rsidRPr="000F3185">
        <w:t xml:space="preserve"> a uvedené v článku 70 nariadenia Európskeho parlamentu a Rady (EÚ, </w:t>
      </w:r>
      <w:proofErr w:type="spellStart"/>
      <w:r w:rsidRPr="000F3185">
        <w:t>Euratom</w:t>
      </w:r>
      <w:proofErr w:type="spellEnd"/>
      <w:r w:rsidRPr="000F3185">
        <w:t>) 2018/1046</w:t>
      </w:r>
      <w:r w:rsidRPr="000F3185">
        <w:rPr>
          <w:rStyle w:val="FootnoteReference"/>
        </w:rPr>
        <w:footnoteReference w:id="10"/>
      </w:r>
      <w:r w:rsidRPr="000F3185">
        <w:t>, a najmä na jeho článok 105,</w:t>
      </w:r>
    </w:p>
    <w:p w:rsidR="00142FA1" w:rsidRPr="000F3185" w:rsidRDefault="00FE5197">
      <w:pPr>
        <w:pStyle w:val="NormalHanging12a"/>
      </w:pPr>
      <w:r w:rsidRPr="000F3185">
        <w:t>–</w:t>
      </w:r>
      <w:r w:rsidRPr="000F3185">
        <w:tab/>
        <w:t>so zreteľom na článok 100 a prílohu V k rokovaciemu poriadku,</w:t>
      </w:r>
    </w:p>
    <w:p w:rsidR="00142FA1" w:rsidRPr="000F3185" w:rsidRDefault="00FE5197">
      <w:pPr>
        <w:pStyle w:val="NormalHanging12a"/>
      </w:pPr>
      <w:r w:rsidRPr="000F3185">
        <w:t>–</w:t>
      </w:r>
      <w:r w:rsidRPr="000F3185">
        <w:tab/>
        <w:t>so zreteľom na stanovisko Výboru pre dopravu a cestovný ruch,</w:t>
      </w:r>
    </w:p>
    <w:p w:rsidR="00142FA1" w:rsidRPr="000F3185" w:rsidRDefault="00FE5197">
      <w:pPr>
        <w:pStyle w:val="NormalHanging12a"/>
      </w:pPr>
      <w:r w:rsidRPr="000F3185">
        <w:t>–</w:t>
      </w:r>
      <w:r w:rsidRPr="000F3185">
        <w:tab/>
        <w:t>so zreteľom na správu Výboru pre kontrolu rozpočtu (A9-0092/2024),</w:t>
      </w:r>
    </w:p>
    <w:p w:rsidR="00142FA1" w:rsidRPr="000F3185" w:rsidRDefault="00FE5197">
      <w:pPr>
        <w:pStyle w:val="NormalHanging12a"/>
      </w:pPr>
      <w:r w:rsidRPr="000F3185">
        <w:t>1.</w:t>
      </w:r>
      <w:r w:rsidRPr="000F3185">
        <w:tab/>
        <w:t>schvaľuje účtovnú závierku Železničnej agentúry Európskej únie za rozpočtový rok 2022;</w:t>
      </w:r>
    </w:p>
    <w:p w:rsidR="00142FA1" w:rsidRPr="000F3185" w:rsidRDefault="00FE5197">
      <w:pPr>
        <w:pStyle w:val="NormalHanging12a"/>
      </w:pPr>
      <w:r w:rsidRPr="000F3185">
        <w:t>2.</w:t>
      </w:r>
      <w:r w:rsidRPr="000F3185">
        <w:tab/>
        <w:t xml:space="preserve">poveruje svoju predsedníčku, aby postúpila toto rozhodnutie výkonnému riaditeľovi Železničnej agentúry Európskej únie, Rade, Komisii a Dvoru audítorov a aby </w:t>
      </w:r>
      <w:r w:rsidRPr="000F3185">
        <w:lastRenderedPageBreak/>
        <w:t>zabezpečila jeho uverejnenie v </w:t>
      </w:r>
      <w:r w:rsidRPr="000F3185">
        <w:rPr>
          <w:i/>
          <w:iCs/>
        </w:rPr>
        <w:t>Úradnom vestníku Európskej únie</w:t>
      </w:r>
      <w:r w:rsidRPr="000F3185">
        <w:t xml:space="preserve"> (v sérii L).</w:t>
      </w:r>
    </w:p>
    <w:p w:rsidR="00142FA1" w:rsidRPr="000F3185" w:rsidRDefault="00142FA1"/>
    <w:p w:rsidR="00142FA1" w:rsidRPr="000F3185" w:rsidRDefault="00142FA1">
      <w:pPr>
        <w:widowControl/>
        <w:rPr>
          <w:rFonts w:ascii="Arial" w:hAnsi="Arial" w:cs="Arial"/>
          <w:b/>
        </w:rPr>
        <w:sectPr w:rsidR="00142FA1" w:rsidRPr="000F3185">
          <w:footnotePr>
            <w:numRestart w:val="eachSect"/>
          </w:footnotePr>
          <w:endnotePr>
            <w:numFmt w:val="decimal"/>
          </w:endnotePr>
          <w:pgSz w:w="11906" w:h="16838"/>
          <w:pgMar w:top="1134" w:right="1418" w:bottom="1418" w:left="1418" w:header="567" w:footer="567" w:gutter="0"/>
          <w:cols w:space="720"/>
          <w:docGrid w:linePitch="326"/>
        </w:sectPr>
      </w:pPr>
    </w:p>
    <w:p w:rsidR="00142FA1" w:rsidRPr="000F3185" w:rsidRDefault="00FE5197">
      <w:pPr>
        <w:pStyle w:val="NormalBold"/>
      </w:pPr>
      <w:r w:rsidRPr="000F3185">
        <w:lastRenderedPageBreak/>
        <w:t>3. Uznesenie Európskeho parlamentu z 11. apríla 2024 s poznámkami, ktoré je neoddeliteľnou súčasťou rozhodnutia o absolutóriu za plnenie rozpočtu Železničnej agentúry Európskej únie za rozpočtový rok 2022 (2023/2160(DEC))</w:t>
      </w:r>
    </w:p>
    <w:p w:rsidR="00142FA1" w:rsidRPr="000F3185" w:rsidRDefault="00FE5197">
      <w:pPr>
        <w:pStyle w:val="EPComma"/>
      </w:pPr>
      <w:r w:rsidRPr="000F3185">
        <w:rPr>
          <w:i/>
        </w:rPr>
        <w:t>Európsky parlament</w:t>
      </w:r>
      <w:r w:rsidRPr="000F3185">
        <w:t>,</w:t>
      </w:r>
    </w:p>
    <w:p w:rsidR="00142FA1" w:rsidRPr="000F3185" w:rsidRDefault="00FE5197">
      <w:pPr>
        <w:pStyle w:val="NormalHanging12a"/>
      </w:pPr>
      <w:r w:rsidRPr="000F3185">
        <w:t>–</w:t>
      </w:r>
      <w:r w:rsidRPr="000F3185">
        <w:tab/>
        <w:t>so zreteľom na svoje rozhodnutie o absolutóriu za plnenie rozpočtu Železničnej agentúry Európskej únie za rozpočtový rok 2022,</w:t>
      </w:r>
    </w:p>
    <w:p w:rsidR="00142FA1" w:rsidRPr="000F3185" w:rsidRDefault="00FE5197">
      <w:pPr>
        <w:pStyle w:val="NormalHanging12a"/>
      </w:pPr>
      <w:r w:rsidRPr="000F3185">
        <w:t>–</w:t>
      </w:r>
      <w:r w:rsidRPr="000F3185">
        <w:tab/>
        <w:t>so zreteľom na článok 100 a prílohu V k rokovaciemu poriadku,</w:t>
      </w:r>
    </w:p>
    <w:p w:rsidR="00142FA1" w:rsidRPr="000F3185" w:rsidRDefault="00FE5197">
      <w:pPr>
        <w:pStyle w:val="NormalHanging12a"/>
      </w:pPr>
      <w:r w:rsidRPr="000F3185">
        <w:t>–</w:t>
      </w:r>
      <w:r w:rsidRPr="000F3185">
        <w:tab/>
        <w:t>so zreteľom na stanovisko Výboru pre dopravu a cestovný ruch,</w:t>
      </w:r>
    </w:p>
    <w:p w:rsidR="00142FA1" w:rsidRPr="000F3185" w:rsidRDefault="00FE5197">
      <w:pPr>
        <w:pStyle w:val="NormalHanging12a"/>
      </w:pPr>
      <w:r w:rsidRPr="000F3185">
        <w:t>–</w:t>
      </w:r>
      <w:r w:rsidRPr="000F3185">
        <w:tab/>
        <w:t>so zreteľom na správu Výboru pre kontrolu rozpočtu (A9-0092/2024),</w:t>
      </w:r>
    </w:p>
    <w:p w:rsidR="00142FA1" w:rsidRPr="000F3185" w:rsidRDefault="00FE5197">
      <w:pPr>
        <w:spacing w:after="240"/>
        <w:ind w:left="567" w:hanging="567"/>
        <w:rPr>
          <w:szCs w:val="24"/>
        </w:rPr>
      </w:pPr>
      <w:r w:rsidRPr="000F3185">
        <w:t>A.</w:t>
      </w:r>
      <w:r w:rsidRPr="000F3185">
        <w:tab/>
        <w:t>keďže podľa výkazu príjmov a výdavkov</w:t>
      </w:r>
      <w:r w:rsidRPr="000F3185">
        <w:rPr>
          <w:rStyle w:val="FootnoteReference"/>
          <w:szCs w:val="24"/>
        </w:rPr>
        <w:footnoteReference w:id="11"/>
      </w:r>
      <w:r w:rsidRPr="000F3185">
        <w:t xml:space="preserve"> bol konečný rozpočet Železničnej agentúry Európskej únie (ďalej len „agentúra“) na rozpočtový rok 2022 na úrovni 34 814 691 EUR, čo v porovnaní s rokom 2021 predstavuje nárast o 9,38 %; keďže rozpočet agentúry pochádza najmä z rozpočtu Únie;</w:t>
      </w:r>
    </w:p>
    <w:p w:rsidR="00142FA1" w:rsidRPr="000F3185" w:rsidRDefault="00FE5197">
      <w:pPr>
        <w:spacing w:after="240"/>
        <w:ind w:left="567" w:hanging="567"/>
        <w:rPr>
          <w:szCs w:val="24"/>
        </w:rPr>
      </w:pPr>
      <w:r w:rsidRPr="000F3185">
        <w:t>B.</w:t>
      </w:r>
      <w:r w:rsidRPr="000F3185">
        <w:tab/>
        <w:t>keďže Dvor audítorov vo svojej správe o overení ročnej účtovnej závierky agentúry za rozpočtový rok 2022 (ďalej len „správa Dvora audítorov“) uvádza, že získal primeranú istotu o tom, že ročná účtovná závierka agentúry je spoľahlivá a že príslušné operácie sú zákonné a správne;</w:t>
      </w:r>
    </w:p>
    <w:p w:rsidR="00142FA1" w:rsidRPr="000F3185" w:rsidRDefault="00FE5197">
      <w:pPr>
        <w:spacing w:after="240"/>
        <w:ind w:left="567" w:hanging="567"/>
        <w:rPr>
          <w:b/>
          <w:i/>
          <w:szCs w:val="24"/>
        </w:rPr>
      </w:pPr>
      <w:r w:rsidRPr="000F3185">
        <w:rPr>
          <w:b/>
          <w:i/>
        </w:rPr>
        <w:t>Rozpočtové a finančné riadenie</w:t>
      </w:r>
    </w:p>
    <w:p w:rsidR="00142FA1" w:rsidRPr="000F3185" w:rsidRDefault="00FE5197">
      <w:pPr>
        <w:spacing w:after="240"/>
        <w:ind w:left="567" w:hanging="567"/>
        <w:rPr>
          <w:szCs w:val="24"/>
        </w:rPr>
      </w:pPr>
      <w:r w:rsidRPr="000F3185">
        <w:t>1.</w:t>
      </w:r>
      <w:r w:rsidRPr="000F3185">
        <w:tab/>
        <w:t>s uznaním konštatuje, že úsilie o monitorovanie rozpočtu v priebehu rozpočtového roka 2022 prinieslo mieru plnenia rozpočtových prostriedkov v záväzkoch za bežný rok 99,95 %, čo v porovnaní s rokom 2021 predstavuje mierny nárast o 0,13 %; ďalej berie na vedomie, že miera plnenia platobných rozpočtových prostriedkov za bežný rok bola 94,97 %, čo v porovnaní s rokom 2021 predstavuje zvýšenie o 1,43 %; konštatuje, že výsledok rozpočtového hospodárenia za rok 2022 bol 81 821 EUR, čo je zvýšenie v porovnaní so sumou 69 638 EUR za rok 2021;</w:t>
      </w:r>
    </w:p>
    <w:p w:rsidR="00142FA1" w:rsidRPr="000F3185" w:rsidRDefault="00FE5197">
      <w:pPr>
        <w:spacing w:after="240"/>
        <w:ind w:left="567" w:hanging="567"/>
        <w:rPr>
          <w:szCs w:val="24"/>
        </w:rPr>
      </w:pPr>
      <w:r w:rsidRPr="000F3185">
        <w:t>2.</w:t>
      </w:r>
      <w:r w:rsidRPr="000F3185">
        <w:tab/>
        <w:t xml:space="preserve">uznáva, že hlavný vplyv na plnenie rozpočtu v roku 2022 mali globálne vonkajšie faktory, ako napríklad nestabilný geopolitický kontext a energetická kríza, ktoré viedli k vysokej </w:t>
      </w:r>
      <w:proofErr w:type="spellStart"/>
      <w:r w:rsidRPr="000F3185">
        <w:t>volatilite</w:t>
      </w:r>
      <w:proofErr w:type="spellEnd"/>
      <w:r w:rsidRPr="000F3185">
        <w:t>, čo malo za následok nepredvídateľné zvýšenie nákladov agentúry; konštatuje, že agentúra zaviedla prísne opatrenia na kontrolu svojich výdavkov, upravila výšku poplatkov a platieb (t. j. zvýšila hodinovú sadzbu a pravidelne ju upravuje podľa miery inflácie) a zaviedla pravidelný proces monitorovania plnenia rozpočtu s viacerými plánovacími a monitorovacími nástrojmi na automatizáciu tohto procesu;</w:t>
      </w:r>
    </w:p>
    <w:p w:rsidR="00142FA1" w:rsidRPr="000F3185" w:rsidRDefault="00FE5197">
      <w:pPr>
        <w:spacing w:after="240"/>
        <w:ind w:left="567" w:hanging="567"/>
        <w:rPr>
          <w:szCs w:val="24"/>
        </w:rPr>
      </w:pPr>
      <w:r w:rsidRPr="000F3185">
        <w:t>3.</w:t>
      </w:r>
      <w:r w:rsidRPr="000F3185">
        <w:tab/>
        <w:t xml:space="preserve">berie na vedomie, že agentúra sa zapojila do pilotnej fázy Komisie zameranej na nahradenie jej rozpočtového a účtovného systému novým systémom SUMMA; v tejto súvislosti berie na vedomie zistenia zo správy Dvora audítorov o nedostatkoch a chybách, ktoré sa vyskytli v agentúre, konkrétne o chýbajúcom riadení rizík a stratégii kontroly pri zavádzaní nového systému, o neaktualizovaných finančných okruhoch a stratégii kontrol ex </w:t>
      </w:r>
      <w:proofErr w:type="spellStart"/>
      <w:r w:rsidRPr="000F3185">
        <w:t>ante</w:t>
      </w:r>
      <w:proofErr w:type="spellEnd"/>
      <w:r w:rsidRPr="000F3185">
        <w:t xml:space="preserve"> a ex post, ako aj o nekontrolovaných právach používateľov; </w:t>
      </w:r>
      <w:r w:rsidRPr="000F3185">
        <w:lastRenderedPageBreak/>
        <w:t xml:space="preserve">na základe odpovedí agentúry na pripomienky Dvora audítorov konštatuje, že v rámci prirodzenej krivky učenia sa aktívne prijali opatrenia na zmiernenie, a to aj tým, že v druhej polovici roka 2022 sa začali aktualizovať finančné okruhy agentúry a stratégia kontrol ex </w:t>
      </w:r>
      <w:proofErr w:type="spellStart"/>
      <w:r w:rsidRPr="000F3185">
        <w:t>ante</w:t>
      </w:r>
      <w:proofErr w:type="spellEnd"/>
      <w:r w:rsidRPr="000F3185">
        <w:t xml:space="preserve"> a ex post, pričom príslušné dokumenty by sa mali aktualizovať v roku 2023; vyzýva agentúru, aby sa v plnom rozsahu zaoberala pripomienkami Dvora audítorov a informovala orgán udeľujúci absolutórium o pokroku v tejto veci;</w:t>
      </w:r>
    </w:p>
    <w:p w:rsidR="00142FA1" w:rsidRPr="000F3185" w:rsidRDefault="00FE5197">
      <w:pPr>
        <w:spacing w:after="240"/>
        <w:ind w:left="567" w:hanging="567"/>
        <w:rPr>
          <w:szCs w:val="24"/>
        </w:rPr>
      </w:pPr>
      <w:r w:rsidRPr="000F3185">
        <w:t>4.</w:t>
      </w:r>
      <w:r w:rsidRPr="000F3185">
        <w:tab/>
        <w:t>berie na vedomie pripomienku Dvora audítorov týkajúcu sa nedodržiavania lehôt stanovených v nariadení o rozpočtových pravidlách v súvislosti s platbami zo strany agentúry, pričom v roku 2022 sa 12,2 % platieb oneskorilo o viac ako 30 dní; uznáva stanovisko agentúry, že takéto oneskorenia súviseli so zavedením nového systému SUMMA a že medzitým boli zavedené opatrenia, aby sa predišlo oneskoreniam platieb;</w:t>
      </w:r>
    </w:p>
    <w:p w:rsidR="00142FA1" w:rsidRPr="000F3185" w:rsidRDefault="00FE5197">
      <w:pPr>
        <w:spacing w:after="240"/>
        <w:ind w:left="567" w:hanging="567"/>
        <w:rPr>
          <w:szCs w:val="24"/>
        </w:rPr>
      </w:pPr>
      <w:r w:rsidRPr="000F3185">
        <w:t>5.</w:t>
      </w:r>
      <w:r w:rsidRPr="000F3185">
        <w:tab/>
        <w:t xml:space="preserve">ďalej konštatuje, že v agentúre vznikli oneskorenia aj pri vystavovaní faktúr (alebo „oznámení o dlhu“) za súvisiace poplatky a platby, pričom tieto oneskorenia agentúra pripisuje aj zavedeniu nového systému SUMMA, a pri prijímaní výkazov nákladov od národných bezpečnostných orgánov, čím porušila príslušné články nariadenia o rozpočtových pravidlách a nariadenia </w:t>
      </w:r>
      <w:r w:rsidR="00E17D22">
        <w:t>(EÚ</w:t>
      </w:r>
      <w:bookmarkStart w:id="7" w:name="_GoBack"/>
      <w:bookmarkEnd w:id="7"/>
      <w:r w:rsidR="007E12EE">
        <w:t xml:space="preserve">) </w:t>
      </w:r>
      <w:r w:rsidRPr="000F3185">
        <w:t>2018/764 o poplatkoch a platbách agentúry; z odpovedí agentúry na pripomienky Dvora audítorov uznáva, že vyhnúť sa takýmto oneskoreniam alebo ich skrátiť by bolo možné, ak by národné bezpečnostné orgány včas predložili agentúre svoje výkazy nákladov, ale agentúra nemá páky na to, aby zabezpečila dodržiavanie lehôt zo strany národných bezpečnostných orgánov;</w:t>
      </w:r>
    </w:p>
    <w:p w:rsidR="00142FA1" w:rsidRPr="000F3185" w:rsidRDefault="00FE5197">
      <w:pPr>
        <w:pStyle w:val="NormalHanging12a"/>
      </w:pPr>
      <w:r w:rsidRPr="000F3185">
        <w:t>6.</w:t>
      </w:r>
      <w:r w:rsidRPr="000F3185">
        <w:tab/>
        <w:t xml:space="preserve">pripomína, že napriek vynikajúcim environmentálnym prínosom železničnej dopravy, ktorá je jednou z priorít Komisie, má agentúra najmenší rozpočet spomedzi dopravných agentúr; oceňuje zvýšenie rozpočtu na rozpočtový rok 2022 spolu s rôznymi snahami o zvýšenie konkurencieschopnosti, zlepšenie bezpečnosti a podporu cezhraničnej </w:t>
      </w:r>
      <w:proofErr w:type="spellStart"/>
      <w:r w:rsidRPr="000F3185">
        <w:t>interoperability</w:t>
      </w:r>
      <w:proofErr w:type="spellEnd"/>
      <w:r w:rsidRPr="000F3185">
        <w:t>; vyzýva však na zvýšenie rozpočtu s cieľom zabezpečiť, aby agentúra mala základné zdroje na to, aby fungovala ako efektívny orgán a účinne plnila svoje úlohy;</w:t>
      </w:r>
    </w:p>
    <w:p w:rsidR="00142FA1" w:rsidRPr="000F3185" w:rsidRDefault="00FE5197">
      <w:pPr>
        <w:spacing w:after="240"/>
        <w:ind w:left="567" w:hanging="567"/>
        <w:rPr>
          <w:b/>
          <w:i/>
          <w:szCs w:val="24"/>
        </w:rPr>
      </w:pPr>
      <w:r w:rsidRPr="000F3185">
        <w:rPr>
          <w:b/>
          <w:i/>
        </w:rPr>
        <w:t>Výkonnosť</w:t>
      </w:r>
    </w:p>
    <w:p w:rsidR="00142FA1" w:rsidRPr="000F3185" w:rsidRDefault="00FE5197">
      <w:pPr>
        <w:spacing w:after="240"/>
        <w:ind w:left="567" w:hanging="567"/>
        <w:rPr>
          <w:szCs w:val="24"/>
        </w:rPr>
      </w:pPr>
      <w:r w:rsidRPr="000F3185">
        <w:t>7.</w:t>
      </w:r>
      <w:r w:rsidRPr="000F3185">
        <w:tab/>
        <w:t xml:space="preserve">konštatuje, že agentúra vykázala 81,13 % plnenie svojho ročného pracovného programu na rok 2022 v porovnaní so 76,41 % v roku 2021, čo predstavuje vítaný nárast už druhý rok po sebe; konštatuje, že v roku 2022 agentúra prijala novú štruktúru svojho pracovného programu, pričom prešla z pracovného programu založeného na činnostiach na pracovný program založený na strategických vyhláseniach, a spustila novú platformu na mesačné podávanie správ o všetkých projektoch a službách a nový monitorovací panel; konštatuje, že ročný pracovný program obsahuje 9 strategických vyhlásení, ktoré boli navrhnuté podľa vplyvu, ktorý sa agentúra snaží mať na spoločnosť; berie na vedomie, že agentúra úspešne plní svoje strategické vyhlásenia s vysokou mierou dosiahnutia cieľov agentúry pre rôzne výstupy a stanovené kľúčové ukazovatele výkonnosti v roku 2022; konštatuje však, že niektoré kľúčové ukazovatele výkonnosti neboli dosiahnuté, napríklad ukazovatele súvisiace so začatím „štúdie fázy 3“ pre novú budovu agentúry vo </w:t>
      </w:r>
      <w:proofErr w:type="spellStart"/>
      <w:r w:rsidRPr="000F3185">
        <w:t>Valenciennes</w:t>
      </w:r>
      <w:proofErr w:type="spellEnd"/>
      <w:r w:rsidRPr="000F3185">
        <w:t>, zavedením nového systému (ARES) na správu dokumentov, platbami uskutočnenými v zmluvných lehotách v súvislosti s prijatím nového finančného systému (SUMMA) v pilotnej fáze a iniciatívou „Ženy a doprava“;</w:t>
      </w:r>
    </w:p>
    <w:p w:rsidR="00142FA1" w:rsidRPr="000F3185" w:rsidRDefault="00FE5197">
      <w:pPr>
        <w:spacing w:after="240"/>
        <w:ind w:left="567" w:hanging="567"/>
      </w:pPr>
      <w:r w:rsidRPr="000F3185">
        <w:t>8.</w:t>
      </w:r>
      <w:r w:rsidRPr="000F3185">
        <w:tab/>
        <w:t xml:space="preserve">berie na vedomie niektoré hlavné úspechy agentúry v roku 2022, napríklad prijatie akčného plánu na posilnenie na roky 2023 – 2027, včasné vydanie podstatne väčšieho </w:t>
      </w:r>
      <w:r w:rsidRPr="000F3185">
        <w:lastRenderedPageBreak/>
        <w:t xml:space="preserve">počtu povolení pre vozidlá (1 861) a jednotných bezpečnostných osvedčení (66), dokončenie odporúčania agentúry o balíku revízie TSI 2022, ktoré podporí posilnenie </w:t>
      </w:r>
      <w:proofErr w:type="spellStart"/>
      <w:r w:rsidRPr="000F3185">
        <w:t>interoperability</w:t>
      </w:r>
      <w:proofErr w:type="spellEnd"/>
      <w:r w:rsidRPr="000F3185">
        <w:t xml:space="preserve"> železníc v celej Únii, spustenie druhého cyklu monitorovacích auditov národných bezpečnostných orgánov zahŕňajúceho všetky úlohy, ktoré národným bezpečnostným orgánom prideľujú právne predpisy Únie, predloženie mimoriadne vysokého počtu správ (osem namiesto troch očakávaných) v oblasti monitorovania notifikovaných osôb a práca na prvej správe agentúry založenej na výsledkoch prieskumu bezpečnostnej klímy (ktorý sa začal v roku 2021 a na ktorý prišlo 46 500 odpovedí); vyjadruje agentúre uznanie za vypracovanie modulov bezpečnostnej odbornej prípravy o kultúre spravodlivosti, ktoré by zvýšili bezpečnosť v celom sektore, ako aj za jej výsledky (súbor nástrojov, usmernenia a školiace materiály, opatrenia na zvyšovanie informovanosti, moduly odbornej prípravy), pokiaľ ide o integráciu ľudských a organizačných faktorov, ktoré pomôžu zlepšiť výkonnosť a efektívnosť v oblasti bezpečnosti železníc;</w:t>
      </w:r>
    </w:p>
    <w:p w:rsidR="00142FA1" w:rsidRPr="000F3185" w:rsidRDefault="00FE5197">
      <w:pPr>
        <w:pStyle w:val="NormalHanging12a"/>
      </w:pPr>
      <w:r w:rsidRPr="000F3185">
        <w:t>9.</w:t>
      </w:r>
      <w:r w:rsidRPr="000F3185">
        <w:tab/>
        <w:t xml:space="preserve">zdôrazňuje, že je dôležité pokračovať v podpore všetkých iniciatív zameraných na lepšie spoločné chápanie technických špecifikácií </w:t>
      </w:r>
      <w:proofErr w:type="spellStart"/>
      <w:r w:rsidRPr="000F3185">
        <w:t>interoperability</w:t>
      </w:r>
      <w:proofErr w:type="spellEnd"/>
      <w:r w:rsidRPr="000F3185">
        <w:t xml:space="preserve"> (TSI), ktoré prispievajú k rozvoju silného a konkurencieschopného európskeho železničného priemyslu; trvá na väčšej podpore inovácií v nákladnej železničnej doprave a </w:t>
      </w:r>
      <w:proofErr w:type="spellStart"/>
      <w:r w:rsidRPr="000F3185">
        <w:t>intermodálnych</w:t>
      </w:r>
      <w:proofErr w:type="spellEnd"/>
      <w:r w:rsidRPr="000F3185">
        <w:t xml:space="preserve"> dopravných službách s cieľom dosiahnuť konkurencieschopnú integráciu do logistického hodnotového reťazca s automatizáciou a digitalizáciou nákladnej železničnej dopravy;</w:t>
      </w:r>
    </w:p>
    <w:p w:rsidR="00142FA1" w:rsidRPr="000F3185" w:rsidRDefault="00FE5197">
      <w:pPr>
        <w:spacing w:after="240"/>
        <w:ind w:left="567" w:hanging="567"/>
      </w:pPr>
      <w:r w:rsidRPr="000F3185">
        <w:t>10.</w:t>
      </w:r>
      <w:r w:rsidRPr="000F3185">
        <w:tab/>
        <w:t xml:space="preserve">víta správu o bezpečnosti a </w:t>
      </w:r>
      <w:proofErr w:type="spellStart"/>
      <w:r w:rsidRPr="000F3185">
        <w:t>interoperabilite</w:t>
      </w:r>
      <w:proofErr w:type="spellEnd"/>
      <w:r w:rsidRPr="000F3185">
        <w:t xml:space="preserve"> železníc EÚ; víta trvalý záväzok k cieľu agentúry vytvoriť jednotný európsky železničný priestor a jej nepretržitú prácu v kľúčových oblastiach, ako je zníženie počtu vnútroštátnych predpisov a zabezpečenie vyspelosti technických špecifikácií na účely </w:t>
      </w:r>
      <w:proofErr w:type="spellStart"/>
      <w:r w:rsidRPr="000F3185">
        <w:t>interoperability</w:t>
      </w:r>
      <w:proofErr w:type="spellEnd"/>
      <w:r w:rsidRPr="000F3185">
        <w:t xml:space="preserve">; konštatuje, že takáto dôležitá práca podporí posilnenie </w:t>
      </w:r>
      <w:proofErr w:type="spellStart"/>
      <w:r w:rsidRPr="000F3185">
        <w:t>interoperability</w:t>
      </w:r>
      <w:proofErr w:type="spellEnd"/>
      <w:r w:rsidRPr="000F3185">
        <w:t xml:space="preserve"> železníc v celej Európe v súlade s politickými očakávaniami Komisie; víta pokračujúci príspevok agentúry v oblasti vnútroštátnych predpisov, pričom v roku 2022 sa zrušia zostávajúce vnútroštátne technické predpisy (pre Česko a Holandsko), ktoré predstavujú prekážky pre plynulú železničnú prevádzku;</w:t>
      </w:r>
    </w:p>
    <w:p w:rsidR="00142FA1" w:rsidRPr="000F3185" w:rsidRDefault="00FE5197">
      <w:pPr>
        <w:pStyle w:val="NormalHanging12a"/>
      </w:pPr>
      <w:r w:rsidRPr="000F3185">
        <w:t>11.</w:t>
      </w:r>
      <w:r w:rsidRPr="000F3185">
        <w:tab/>
        <w:t>oceňuje proaktívnu reakciu agentúry na odporúčania uvedené v pripomienke z predchádzajúceho roka, ktoré naliehavo vyzývali agentúru, aby zaviedla účinné kontroly na overovanie štatútu žiadateľov ako MSP; víta zavedenie posilnených kontrol na overenie štatútu MSP v prípade žiadostí o jednotné bezpečnostné osvedčenia a povolenia vozidiel; poznamenáva, že agentúra podnietila niekoľko iniciatív zameraných na podporu železničnej dopravy (osobnej aj nákladnej) vrátane opatrení na koordináciu medzinárodnej železničnej dopravy a rozvoja nových technológií, ako je automatizácia vlakov, čo prispieva k súdržnosti a podporuje hospodárstvo EÚ a zelenú a digitálnu transformáciu; víta, že riadiaca skupina pre železničný balík úspešne pokračovala vo svojej činnosti, v ktorej hodnotila pripravenosť agentúry na štvrtý železničný balík;</w:t>
      </w:r>
    </w:p>
    <w:p w:rsidR="00142FA1" w:rsidRPr="000F3185" w:rsidRDefault="00FE5197">
      <w:pPr>
        <w:pStyle w:val="NormalHanging12a"/>
      </w:pPr>
      <w:r w:rsidRPr="000F3185">
        <w:t>12.</w:t>
      </w:r>
      <w:r w:rsidRPr="000F3185">
        <w:tab/>
        <w:t xml:space="preserve">zdôrazňuje, že nezákonná a neodôvodnená ruská útočná vojna proti Ukrajine ukázala kľúčovú úlohu, ktorú môžu zohrávať železnice; konštatuje, že od invázie na Ukrajinu sú železnice významným prínosom pre pohyb osôb a tovaru, najmä v dôsledku uzavretia ukrajinského vzdušného priestoru pre civilné letectvo; poukazuje na to, že ukrajinské železnice prepravujú vojakov, dôležitých pracovníkov, obyvateľov, ako aj početné životne dôležité tovary, napríklad poľnohospodársky tovar; berie na vedomie, že agentúra prispela k spolupráci EÚ s Ukrajinou v oblasti odolnosti a rozvoja </w:t>
      </w:r>
      <w:r w:rsidRPr="000F3185">
        <w:lastRenderedPageBreak/>
        <w:t>železničných spojení a podporovala Ukrajinu a ľudí na celom svete tým, že našla ďalšie spôsoby, ako zvýšiť objem prepravy ukrajinských potravinových výrobkov po železnici;</w:t>
      </w:r>
    </w:p>
    <w:p w:rsidR="00142FA1" w:rsidRPr="000F3185" w:rsidRDefault="00FE5197">
      <w:pPr>
        <w:spacing w:after="240"/>
        <w:ind w:left="567" w:hanging="567"/>
        <w:rPr>
          <w:b/>
          <w:i/>
          <w:szCs w:val="24"/>
        </w:rPr>
      </w:pPr>
      <w:r w:rsidRPr="000F3185">
        <w:rPr>
          <w:b/>
          <w:i/>
        </w:rPr>
        <w:t>Efektívnosť a prínos</w:t>
      </w:r>
    </w:p>
    <w:p w:rsidR="00142FA1" w:rsidRPr="000F3185" w:rsidRDefault="00FE5197">
      <w:pPr>
        <w:spacing w:after="240"/>
        <w:ind w:left="567" w:hanging="567"/>
        <w:rPr>
          <w:szCs w:val="24"/>
        </w:rPr>
      </w:pPr>
      <w:r w:rsidRPr="000F3185">
        <w:t>13.</w:t>
      </w:r>
      <w:r w:rsidRPr="000F3185">
        <w:tab/>
        <w:t>chváli agentúru za to, že v roku 2022 prijala plán posilnenia a akčný plán na posilnenie na roky 2023 – 2027; konštatuje, že akčný plán na posilnenie je usporiadaný podľa jednotlivých zložiek a cieľov a je jadrom stratégie agentúry na zvýšenie efektívnosti na nadchádzajúcich päť rokov; konštatuje, že v rámci agentúry bola vytvorená interná pracovná skupina pre akčný plán na posilnenie a jeho míľniky a bude vymenovaný spravodajca, ktorý bude podporovať, usmerňovať a monitorovať vykonávanie akčného plánu na posilnenie;</w:t>
      </w:r>
    </w:p>
    <w:p w:rsidR="00142FA1" w:rsidRPr="000F3185" w:rsidRDefault="00FE5197">
      <w:pPr>
        <w:spacing w:after="240"/>
        <w:ind w:left="567" w:hanging="567"/>
      </w:pPr>
      <w:r w:rsidRPr="000F3185">
        <w:t>14.</w:t>
      </w:r>
      <w:r w:rsidRPr="000F3185">
        <w:tab/>
        <w:t>konštatuje, že vďaka akčnému plánu na posilnenie agentúra v roku 2022 získala 12 ďalších dočasných zamestnancov, čo predstavuje nárast, ktorý môže agentúre poskytnúť dobrý základ na pokračovanie vo vykonávaní plánu posilnenia; vyjadruje poľutovanie nad tým, že s pridelením pracovných miest nebolo spojené pridelenie zodpovedajúcej dotácie, čo spolu s mimoriadnou valorizáciou platov a všeobecným zvýšením cien verejných služieb spôsobilo ďalšie obmedzenia pri plánovaní práce a zdrojov agentúry, pričom za rok 2022 bolo zaznamenaných niekoľko negatívnych priorít, napríklad práca na ročnom preskúmaní výkonnosti národných bezpečnostných orgánov alebo vývoj systému výmeny informácií o bezpečnostných udalostiach v Európe;</w:t>
      </w:r>
    </w:p>
    <w:p w:rsidR="00142FA1" w:rsidRPr="000F3185" w:rsidRDefault="00FE5197">
      <w:pPr>
        <w:spacing w:after="240"/>
        <w:ind w:left="567" w:hanging="567"/>
        <w:rPr>
          <w:szCs w:val="24"/>
        </w:rPr>
      </w:pPr>
      <w:r w:rsidRPr="000F3185">
        <w:t>15.</w:t>
      </w:r>
      <w:r w:rsidRPr="000F3185">
        <w:tab/>
        <w:t>konštatuje, že na základe priebežného preverovania služieb poskytovaných agentúrami a útvarmi Komisie boli identifikované „spoločné kapacity“, pričom agentúra postupne realizuje spoluprácu v oblasti organizácie zasadnutí, bezpečnosti IT, ľudských zdrojov (napr. mzdy a správa individuálnych nárokov zamestnancov, vyšetrovanie prípadov obťažovania), verejného obstarávania (napr. verejné súťaže medzi agentúrami, spoločné rámcové zmluvy), prekladov a účtovníctva; konštatuje, že v roku 2022 agentúra uzavrela memorandum o spolupráci s Agentúrou Európskej únie pre bezpečnosť letectva (EASA), ktorým sa zavádza pravidelný štruktúrovaný dialóg medzi týmito dvoma agentúrami a posilňuje sa výmena informácií, poznatkov a skúseností v rôznych oblastiach spolupráce vrátane preskúmania možnosti prispôsobiť jedno z existujúcich IT riešení v sektore letectva (Európske koordinačné centrum pre systémy ohlasovania nehôd a incidentov) systému výmeny informácií v železničnej doprave na zber a analýzu hlásení o bezpečnostných udalostiach na železnici; vyzýva agentúru, aby orgánu udeľujúcemu absolutórium podala správu o záveroch prieskumnej fázy;</w:t>
      </w:r>
    </w:p>
    <w:p w:rsidR="00142FA1" w:rsidRPr="000F3185" w:rsidRDefault="00FE5197">
      <w:pPr>
        <w:spacing w:after="240"/>
        <w:ind w:left="567" w:hanging="567"/>
        <w:rPr>
          <w:szCs w:val="24"/>
        </w:rPr>
      </w:pPr>
      <w:r w:rsidRPr="000F3185">
        <w:t>16.</w:t>
      </w:r>
      <w:r w:rsidRPr="000F3185">
        <w:tab/>
        <w:t xml:space="preserve">konštatuje, že prvá stratégia agentúry pre environmentálne manažérstvo bola vypracovaná a uverejnená v roku 2022 ako súčasť jednotného programového dokumentu agentúry na roky 2023 – 2025; oceňuje, že agentúra predvídala a uskutočnila niektoré iniciatívy a opatrenia už pred koncom roka 2022, napríklad zníženie teploty v budove, opravu/výmenu chybných snímačov na vyriešenie problému stále zapnutých svetiel v niektorých kanceláriách, úpravu nastavení automatického vypínania svetiel a zriadenie skupiny ERA pre životné prostredie (dobrovoľníctvo), ktorá bude riadiť opatrenia na šírenie informácií, zhromažďovať nápady a presadzovať pokrok v oblasti životného prostredia; s uspokojením berie na vedomie správu Dvora audítorov, že agentúra patrí medzi agentúry, ktoré plánujú zlepšiť energetickú efektívnosť a klimatickú neutralitu svojich činností; vyzýva agentúru, aby do tohto plánu zahrnula kvantifikované východiskové hodnoty a ciele na zníženie uhlíkovej </w:t>
      </w:r>
      <w:r w:rsidRPr="000F3185">
        <w:lastRenderedPageBreak/>
        <w:t xml:space="preserve">stopy a spotreby energie, ako aj aby zabezpečila, že jej nová budova vo </w:t>
      </w:r>
      <w:proofErr w:type="spellStart"/>
      <w:r w:rsidRPr="000F3185">
        <w:t>Valenciennes</w:t>
      </w:r>
      <w:proofErr w:type="spellEnd"/>
      <w:r w:rsidRPr="000F3185">
        <w:t xml:space="preserve"> bude mať certifikát EMAS;</w:t>
      </w:r>
    </w:p>
    <w:p w:rsidR="00142FA1" w:rsidRPr="000F3185" w:rsidRDefault="00FE5197">
      <w:pPr>
        <w:pStyle w:val="NormalHanging12a"/>
      </w:pPr>
      <w:r w:rsidRPr="000F3185">
        <w:t>17.</w:t>
      </w:r>
      <w:r w:rsidRPr="000F3185">
        <w:tab/>
        <w:t>berie na vedomie, že agentúra dosiahla veľmi vysoký stupeň digitalizácie s cieľom zvýšiť svoju efektívnosť, odstrániť papierové postupy a predložiť online riešenia, ako je elektronické obstarávanie, elektronická fakturácia, elektronická rezervácia cestovných lístkov, a to aj prostredníctvom zavedenia systému riadenia ľudských zdrojov (SYSPER) Komisie v roku 2022 a prechodu na nový rozpočtový, účtovný a finančný systém SUMMA v pilotnej fáze; víta, že v jednotnom programovom dokumente agentúry na roky 2023 – 2025 sa počíta s ďalšou digitalizáciou jej pracovných postupov;</w:t>
      </w:r>
    </w:p>
    <w:p w:rsidR="00142FA1" w:rsidRPr="000F3185" w:rsidRDefault="00FE5197">
      <w:pPr>
        <w:pStyle w:val="NormalHanging12a"/>
      </w:pPr>
      <w:r w:rsidRPr="000F3185">
        <w:t>18.</w:t>
      </w:r>
      <w:r w:rsidRPr="000F3185">
        <w:tab/>
        <w:t>na základe stanoviska agentúry k následným opatreniam prijatým v súvislosti s udelením absolutória za plnenie rozpočtu agentúry na rozpočtový rok 2021 (ďalej len „stanovisko agentúry“) konštatuje, že agentúra zaviedla niekoľko opatrení na zníženie nákladov na prevádzku v </w:t>
      </w:r>
      <w:proofErr w:type="spellStart"/>
      <w:r w:rsidRPr="000F3185">
        <w:t>Lille</w:t>
      </w:r>
      <w:proofErr w:type="spellEnd"/>
      <w:r w:rsidRPr="000F3185">
        <w:t xml:space="preserve"> (t. j. výrazne sa znížili služobné cesty a cestovné výdavky zamestnancov a externých zainteresovaných strán) a ukončila platnú zmluvu o prenájme priestorov v </w:t>
      </w:r>
      <w:proofErr w:type="spellStart"/>
      <w:r w:rsidRPr="000F3185">
        <w:t>Lille</w:t>
      </w:r>
      <w:proofErr w:type="spellEnd"/>
      <w:r w:rsidRPr="000F3185">
        <w:t>; konštatuje, že zámerom agentúry je organizovať len povinné zasadnutia v </w:t>
      </w:r>
      <w:proofErr w:type="spellStart"/>
      <w:r w:rsidRPr="000F3185">
        <w:t>Lille</w:t>
      </w:r>
      <w:proofErr w:type="spellEnd"/>
      <w:r w:rsidRPr="000F3185">
        <w:t>, aby sa dodržalo rozhodnutie Európskej rady o dvojitom sídle „</w:t>
      </w:r>
      <w:proofErr w:type="spellStart"/>
      <w:r w:rsidRPr="000F3185">
        <w:t>Lille-Valenciennes</w:t>
      </w:r>
      <w:proofErr w:type="spellEnd"/>
      <w:r w:rsidRPr="000F3185">
        <w:t>“; víta skutočnosť, že agentúra v roku 2022 schválila svoju stratégiu v oblasti ľudských zdrojov (2023 – 2027) na základe pripomienky Európskeho parlamentu so zameraním na zlepšenie jej účinnosti a efektívnosti; konštatuje v tejto súvislosti pozitívne skúsenosti a vývoj v rámci agentúry, pokiaľ ide o využívanie režimu práce na diaľku po pandémii ochorenia COVID-19, čo viedlo agentúru k záveru, že novým normálnym stavom je, že práca na diaľku je pre väčšinu zamestnancov prijímaná ako rovnocenná s prácou v kancelárii, zatiaľ čo fyzická prítomnosť zostáva kľúčová pre niektoré špecifické pracovné miesta;</w:t>
      </w:r>
    </w:p>
    <w:p w:rsidR="00142FA1" w:rsidRPr="000F3185" w:rsidRDefault="00FE5197">
      <w:pPr>
        <w:spacing w:after="240"/>
        <w:ind w:left="567" w:hanging="567"/>
        <w:rPr>
          <w:b/>
          <w:i/>
          <w:szCs w:val="24"/>
        </w:rPr>
      </w:pPr>
      <w:r w:rsidRPr="000F3185">
        <w:rPr>
          <w:b/>
          <w:i/>
        </w:rPr>
        <w:t>Personálna politika</w:t>
      </w:r>
    </w:p>
    <w:p w:rsidR="00142FA1" w:rsidRPr="000F3185" w:rsidRDefault="00FE5197">
      <w:pPr>
        <w:spacing w:after="240"/>
        <w:ind w:left="567" w:hanging="567"/>
        <w:rPr>
          <w:szCs w:val="24"/>
        </w:rPr>
      </w:pPr>
      <w:r w:rsidRPr="000F3185">
        <w:t>19.</w:t>
      </w:r>
      <w:r w:rsidRPr="000F3185">
        <w:tab/>
        <w:t>konštatuje, že k 31. decembru 2022 bol plán pracovných miest naplnený na 97,40 %, pričom zo 154 dočasných zamestnancov schválených v rámci rozpočtu Únie (v porovnaní so 151 pracovnými miestami schválenými v roku 2021) bolo vymenovaných 150 dočasných zamestnancov; konštatuje, že okrem toho v roku 2022 pracovalo v agentúre 36 zmluvných zamestnancov (z 36 schválených) a 2 vyslaní národní experti (zo 4 schválených);</w:t>
      </w:r>
    </w:p>
    <w:p w:rsidR="00142FA1" w:rsidRPr="000F3185" w:rsidRDefault="00FE5197">
      <w:pPr>
        <w:pStyle w:val="NormalHanging12a"/>
      </w:pPr>
      <w:r w:rsidRPr="000F3185">
        <w:t>20.</w:t>
      </w:r>
      <w:r w:rsidRPr="000F3185">
        <w:tab/>
        <w:t>so znepokojením berie na vedomie rodovú nerovnováhu medzi členmi vyššieho manažmentu agentúry, keďže 8 z 10 (80 %) sú muži; berie na vedomie rodovú rovnováhu medzi členmi správnej rady agentúry, pričom 34 zo 64 členov (53 %) sú muži; ďalej berie na vedomie rodové rozdelenie zamestnancov agentúry celkovo, keď 120 zo 188 zamestnancov (64 %) sú muži; pripomína, že je dôležité zabezpečiť rodovú rovnováhu, a vyzýva agentúru, aby tento aspekt zohľadnila pri budúcom prijímaní zamestnancov a menovaní do vyššieho manažmentu; berie na vedomie nepretržitú činnosť agentúry zameranú na odstraňovanie rodových rozdielov prostredníctvom osobitných projektov, ako je napríklad projekt „Ženy a doprava“, ktorého cieľom je posilniť zamestnanosť žien a rovnosť príležitostí v odvetví dopravy; v tejto súvislosti berie na vedomie úsilie agentúry o zvýšenie počtu žien v odvetví dopravy prostredníctvom výsledkov, ako sú podujatia na vytváranie vysokorýchlostných sietí a webové semináre zamerané na rozmanitosť a začlenenie v roku 2022;</w:t>
      </w:r>
    </w:p>
    <w:p w:rsidR="00142FA1" w:rsidRPr="000F3185" w:rsidRDefault="00FE5197">
      <w:pPr>
        <w:spacing w:after="240"/>
        <w:ind w:left="567" w:hanging="567"/>
        <w:rPr>
          <w:szCs w:val="24"/>
        </w:rPr>
      </w:pPr>
      <w:r w:rsidRPr="000F3185">
        <w:lastRenderedPageBreak/>
        <w:t>21.</w:t>
      </w:r>
      <w:r w:rsidRPr="000F3185">
        <w:tab/>
        <w:t xml:space="preserve">berie na vedomie stanovisko agentúry, že agentúra v druhej polovici roka 2022 vykonala </w:t>
      </w:r>
      <w:proofErr w:type="spellStart"/>
      <w:r w:rsidRPr="000F3185">
        <w:t>participatívny</w:t>
      </w:r>
      <w:proofErr w:type="spellEnd"/>
      <w:r w:rsidRPr="000F3185">
        <w:t xml:space="preserve"> rodový audit, ktorého zistenia boli následne použité na pomoc pri určovaní priorít medzi cieľmi stratégie ľudských zdrojov agentúry na roky 2023 – 2027 a slúžili ako vstupné údaje pre dokument opisujúci záväzky riadiaceho tímu agentúry v oblasti rozmanitosti a začlenenia; ďalej konštatuje, že sú definované konkrétne krátkodobé opatrenia na zlepšenie rozmanitosti a inklúzie v rámci agentúry na všetkých úrovniach, napr. práca vykonaná v oblasti náboru a zapojenia (využívanie rezervných zoznamov, nástup do zamestnania, </w:t>
      </w:r>
      <w:proofErr w:type="spellStart"/>
      <w:r w:rsidRPr="000F3185">
        <w:t>mentoring</w:t>
      </w:r>
      <w:proofErr w:type="spellEnd"/>
      <w:r w:rsidRPr="000F3185">
        <w:t>);</w:t>
      </w:r>
    </w:p>
    <w:p w:rsidR="00142FA1" w:rsidRPr="000F3185" w:rsidRDefault="00FE5197">
      <w:pPr>
        <w:pStyle w:val="NormalHanging12a"/>
      </w:pPr>
      <w:r w:rsidRPr="000F3185">
        <w:t>22.</w:t>
      </w:r>
      <w:r w:rsidRPr="000F3185">
        <w:tab/>
        <w:t>víta skutočnosť, že agentúra sa snaží zabezpečiť geografickú rovnováhu svojich zamestnancov tým, že nabáda uchádzačov zo všetkých členských štátov, aby sa uchádzali o pozície v agentúre; konštatuje, že dočasné pracovné miesta sa uverejňujú vo všetkých jazykoch EÚ a výzvy na podávanie prihlášok sa nielen uverejňujú na webovom sídle agentúry, ale aj na úrovni stálych zastúpení členských štátov;</w:t>
      </w:r>
    </w:p>
    <w:p w:rsidR="00142FA1" w:rsidRPr="000F3185" w:rsidRDefault="00FE5197">
      <w:pPr>
        <w:spacing w:after="240"/>
        <w:ind w:left="567" w:hanging="567"/>
        <w:rPr>
          <w:szCs w:val="24"/>
        </w:rPr>
      </w:pPr>
      <w:r w:rsidRPr="000F3185">
        <w:t>23.</w:t>
      </w:r>
      <w:r w:rsidRPr="000F3185">
        <w:tab/>
        <w:t>z odpovedí agentúry na písomné otázky Európskeho parlamentu vyplýva, že pokiaľ ide o nahlásené prípady obťažovania v rámci agentúry, ktorými sa zaoberajú interní dôverní poradcovia, do registra boli zaradení štyria zamestnanci, z ktorých dvaja boli z registra vyradení koncom roka 2022, pričom nebolo vykonané žiadne vyšetrovanie ani vyvodený žiadny záver; nabáda agentúru, aby ďalej rozvíjala svoje politiky a metódy s cieľom účinnejšie predchádzať takýmto prípadom v budúcnosti;</w:t>
      </w:r>
    </w:p>
    <w:p w:rsidR="00142FA1" w:rsidRPr="000F3185" w:rsidRDefault="00FE5197">
      <w:pPr>
        <w:spacing w:after="240"/>
        <w:ind w:left="567" w:hanging="567"/>
        <w:rPr>
          <w:b/>
          <w:i/>
          <w:szCs w:val="24"/>
        </w:rPr>
      </w:pPr>
      <w:r w:rsidRPr="000F3185">
        <w:rPr>
          <w:b/>
          <w:i/>
        </w:rPr>
        <w:t>Verejné obstarávanie</w:t>
      </w:r>
    </w:p>
    <w:p w:rsidR="00142FA1" w:rsidRPr="000F3185" w:rsidRDefault="00FE5197">
      <w:pPr>
        <w:spacing w:after="240"/>
        <w:ind w:left="567" w:hanging="567"/>
        <w:rPr>
          <w:szCs w:val="24"/>
        </w:rPr>
      </w:pPr>
      <w:r w:rsidRPr="000F3185">
        <w:t>24.</w:t>
      </w:r>
      <w:r w:rsidRPr="000F3185">
        <w:tab/>
        <w:t>konštatuje, že agentúra v roku 2022 uskutočnila 2 výzvy na predkladanie ponúk, 3 rokovacie konania a jedno opätovné otvorenie súťaže a 2 výzvy na predkladanie ponúk a 3 rokovacie konania financované z administratívnych rozpočtových prostriedkov;</w:t>
      </w:r>
    </w:p>
    <w:p w:rsidR="00142FA1" w:rsidRPr="000F3185" w:rsidRDefault="00FE5197">
      <w:pPr>
        <w:spacing w:after="240"/>
        <w:ind w:left="567" w:hanging="567"/>
      </w:pPr>
      <w:r w:rsidRPr="000F3185">
        <w:t>25.</w:t>
      </w:r>
      <w:r w:rsidRPr="000F3185">
        <w:tab/>
        <w:t>z odpovedí agentúry na písomné otázky Európskeho parlamentu vyplýva, že realizácia zeleného verejného obstarávania prebieha a je jednou z iniciatív/aktivít stratégie agentúry pre riadenie životného prostredia;</w:t>
      </w:r>
    </w:p>
    <w:p w:rsidR="00142FA1" w:rsidRPr="000F3185" w:rsidRDefault="00FE5197">
      <w:pPr>
        <w:spacing w:after="240"/>
        <w:ind w:left="567" w:hanging="567"/>
        <w:rPr>
          <w:szCs w:val="24"/>
        </w:rPr>
      </w:pPr>
      <w:r w:rsidRPr="000F3185">
        <w:t>26.</w:t>
      </w:r>
      <w:r w:rsidRPr="000F3185">
        <w:tab/>
        <w:t>z odpovedí agentúry na otázky orgánu udeľujúceho absolutórium vyplýva, že v roku 2022 už boli procesy verejného obstarávania agentúry plne digitalizované; víta skutočnosť, že v júli 2023 agentúra začala s nasadzovaním nástroja na riadenie verejného obstarávania;</w:t>
      </w:r>
    </w:p>
    <w:p w:rsidR="00142FA1" w:rsidRPr="000F3185" w:rsidRDefault="00FE5197">
      <w:pPr>
        <w:spacing w:after="240"/>
        <w:ind w:left="567" w:hanging="567"/>
        <w:rPr>
          <w:b/>
          <w:i/>
          <w:szCs w:val="24"/>
        </w:rPr>
      </w:pPr>
      <w:r w:rsidRPr="000F3185">
        <w:rPr>
          <w:b/>
          <w:i/>
        </w:rPr>
        <w:t>Prevencia a riešenie konfliktov záujmov a transparentnosť</w:t>
      </w:r>
    </w:p>
    <w:p w:rsidR="00142FA1" w:rsidRPr="000F3185" w:rsidRDefault="00FE5197">
      <w:pPr>
        <w:spacing w:after="240"/>
        <w:ind w:left="567" w:hanging="567"/>
        <w:rPr>
          <w:szCs w:val="24"/>
        </w:rPr>
      </w:pPr>
      <w:r w:rsidRPr="000F3185">
        <w:t>27.</w:t>
      </w:r>
      <w:r w:rsidRPr="000F3185">
        <w:tab/>
        <w:t>berie na vedomie, že agentúra zverejnila životopisy a vyhlásenia o záujmoch členov správnej rady a vrcholového manažmentu na webovom sídle agentúry; berie na vedomie aj to, že agentúra nezverejňuje životopisy externých odborníkov a interných expertov;</w:t>
      </w:r>
    </w:p>
    <w:p w:rsidR="00142FA1" w:rsidRPr="000F3185" w:rsidRDefault="00FE5197">
      <w:pPr>
        <w:spacing w:after="240"/>
        <w:ind w:left="567" w:hanging="567"/>
        <w:rPr>
          <w:bCs/>
          <w:szCs w:val="24"/>
        </w:rPr>
      </w:pPr>
      <w:r w:rsidRPr="000F3185">
        <w:t>28.</w:t>
      </w:r>
      <w:r w:rsidRPr="000F3185">
        <w:tab/>
        <w:t>víta úsilie agentúry o zvýšenie transparentnosti jej činností pravidelným zverejňovaním informácií o všetkých stretnutiach výkonného riaditeľa s organizáciami alebo samostatne zárobkovo činnými osobami na jej webovom sídle; konštatuje, že agentúra využíva niekoľko mechanizmov na identifikáciu a predchádzanie konfliktom záujmov prostredníctvom uvádzania záujmov patriacich do konkrétnych kategórií (napr. profesijné, rodinné), preskúmavania vyhlásení o záujmoch, vyžadovania spontánnych vyhlásení o neexistencii konfliktu záujmov a pravidelných školení;</w:t>
      </w:r>
    </w:p>
    <w:p w:rsidR="00142FA1" w:rsidRPr="000F3185" w:rsidRDefault="00FE5197">
      <w:pPr>
        <w:spacing w:after="240"/>
        <w:ind w:left="567" w:hanging="567"/>
      </w:pPr>
      <w:r w:rsidRPr="000F3185">
        <w:lastRenderedPageBreak/>
        <w:t>29.</w:t>
      </w:r>
      <w:r w:rsidRPr="000F3185">
        <w:tab/>
        <w:t>chváli agentúru za jej postupy oznamovania protispoločenskej činnosti, prostredníctvom ktorých môžu zamestnanci nahlasovať potenciálne konflikty bez obáv z odvetných opatrení; v tejto súvislosti konštatuje, že v roku 2022 boli na úrovni členov správnej rady a zamestnancov agentúry nahlásené potenciálne situácie konfliktu záujmov, pričom boli prijaté zmierňujúce opatrenia, ktoré boli zaznamenané na zasadnutiach správnej rady alebo zdokumentované vo vyhláseniach dotknutých zamestnancov;</w:t>
      </w:r>
    </w:p>
    <w:p w:rsidR="00142FA1" w:rsidRPr="000F3185" w:rsidRDefault="00FE5197">
      <w:pPr>
        <w:spacing w:after="240"/>
        <w:ind w:left="567" w:hanging="567"/>
      </w:pPr>
      <w:r w:rsidRPr="000F3185">
        <w:t>30.</w:t>
      </w:r>
      <w:r w:rsidRPr="000F3185">
        <w:tab/>
        <w:t>z odpovedí agentúry na písomné otázky Európskeho parlamentu vyplýva, že agentúra má zavedené postupy na riešenie potenciálnych situácií javu otáčavých dverí v prípade bývalých zamestnancov; v tejto súvislosti vyjadruje poľutovanie nad tým, že agentúra nevykonáva systematické monitorovanie dodržiavania platných pravidiel, čo môže mať za následok, že neohlásené situácie javu otáčavých dverí môžu zostať neodhalené alebo že nemusí byť zabezpečené dodržiavanie pokynov, ktoré boli predtým uložené zamestnancom, ktorí opustili agentúru;</w:t>
      </w:r>
    </w:p>
    <w:p w:rsidR="00142FA1" w:rsidRPr="000F3185" w:rsidRDefault="00FE5197">
      <w:pPr>
        <w:spacing w:after="240"/>
        <w:ind w:left="567" w:hanging="567"/>
        <w:rPr>
          <w:szCs w:val="24"/>
        </w:rPr>
      </w:pPr>
      <w:r w:rsidRPr="000F3185">
        <w:t>31.</w:t>
      </w:r>
      <w:r w:rsidRPr="000F3185">
        <w:tab/>
        <w:t>konštatuje, že agentúra pokračovala v školeniach o etike a boji proti podvodom, ktoré sú povinné pre všetkých zamestnancov a sú súčasťou štvorročného cyklu školení s cieľom dosiahnuť 100 % účasť na konci cyklu; konštatuje, že celková miera účasti v roku 2022 bola 22,1 % v oblasti boja proti podvodom a 31,11 % v oblasti etiky a že obe školenia sú prispôsobené rizikovému prostrediu agentúry;</w:t>
      </w:r>
    </w:p>
    <w:p w:rsidR="00142FA1" w:rsidRPr="000F3185" w:rsidRDefault="00FE5197">
      <w:pPr>
        <w:spacing w:after="240"/>
        <w:ind w:left="567" w:hanging="567"/>
        <w:rPr>
          <w:szCs w:val="24"/>
        </w:rPr>
      </w:pPr>
      <w:r w:rsidRPr="000F3185">
        <w:rPr>
          <w:b/>
          <w:i/>
        </w:rPr>
        <w:t>Vnútorná kontrola</w:t>
      </w:r>
    </w:p>
    <w:p w:rsidR="00142FA1" w:rsidRPr="000F3185" w:rsidRDefault="00FE5197">
      <w:pPr>
        <w:spacing w:after="240"/>
        <w:ind w:left="567" w:hanging="567"/>
        <w:rPr>
          <w:szCs w:val="24"/>
        </w:rPr>
      </w:pPr>
      <w:r w:rsidRPr="000F3185">
        <w:t>32.</w:t>
      </w:r>
      <w:r w:rsidRPr="000F3185">
        <w:tab/>
        <w:t>so znepokojením berie na vedomie pripomienky Dvora audítorov k niektorým nedostatkom v riadiacich a kontrolných systémoch agentúry, konkrétne k chýbajúcej politike klasifikácie a ochrany citlivých informácií a k používaniu iných neplatných metód schvaľovania ako fyzických alebo kvalifikovaných elektronických podpisov v oblasti postupov verejného obstarávania; z odpovedí agentúry na pripomienky Dvora audítorov vyplýva, že tieto nedostatky boli medzičasom odstránené prostredníctvom rôznych krokov a opatrení; vyzýva Dvor audítorov, aby tieto činnosti a opatrenia zahrnul do svojich následných auditov;</w:t>
      </w:r>
    </w:p>
    <w:p w:rsidR="00142FA1" w:rsidRPr="000F3185" w:rsidRDefault="00FE5197">
      <w:pPr>
        <w:spacing w:after="240"/>
        <w:ind w:left="567" w:hanging="567"/>
      </w:pPr>
      <w:r w:rsidRPr="000F3185">
        <w:t>33.</w:t>
      </w:r>
      <w:r w:rsidRPr="000F3185">
        <w:tab/>
        <w:t xml:space="preserve">zo stanoviska agentúry vyplýva, že pokiaľ ide o odporúčania útvaru vnútorného auditu (IAS) po audite vykonanom v roku 2019 v oblasti riadenia informácií a informačnej bezpečnosti, agentúra vykonala veľmi dôležité odporúčanie týkajúce sa rámca správy údajov a dôležité odporúčanie týkajúce sa prevádzky údajov a IT (IAS ho už uzavrel), zatiaľ čo na vykonaní zvyšných troch odporúčaní v roku 2023 (o </w:t>
      </w:r>
      <w:proofErr w:type="spellStart"/>
      <w:r w:rsidRPr="000F3185">
        <w:t>interoperabilite</w:t>
      </w:r>
      <w:proofErr w:type="spellEnd"/>
      <w:r w:rsidRPr="000F3185">
        <w:t xml:space="preserve"> a kvalite údajov, bezpečnosti údajov a IT a kontinuite a fyzickej bezpečnosti IT) sa pracuje; vyzýva agentúru, aby podala rozpočtovému orgánu správu o pokroku v tejto oblasti;</w:t>
      </w:r>
    </w:p>
    <w:p w:rsidR="00142FA1" w:rsidRPr="000F3185" w:rsidRDefault="00FE5197">
      <w:pPr>
        <w:spacing w:after="240"/>
        <w:ind w:left="567" w:hanging="567"/>
        <w:rPr>
          <w:szCs w:val="24"/>
        </w:rPr>
      </w:pPr>
      <w:r w:rsidRPr="000F3185">
        <w:t>34.</w:t>
      </w:r>
      <w:r w:rsidRPr="000F3185">
        <w:tab/>
        <w:t xml:space="preserve">poznamenáva, že v rámci agentúry je každá odchýlka od zavedeného procesu alebo postupu zdokumentovaná, odôvodnená a schválená na príslušnej úrovni riadenia; s uspokojením konštatuje zníženie počtu registrovaných nezhôd z 35 v roku 2021 na 28 v roku 2022; konštatuje, že v roku 2022 bolo zaznamenaných 28 registrovaných nezhôd týkajúcich sa napríklad dodržiavania administratívnych pravidiel (odchýlka od pravidiel práce na diaľku), postupov/pravidiel verejného obstarávania (nesprávne použitie rokovacieho konania), pravidiel služobných ciest (odchod na služobnú cestu bez schváleného príkazu na služobnú cestu), ako aj pravidiel v oblastiach, ako je riadenie zmlúv, záväzky a výber zamestnancov; konštatuje, že 13 z 28 registrovaných nezhôd bolo výnimočných (ex </w:t>
      </w:r>
      <w:proofErr w:type="spellStart"/>
      <w:r w:rsidRPr="000F3185">
        <w:t>ante</w:t>
      </w:r>
      <w:proofErr w:type="spellEnd"/>
      <w:r w:rsidRPr="000F3185">
        <w:t xml:space="preserve"> nezhody) a transparentne zdokumentovaných </w:t>
      </w:r>
      <w:r w:rsidRPr="000F3185">
        <w:lastRenderedPageBreak/>
        <w:t>a odôvodnených, napr. z dôvodu zabezpečenia kontinuity činnosti alebo z ekonomických dôvodov; víta skutočnosť, že agentúra zaviedla zmierňujúce alebo monitorovacie opatrenia na riešenie každej registrovanej nezhody; vyzýva agentúru, aby pokračovala vo vykonávaní pravidelných hodnotení fungovania hlavných oblastí vnútornej kontroly, ktoré podporujú proces potvrdzovania vierohodnosti, a to na základe rizík;</w:t>
      </w:r>
    </w:p>
    <w:p w:rsidR="00142FA1" w:rsidRPr="000F3185" w:rsidRDefault="00FE5197">
      <w:pPr>
        <w:spacing w:after="240"/>
        <w:ind w:left="567" w:hanging="567"/>
        <w:rPr>
          <w:szCs w:val="24"/>
        </w:rPr>
      </w:pPr>
      <w:r w:rsidRPr="000F3185">
        <w:t>35.</w:t>
      </w:r>
      <w:r w:rsidRPr="000F3185">
        <w:tab/>
        <w:t>konštatuje, že v roku 2022 agentúra vykonala hodnotenie rizík v súlade so svojím ročným strategickým plánovaním a počas roka priebežne preskúmala relevantnosť rizík a súvisiacich opatrení na ich zmiernenie; berie na vedomie hlavné zistené výzvy/riziká týkajúce sa plnenia rozpočtu, zavádzania nového IT nástroja pre podnikové financie (SUMMA), personálnych obmedzení, otázok IT bezpečnosti a vplyvu pandémie ochorenia COVID-19;</w:t>
      </w:r>
    </w:p>
    <w:p w:rsidR="00142FA1" w:rsidRPr="000F3185" w:rsidRDefault="00FE5197">
      <w:pPr>
        <w:spacing w:after="240"/>
        <w:ind w:left="567" w:hanging="567"/>
        <w:rPr>
          <w:szCs w:val="24"/>
        </w:rPr>
      </w:pPr>
      <w:r w:rsidRPr="000F3185">
        <w:t>36.</w:t>
      </w:r>
      <w:r w:rsidRPr="000F3185">
        <w:tab/>
        <w:t>konštatuje, že vyšetrovanie úradu OLAF bolo v decembri 2022 uzavreté bez zistení alebo ďalších odporúčaní;</w:t>
      </w:r>
    </w:p>
    <w:p w:rsidR="00142FA1" w:rsidRPr="000F3185" w:rsidRDefault="00FE5197">
      <w:pPr>
        <w:spacing w:after="240"/>
        <w:ind w:left="567" w:hanging="567"/>
        <w:rPr>
          <w:szCs w:val="24"/>
        </w:rPr>
      </w:pPr>
      <w:r w:rsidRPr="000F3185">
        <w:rPr>
          <w:b/>
          <w:i/>
        </w:rPr>
        <w:t>Ďalšie pripomienky</w:t>
      </w:r>
    </w:p>
    <w:p w:rsidR="00142FA1" w:rsidRPr="000F3185" w:rsidRDefault="00FE5197">
      <w:pPr>
        <w:tabs>
          <w:tab w:val="left" w:pos="567"/>
        </w:tabs>
        <w:spacing w:after="240"/>
        <w:ind w:left="567" w:hanging="567"/>
        <w:rPr>
          <w:szCs w:val="24"/>
        </w:rPr>
      </w:pPr>
      <w:r w:rsidRPr="000F3185">
        <w:t>37.</w:t>
      </w:r>
      <w:r w:rsidRPr="000F3185">
        <w:tab/>
        <w:t>berie na vedomie, že v nadväznosti na kroky, ktoré boli podniknuté s Európskym parlamentom a Radou v súvislosti s novou budovou agentúry, výkonný riaditeľ informoval správnu radu o niekoľkých stretnutiach s </w:t>
      </w:r>
      <w:proofErr w:type="spellStart"/>
      <w:r w:rsidRPr="000F3185">
        <w:t>Valenciennes</w:t>
      </w:r>
      <w:proofErr w:type="spellEnd"/>
      <w:r w:rsidRPr="000F3185">
        <w:t xml:space="preserve"> </w:t>
      </w:r>
      <w:proofErr w:type="spellStart"/>
      <w:r w:rsidRPr="000F3185">
        <w:t>Métropole</w:t>
      </w:r>
      <w:proofErr w:type="spellEnd"/>
      <w:r w:rsidRPr="000F3185">
        <w:t xml:space="preserve"> v roku 2023; ďalej poznamenáva, že stavebné povolenie by malo byť hotové v marci 2024, výstavba by sa mohla začať v lete 2024 a budova by mala byť hotová v roku 2026;</w:t>
      </w:r>
    </w:p>
    <w:p w:rsidR="00142FA1" w:rsidRPr="000F3185" w:rsidRDefault="00FE5197">
      <w:pPr>
        <w:pStyle w:val="NormalHanging12a"/>
      </w:pPr>
      <w:r w:rsidRPr="000F3185">
        <w:t>38.</w:t>
      </w:r>
      <w:r w:rsidRPr="000F3185">
        <w:tab/>
        <w:t xml:space="preserve">víta pokračujúce úsilie agentúry o posilnenie komunikácie vykonávanej rôznymi kanálmi s cieľom osloviť čo najširšiu verejnosť; berie na vedomie vývoj a spustenie nového webového sídla ERA v novembri 2022, ktoré poskytuje jasnejší, efektívnejší a moderný nástroj na prezentáciu príspevku agentúry železničnému sektoru a občanom EÚ vo všeobecnosti; berie na vedomie úsilie agentúry zorganizovať v roku 2022 deväť </w:t>
      </w:r>
      <w:proofErr w:type="spellStart"/>
      <w:r w:rsidRPr="000F3185">
        <w:t>webinárov</w:t>
      </w:r>
      <w:proofErr w:type="spellEnd"/>
      <w:r w:rsidRPr="000F3185">
        <w:t xml:space="preserve"> a pripraviť niekoľko publikácií a videí; víta skutočnosť, že agentúra si zachovala silnú prítomnosť v médiách a v roku 2022 posilnila prítomnosť vo svojich sociálnych médiách;</w:t>
      </w:r>
    </w:p>
    <w:p w:rsidR="00142FA1" w:rsidRPr="000F3185" w:rsidRDefault="00FE5197">
      <w:pPr>
        <w:pStyle w:val="NormalHanging12a"/>
      </w:pPr>
      <w:r w:rsidRPr="000F3185">
        <w:t>39.</w:t>
      </w:r>
      <w:r w:rsidRPr="000F3185">
        <w:tab/>
        <w:t>zdôrazňuje, že v roku 2022 európske železničné spoločnosti pokračovali v zotavovaní sa z pandémie ochorenia COVID-19; pokračujúca odolnosť železničného sektora spolu s nízkymi emisiami uhlíka sú dva základné faktory, ktoré prispievajú k návratu na úrovne spred pandémie v budúcnosti;</w:t>
      </w:r>
    </w:p>
    <w:p w:rsidR="00142FA1" w:rsidRPr="000F3185" w:rsidRDefault="00FE5197">
      <w:pPr>
        <w:pStyle w:val="NormalHanging12a"/>
      </w:pPr>
      <w:r w:rsidRPr="000F3185">
        <w:t>40.</w:t>
      </w:r>
      <w:r w:rsidRPr="000F3185">
        <w:tab/>
        <w:t>vyjadruje poľutovanie nad tým, že súčasné požiadavky na podávanie správ o nehodách a incidentoch v oblasti bezpečnosti železníc sú nejednotné naprieč Európou, obmedzené len na funkciu dohľadu a nie sú podporované vhodným podporným nástrojom, a preto vyzýva Komisiu, aby riešila tento nedostatok a poskytla na tento účel potrebné finančné prostriedky;</w:t>
      </w:r>
    </w:p>
    <w:p w:rsidR="00142FA1" w:rsidRPr="000F3185" w:rsidRDefault="00FE5197">
      <w:pPr>
        <w:pStyle w:val="NormalHanging12a"/>
      </w:pPr>
      <w:r w:rsidRPr="000F3185">
        <w:t>41.</w:t>
      </w:r>
      <w:r w:rsidRPr="000F3185">
        <w:tab/>
        <w:t xml:space="preserve">konštatuje, že kandidátske krajiny budú pri pristúpení k Únii už budú vykonávať rámec a </w:t>
      </w:r>
      <w:proofErr w:type="spellStart"/>
      <w:r w:rsidRPr="000F3185">
        <w:t>acquis</w:t>
      </w:r>
      <w:proofErr w:type="spellEnd"/>
      <w:r w:rsidRPr="000F3185">
        <w:t xml:space="preserve"> EÚ; poukazuje na to, že to občanom EÚ umožní využívať železničnú dopravu ako ekologický a bezpečný spôsob dopravy a prepravovať tovar z a do juhovýchodnej Európy, keďže koridory železničnej nákladnej dopravy v súčasnosti spájajú západný Balkán s EÚ; zdôrazňuje úlohu nástroja IPA a projektu pre západný Balkán pri podpore vykonávania smernice o </w:t>
      </w:r>
      <w:proofErr w:type="spellStart"/>
      <w:r w:rsidRPr="000F3185">
        <w:t>interoperabilite</w:t>
      </w:r>
      <w:proofErr w:type="spellEnd"/>
      <w:r w:rsidRPr="000F3185">
        <w:t xml:space="preserve"> a smernice o bezpečnosti medzi príjemcami </w:t>
      </w:r>
      <w:r w:rsidRPr="000F3185">
        <w:lastRenderedPageBreak/>
        <w:t>projektov; konštatuje tiež, že to poskytne základ pre otvorenie trhu so železničnými službami a plynulé cesty vlakom z a do tohto susedného regiónu;</w:t>
      </w:r>
    </w:p>
    <w:p w:rsidR="00142FA1" w:rsidRPr="000F3185" w:rsidRDefault="00FE5197">
      <w:pPr>
        <w:pStyle w:val="NormalCenter12a"/>
      </w:pPr>
      <w:r w:rsidRPr="000F3185">
        <w:t>°</w:t>
      </w:r>
    </w:p>
    <w:p w:rsidR="00142FA1" w:rsidRPr="000F3185" w:rsidRDefault="00FE5197">
      <w:pPr>
        <w:pStyle w:val="NormalCenter12a"/>
      </w:pPr>
      <w:r w:rsidRPr="000F3185">
        <w:t>°</w:t>
      </w:r>
      <w:r w:rsidRPr="000F3185">
        <w:tab/>
        <w:t>°</w:t>
      </w:r>
    </w:p>
    <w:p w:rsidR="00142FA1" w:rsidRPr="000F3185" w:rsidRDefault="00FE5197" w:rsidP="000F3185">
      <w:pPr>
        <w:pStyle w:val="NormalHanging12a"/>
      </w:pPr>
      <w:r w:rsidRPr="000F3185">
        <w:t>42.</w:t>
      </w:r>
      <w:r w:rsidRPr="000F3185">
        <w:tab/>
        <w:t>pokiaľ ide o ďalšie poznámky horizontálnej povahy, ktoré sú súčasťou rozhodnutia o absolutóriu, odvoláva sa na svoje uznesenie z 11. apríla 2024</w:t>
      </w:r>
      <w:r w:rsidRPr="000F3185">
        <w:rPr>
          <w:rStyle w:val="FootnoteReference"/>
        </w:rPr>
        <w:footnoteReference w:id="12"/>
      </w:r>
      <w:r w:rsidRPr="000F3185">
        <w:t xml:space="preserve"> o výkonnosti, finančnom riadení a kontrole agentúr.</w:t>
      </w:r>
    </w:p>
    <w:p w:rsidR="00142FA1" w:rsidRPr="000F3185" w:rsidRDefault="00142FA1">
      <w:pPr>
        <w:widowControl/>
      </w:pPr>
    </w:p>
    <w:sectPr w:rsidR="00142FA1" w:rsidRPr="000F3185">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2FA1" w:rsidRDefault="00FE5197">
      <w:r>
        <w:separator/>
      </w:r>
    </w:p>
  </w:endnote>
  <w:endnote w:type="continuationSeparator" w:id="0">
    <w:p w:rsidR="00142FA1" w:rsidRDefault="00FE5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FA1" w:rsidRDefault="00FE5197">
    <w:pPr>
      <w:pStyle w:val="EPFooter"/>
    </w:pPr>
    <w:r>
      <w:t>PE</w:t>
    </w:r>
    <w:r>
      <w:rPr>
        <w:rStyle w:val="HideTWBExt"/>
      </w:rPr>
      <w:t>&lt;NoPE&gt;</w:t>
    </w:r>
    <w:r>
      <w:t>753.528</w:t>
    </w:r>
    <w:r>
      <w:rPr>
        <w:rStyle w:val="HideTWBExt"/>
      </w:rPr>
      <w:t>&lt;/NoPE&gt;&lt;Version&gt;</w:t>
    </w:r>
    <w:r>
      <w:t>v02-00</w:t>
    </w:r>
    <w:r>
      <w:rPr>
        <w:rStyle w:val="HideTWBExt"/>
      </w:rPr>
      <w:t>&lt;/Version&gt;</w:t>
    </w:r>
    <w:r>
      <w:tab/>
    </w:r>
    <w:r>
      <w:fldChar w:fldCharType="begin"/>
    </w:r>
    <w:r>
      <w:instrText xml:space="preserve"> PAGE  \* MERGEFORMAT </w:instrText>
    </w:r>
    <w:r>
      <w:fldChar w:fldCharType="separate"/>
    </w:r>
    <w:r>
      <w:rPr>
        <w:noProof/>
      </w:rPr>
      <w:t>22</w:t>
    </w:r>
    <w:r>
      <w:fldChar w:fldCharType="end"/>
    </w:r>
    <w:r>
      <w:t>/</w:t>
    </w:r>
    <w:r w:rsidR="00E17D22">
      <w:fldChar w:fldCharType="begin"/>
    </w:r>
    <w:r w:rsidR="00E17D22">
      <w:instrText xml:space="preserve"> NUMPAGES  \* MERGEFORMAT </w:instrText>
    </w:r>
    <w:r w:rsidR="00E17D22">
      <w:fldChar w:fldCharType="separate"/>
    </w:r>
    <w:r>
      <w:rPr>
        <w:noProof/>
      </w:rPr>
      <w:t>24</w:t>
    </w:r>
    <w:r w:rsidR="00E17D22">
      <w:rPr>
        <w:noProof/>
      </w:rPr>
      <w:fldChar w:fldCharType="end"/>
    </w:r>
    <w:r>
      <w:tab/>
    </w:r>
    <w:r>
      <w:rPr>
        <w:rStyle w:val="HideTWBExt"/>
      </w:rPr>
      <w:t>&lt;PathFdR&gt;</w:t>
    </w:r>
    <w:r>
      <w:t>RR\1298731SK.docx</w:t>
    </w:r>
    <w:r>
      <w:rPr>
        <w:rStyle w:val="HideTWBExt"/>
      </w:rPr>
      <w:t>&lt;/PathFdR&gt;</w:t>
    </w:r>
  </w:p>
  <w:p w:rsidR="00142FA1" w:rsidRDefault="00FE5197">
    <w:pPr>
      <w:pStyle w:val="EPFooter2"/>
    </w:pPr>
    <w:r>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FA1" w:rsidRDefault="00142FA1"/>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FA1" w:rsidRDefault="00142FA1"/>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FA1" w:rsidRDefault="00142FA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2FA1" w:rsidRDefault="00FE5197">
      <w:r>
        <w:separator/>
      </w:r>
    </w:p>
  </w:footnote>
  <w:footnote w:type="continuationSeparator" w:id="0">
    <w:p w:rsidR="00142FA1" w:rsidRDefault="00FE5197">
      <w:r>
        <w:continuationSeparator/>
      </w:r>
    </w:p>
  </w:footnote>
  <w:footnote w:id="1">
    <w:p w:rsidR="00142FA1" w:rsidRDefault="00FE5197">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Ú. v. EÚ </w:t>
      </w:r>
      <w:r w:rsidR="00477CB5">
        <w:rPr>
          <w:sz w:val="24"/>
          <w:szCs w:val="24"/>
          <w:lang w:val="sk-SK"/>
        </w:rPr>
        <w:t xml:space="preserve">C, </w:t>
      </w:r>
      <w:r>
        <w:rPr>
          <w:sz w:val="24"/>
          <w:szCs w:val="24"/>
          <w:lang w:val="sk-SK"/>
        </w:rPr>
        <w:t>C/2023/594, 27.10.2023.</w:t>
      </w:r>
    </w:p>
  </w:footnote>
  <w:footnote w:id="2">
    <w:p w:rsidR="00142FA1" w:rsidRDefault="00FE5197">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Ú. v. EÚ </w:t>
      </w:r>
      <w:r w:rsidR="00477CB5">
        <w:rPr>
          <w:sz w:val="24"/>
          <w:szCs w:val="24"/>
          <w:lang w:val="sk-SK"/>
        </w:rPr>
        <w:t xml:space="preserve">C, </w:t>
      </w:r>
      <w:r>
        <w:rPr>
          <w:sz w:val="24"/>
          <w:szCs w:val="24"/>
          <w:lang w:val="sk-SK"/>
        </w:rPr>
        <w:t>C/2023/112, 12.10.2023.</w:t>
      </w:r>
    </w:p>
  </w:footnote>
  <w:footnote w:id="3">
    <w:p w:rsidR="00142FA1" w:rsidRDefault="00FE5197">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Ú. v. EÚ L 193, 30.7.2018, s. 1.</w:t>
      </w:r>
    </w:p>
  </w:footnote>
  <w:footnote w:id="4">
    <w:p w:rsidR="00142FA1" w:rsidRDefault="00FE5197">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Ú. v. EÚ L 138, 26.5.2016, s. 1.</w:t>
      </w:r>
    </w:p>
  </w:footnote>
  <w:footnote w:id="5">
    <w:p w:rsidR="00142FA1" w:rsidRDefault="00FE5197">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Ú. v. EÚ L 122, 10.5.2019, s. 1.</w:t>
      </w:r>
    </w:p>
  </w:footnote>
  <w:footnote w:id="6">
    <w:p w:rsidR="00142FA1" w:rsidRDefault="00FE5197">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Ú. v. EÚ </w:t>
      </w:r>
      <w:r w:rsidR="007D54C1">
        <w:rPr>
          <w:sz w:val="24"/>
          <w:szCs w:val="24"/>
          <w:lang w:val="sk-SK"/>
        </w:rPr>
        <w:t xml:space="preserve">C, </w:t>
      </w:r>
      <w:r>
        <w:rPr>
          <w:sz w:val="24"/>
          <w:szCs w:val="24"/>
          <w:lang w:val="sk-SK"/>
        </w:rPr>
        <w:t>C/2023/594, 27.10.2023.</w:t>
      </w:r>
    </w:p>
  </w:footnote>
  <w:footnote w:id="7">
    <w:p w:rsidR="00142FA1" w:rsidRDefault="00FE5197">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 xml:space="preserve">Ú. v. EÚ </w:t>
      </w:r>
      <w:r w:rsidR="007D54C1">
        <w:rPr>
          <w:sz w:val="24"/>
          <w:szCs w:val="24"/>
          <w:lang w:val="sk-SK"/>
        </w:rPr>
        <w:t xml:space="preserve">C, </w:t>
      </w:r>
      <w:r>
        <w:rPr>
          <w:sz w:val="24"/>
          <w:szCs w:val="24"/>
          <w:lang w:val="sk-SK"/>
        </w:rPr>
        <w:t>C/2023/112, 12.10.2023.</w:t>
      </w:r>
    </w:p>
  </w:footnote>
  <w:footnote w:id="8">
    <w:p w:rsidR="00142FA1" w:rsidRDefault="00FE5197">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Ú. v. EÚ L 193, 30.7.2018, s. 1.</w:t>
      </w:r>
    </w:p>
  </w:footnote>
  <w:footnote w:id="9">
    <w:p w:rsidR="00142FA1" w:rsidRDefault="00FE5197">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Ú. v. EÚ L 138, 26.5.2016, s. 1.</w:t>
      </w:r>
    </w:p>
  </w:footnote>
  <w:footnote w:id="10">
    <w:p w:rsidR="00142FA1" w:rsidRDefault="00FE5197">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Ú. v. EÚ L 122, 10.5.2019, s. 1.</w:t>
      </w:r>
    </w:p>
  </w:footnote>
  <w:footnote w:id="11">
    <w:p w:rsidR="00142FA1" w:rsidRDefault="00FE5197">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Ú. v. EÚ C 38, 31.1.2023, s. 51.</w:t>
      </w:r>
    </w:p>
  </w:footnote>
  <w:footnote w:id="12">
    <w:p w:rsidR="00142FA1" w:rsidRDefault="00FE5197">
      <w:pPr>
        <w:pStyle w:val="FootnoteText"/>
        <w:ind w:left="567" w:hanging="567"/>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Prijaté texty, P9_TA(2024)0</w:t>
      </w:r>
      <w:r w:rsidR="000F3185">
        <w:rPr>
          <w:sz w:val="24"/>
          <w:szCs w:val="24"/>
          <w:lang w:val="sk-SK"/>
        </w:rPr>
        <w:t>280</w:t>
      </w:r>
      <w:r>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FA1" w:rsidRDefault="00142FA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FA1" w:rsidRDefault="00142FA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FA1" w:rsidRDefault="00142FA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2/2024"/>
    <w:docVar w:name="dvlangue" w:val="SK"/>
    <w:docVar w:name="dvnumam" w:val="0"/>
    <w:docVar w:name="dvpe" w:val="753.528"/>
    <w:docVar w:name="dvrapporteur" w:val="Spravodajca: "/>
    <w:docVar w:name="dvtitre" w:val="1. Rozhodnutie Európskeho parlamentu z 11. apríla 2024 o absolutóriu za plnenie rozpočtu Železničnej agentúry Európskej únie za rozpočtový rok 2022(2023/2160(DEC))"/>
  </w:docVars>
  <w:rsids>
    <w:rsidRoot w:val="00142FA1"/>
    <w:rsid w:val="000F3185"/>
    <w:rsid w:val="00142FA1"/>
    <w:rsid w:val="00477CB5"/>
    <w:rsid w:val="004E3B08"/>
    <w:rsid w:val="007D54C1"/>
    <w:rsid w:val="007E12EE"/>
    <w:rsid w:val="008449A9"/>
    <w:rsid w:val="008D0221"/>
    <w:rsid w:val="00E17D22"/>
    <w:rsid w:val="00FE519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744699"/>
  <w15:chartTrackingRefBased/>
  <w15:docId w15:val="{AF97314C-FBE7-431A-BF25-3E2D1E95F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aliases w:val="Footnote Text Char1"/>
    <w:uiPriority w:val="99"/>
    <w:rPr>
      <w:b w:val="0"/>
      <w:vertAlign w:val="superscript"/>
    </w:rPr>
  </w:style>
  <w:style w:type="paragraph" w:styleId="FootnoteText">
    <w:name w:val="footnote text"/>
    <w:basedOn w:val="Normal"/>
    <w:link w:val="FootnoteTextChar"/>
    <w:uiPriority w:val="99"/>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pPr>
      <w:spacing w:before="480" w:after="24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NormalCenter12a">
    <w:name w:val="NormalCenter12a"/>
    <w:basedOn w:val="Normal"/>
    <w:pPr>
      <w:spacing w:after="240"/>
      <w:jc w:val="center"/>
    </w:pPr>
  </w:style>
  <w:style w:type="paragraph" w:styleId="Header">
    <w:name w:val="header"/>
    <w:basedOn w:val="Normal"/>
    <w:link w:val="HeaderChar"/>
    <w:pPr>
      <w:tabs>
        <w:tab w:val="center" w:pos="4513"/>
        <w:tab w:val="right" w:pos="9026"/>
      </w:tabs>
    </w:pPr>
  </w:style>
  <w:style w:type="character" w:customStyle="1" w:styleId="HeaderChar">
    <w:name w:val="Header Char"/>
    <w:basedOn w:val="DefaultParagraphFont"/>
    <w:link w:val="Header"/>
    <w:rPr>
      <w:sz w:val="24"/>
      <w:lang w:val="sk-SK"/>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Normal24a">
    <w:name w:val="Normal24a"/>
    <w:basedOn w:val="Normal"/>
    <w:pPr>
      <w:spacing w:after="480"/>
    </w:pPr>
  </w:style>
  <w:style w:type="paragraph" w:customStyle="1" w:styleId="Normal12a">
    <w:name w:val="Normal12a"/>
    <w:basedOn w:val="Normal"/>
    <w:pPr>
      <w:spacing w:after="240"/>
    </w:pPr>
  </w:style>
  <w:style w:type="paragraph" w:customStyle="1" w:styleId="PageHeadingNotTOC">
    <w:name w:val="PageHeadingNotTOC"/>
    <w:basedOn w:val="Normal"/>
    <w:pPr>
      <w:keepNext/>
      <w:spacing w:after="480"/>
      <w:jc w:val="center"/>
    </w:pPr>
    <w:rPr>
      <w:rFonts w:ascii="Arial" w:hAnsi="Arial" w:cs="Arial"/>
      <w:b/>
    </w:rPr>
  </w:style>
  <w:style w:type="paragraph" w:customStyle="1" w:styleId="RollCallSymbols14pt">
    <w:name w:val="RollCallSymbols14pt"/>
    <w:basedOn w:val="Normal"/>
    <w:pPr>
      <w:spacing w:before="120" w:after="120"/>
      <w:jc w:val="center"/>
    </w:pPr>
    <w:rPr>
      <w:rFonts w:ascii="Arial" w:hAnsi="Arial"/>
      <w:b/>
      <w:bCs/>
      <w:snapToGrid w:val="0"/>
      <w:sz w:val="28"/>
      <w:lang w:eastAsia="en-US"/>
    </w:rPr>
  </w:style>
  <w:style w:type="paragraph" w:customStyle="1" w:styleId="RollCallTabs">
    <w:name w:val="RollCallTabs"/>
    <w:basedOn w:val="Normal"/>
    <w:qFormat/>
    <w:pPr>
      <w:tabs>
        <w:tab w:val="center" w:pos="284"/>
        <w:tab w:val="left" w:pos="426"/>
      </w:tabs>
    </w:pPr>
    <w:rPr>
      <w:snapToGrid w:val="0"/>
      <w:lang w:eastAsia="en-US"/>
    </w:rPr>
  </w:style>
  <w:style w:type="paragraph" w:customStyle="1" w:styleId="RollCallVotes">
    <w:name w:val="RollCallVotes"/>
    <w:basedOn w:val="Normal"/>
    <w:pPr>
      <w:spacing w:before="120" w:after="120"/>
      <w:jc w:val="center"/>
    </w:pPr>
    <w:rPr>
      <w:b/>
      <w:bCs/>
      <w:snapToGrid w:val="0"/>
      <w:sz w:val="16"/>
      <w:lang w:eastAsia="en-US"/>
    </w:rPr>
  </w:style>
  <w:style w:type="paragraph" w:customStyle="1" w:styleId="RollCallTable">
    <w:name w:val="RollCallTable"/>
    <w:basedOn w:val="Normal"/>
    <w:pPr>
      <w:spacing w:before="120" w:after="120"/>
    </w:pPr>
    <w:rPr>
      <w:snapToGrid w:val="0"/>
      <w:sz w:val="16"/>
      <w:lang w:eastAsia="en-US"/>
    </w:rPr>
  </w:style>
  <w:style w:type="character" w:customStyle="1" w:styleId="NormalHanging12aChar">
    <w:name w:val="NormalHanging12a Char"/>
    <w:basedOn w:val="DefaultParagraphFont"/>
    <w:link w:val="NormalHanging12a"/>
    <w:rPr>
      <w:sz w:val="24"/>
      <w:lang w:val="sk-SK"/>
    </w:rPr>
  </w:style>
  <w:style w:type="paragraph" w:styleId="Footer">
    <w:name w:val="footer"/>
    <w:basedOn w:val="Normal"/>
    <w:link w:val="FooterChar"/>
    <w:pPr>
      <w:tabs>
        <w:tab w:val="center" w:pos="4513"/>
        <w:tab w:val="right" w:pos="9026"/>
      </w:tabs>
    </w:pPr>
  </w:style>
  <w:style w:type="character" w:customStyle="1" w:styleId="FooterChar">
    <w:name w:val="Footer Char"/>
    <w:basedOn w:val="DefaultParagraphFont"/>
    <w:link w:val="Footer"/>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814CBF-1BD1-4898-9E88-8B790E526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4482</Words>
  <Characters>27580</Characters>
  <Application>Microsoft Office Word</Application>
  <DocSecurity>0</DocSecurity>
  <Lines>229</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2024-05-15T11:49:00Z</dcterms:created>
  <dcterms:modified xsi:type="dcterms:W3CDTF">2024-05-15T11:49:00Z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P9_TA(2024)0253_</vt:lpwstr>
  </property>
  <property fmtid="{D5CDD505-2E9C-101B-9397-08002B2CF9AE}" pid="4" name="&lt;Type&gt;">
    <vt:lpwstr>RR</vt:lpwstr>
  </property>
</Properties>
</file>