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6F32" w:rsidTr="0010095E">
        <w:trPr>
          <w:trHeight w:hRule="exact" w:val="1418"/>
        </w:trPr>
        <w:tc>
          <w:tcPr>
            <w:tcW w:w="6804" w:type="dxa"/>
            <w:shd w:val="clear" w:color="auto" w:fill="auto"/>
            <w:vAlign w:val="center"/>
          </w:tcPr>
          <w:p w:rsidR="00751A4A" w:rsidRPr="00CF6F32" w:rsidRDefault="00CB5EA2" w:rsidP="0010095E">
            <w:pPr>
              <w:pStyle w:val="EPName"/>
            </w:pPr>
            <w:r w:rsidRPr="00CF6F32">
              <w:t>Evropski parlament</w:t>
            </w:r>
          </w:p>
          <w:p w:rsidR="00751A4A" w:rsidRPr="00CF6F32" w:rsidRDefault="00817416" w:rsidP="00756632">
            <w:pPr>
              <w:pStyle w:val="EPTerm"/>
              <w:rPr>
                <w:rStyle w:val="HideTWBExt"/>
                <w:noProof w:val="0"/>
                <w:vanish w:val="0"/>
                <w:color w:val="auto"/>
              </w:rPr>
            </w:pPr>
            <w:r w:rsidRPr="00CF6F32">
              <w:t>2019-2024</w:t>
            </w:r>
          </w:p>
        </w:tc>
        <w:tc>
          <w:tcPr>
            <w:tcW w:w="2268" w:type="dxa"/>
            <w:shd w:val="clear" w:color="auto" w:fill="auto"/>
          </w:tcPr>
          <w:p w:rsidR="00751A4A" w:rsidRPr="00CF6F32" w:rsidRDefault="00187494" w:rsidP="0010095E">
            <w:pPr>
              <w:pStyle w:val="EPLogo"/>
            </w:pPr>
            <w:r w:rsidRPr="00CF6F3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6F32" w:rsidRDefault="00D058B8" w:rsidP="004C5D52">
      <w:pPr>
        <w:pStyle w:val="LineTop"/>
      </w:pPr>
    </w:p>
    <w:p w:rsidR="00680577" w:rsidRPr="00CF6F32" w:rsidRDefault="00CB5EA2" w:rsidP="00680577">
      <w:pPr>
        <w:pStyle w:val="EPBodyTA1"/>
      </w:pPr>
      <w:r w:rsidRPr="00CF6F32">
        <w:t>SPREJETA BESEDILA</w:t>
      </w:r>
    </w:p>
    <w:p w:rsidR="00D058B8" w:rsidRPr="00CF6F32" w:rsidRDefault="00D058B8" w:rsidP="00D058B8">
      <w:pPr>
        <w:pStyle w:val="LineBottom"/>
      </w:pPr>
    </w:p>
    <w:p w:rsidR="00CB5EA2" w:rsidRPr="00CF6F32" w:rsidRDefault="00CB5EA2" w:rsidP="00CB5EA2">
      <w:pPr>
        <w:pStyle w:val="ATHeading1"/>
      </w:pPr>
      <w:bookmarkStart w:id="0" w:name="TANumber"/>
      <w:r w:rsidRPr="00CF6F32">
        <w:t>P9_TA(2024)</w:t>
      </w:r>
      <w:bookmarkEnd w:id="0"/>
      <w:r w:rsidR="00A00054">
        <w:t>0253</w:t>
      </w:r>
    </w:p>
    <w:p w:rsidR="00CB5EA2" w:rsidRPr="00CF6F32" w:rsidRDefault="00CB5EA2" w:rsidP="00CB5EA2">
      <w:pPr>
        <w:pStyle w:val="ATHeading2"/>
      </w:pPr>
      <w:bookmarkStart w:id="1" w:name="title"/>
      <w:r w:rsidRPr="00CF6F32">
        <w:t>Razrešnica za leto 2022: Agencija Evropske unije za železnice</w:t>
      </w:r>
      <w:bookmarkEnd w:id="1"/>
    </w:p>
    <w:p w:rsidR="00CB5EA2" w:rsidRPr="00CF6F32" w:rsidRDefault="00CB5EA2" w:rsidP="00CB5EA2">
      <w:pPr>
        <w:rPr>
          <w:i/>
          <w:vanish/>
        </w:rPr>
      </w:pPr>
      <w:r w:rsidRPr="00CF6F32">
        <w:rPr>
          <w:i/>
        </w:rPr>
        <w:fldChar w:fldCharType="begin"/>
      </w:r>
      <w:r w:rsidRPr="00CF6F32">
        <w:rPr>
          <w:i/>
        </w:rPr>
        <w:instrText xml:space="preserve"> TC"(</w:instrText>
      </w:r>
      <w:bookmarkStart w:id="2" w:name="DocNumber"/>
      <w:r w:rsidRPr="00CF6F32">
        <w:rPr>
          <w:i/>
        </w:rPr>
        <w:instrText>A9-0092/2024</w:instrText>
      </w:r>
      <w:bookmarkEnd w:id="2"/>
      <w:r w:rsidRPr="00CF6F32">
        <w:rPr>
          <w:i/>
        </w:rPr>
        <w:instrText xml:space="preserve"> - Poročevalec: Petri </w:instrText>
      </w:r>
      <w:proofErr w:type="spellStart"/>
      <w:r w:rsidRPr="00CF6F32">
        <w:rPr>
          <w:i/>
        </w:rPr>
        <w:instrText>Sarvamaa</w:instrText>
      </w:r>
      <w:proofErr w:type="spellEnd"/>
      <w:r w:rsidRPr="00CF6F32">
        <w:rPr>
          <w:i/>
        </w:rPr>
        <w:instrText xml:space="preserve">)"\l3 \n&gt; \* MERGEFORMAT </w:instrText>
      </w:r>
      <w:r w:rsidRPr="00CF6F32">
        <w:rPr>
          <w:i/>
        </w:rPr>
        <w:fldChar w:fldCharType="end"/>
      </w:r>
    </w:p>
    <w:p w:rsidR="00CB5EA2" w:rsidRPr="00CF6F32" w:rsidRDefault="00CB5EA2" w:rsidP="00CB5EA2">
      <w:pPr>
        <w:rPr>
          <w:vanish/>
        </w:rPr>
      </w:pPr>
      <w:bookmarkStart w:id="3" w:name="Commission"/>
      <w:r w:rsidRPr="00CF6F32">
        <w:rPr>
          <w:vanish/>
        </w:rPr>
        <w:t>Odbor za proračunski nadzor</w:t>
      </w:r>
      <w:bookmarkEnd w:id="3"/>
    </w:p>
    <w:p w:rsidR="00CB5EA2" w:rsidRPr="00CF6F32" w:rsidRDefault="00CB5EA2" w:rsidP="00CB5EA2">
      <w:pPr>
        <w:rPr>
          <w:vanish/>
        </w:rPr>
      </w:pPr>
      <w:bookmarkStart w:id="4" w:name="PE"/>
      <w:r w:rsidRPr="00CF6F32">
        <w:rPr>
          <w:vanish/>
        </w:rPr>
        <w:t>PE753.528</w:t>
      </w:r>
      <w:bookmarkEnd w:id="4"/>
    </w:p>
    <w:p w:rsidR="00CB5EA2" w:rsidRPr="00CF6F32" w:rsidRDefault="002F52CA" w:rsidP="00CB5EA2">
      <w:pPr>
        <w:pStyle w:val="ATHeading3"/>
      </w:pPr>
      <w:bookmarkStart w:id="5" w:name="Sujet"/>
      <w:r>
        <w:t xml:space="preserve">1. </w:t>
      </w:r>
      <w:r w:rsidR="00CB5EA2" w:rsidRPr="00CF6F32">
        <w:t xml:space="preserve">Sklep Evropskega parlamenta z dne </w:t>
      </w:r>
      <w:r>
        <w:t>11. aprila</w:t>
      </w:r>
      <w:r w:rsidR="00CB5EA2" w:rsidRPr="00CF6F32">
        <w:t xml:space="preserve"> 2024 o razrešnici glede izvrševanja proračuna Agencije Evropske unije za železnice za proračunsko leto 2022</w:t>
      </w:r>
      <w:bookmarkEnd w:id="5"/>
      <w:r w:rsidR="00CB5EA2" w:rsidRPr="00CF6F32">
        <w:t xml:space="preserve"> </w:t>
      </w:r>
      <w:bookmarkStart w:id="6" w:name="References"/>
      <w:r w:rsidR="00CB5EA2" w:rsidRPr="00CF6F32">
        <w:t>(2023/2160(DEC))</w:t>
      </w:r>
      <w:bookmarkEnd w:id="6"/>
    </w:p>
    <w:p w:rsidR="00C107A0" w:rsidRPr="00CF6F32" w:rsidRDefault="00C107A0" w:rsidP="00C107A0">
      <w:pPr>
        <w:pStyle w:val="EPComma"/>
      </w:pPr>
      <w:bookmarkStart w:id="7" w:name="TextBodyBegin"/>
      <w:bookmarkEnd w:id="7"/>
      <w:r w:rsidRPr="00CF6F32">
        <w:rPr>
          <w:i/>
        </w:rPr>
        <w:t>Evropski parlament</w:t>
      </w:r>
      <w:r w:rsidRPr="00CF6F32">
        <w:t>,</w:t>
      </w:r>
    </w:p>
    <w:p w:rsidR="00C107A0" w:rsidRPr="00CF6F32" w:rsidRDefault="00C107A0" w:rsidP="00C107A0">
      <w:pPr>
        <w:pStyle w:val="NormalHanging12a"/>
      </w:pPr>
      <w:r w:rsidRPr="00CF6F32">
        <w:t>–</w:t>
      </w:r>
      <w:r w:rsidRPr="00CF6F32">
        <w:tab/>
        <w:t>ob upoštevanju končnega zaključnega računa Agencije Evropske unije za železnice za proračunsko leto 2022,</w:t>
      </w:r>
    </w:p>
    <w:p w:rsidR="00C107A0" w:rsidRPr="00CF6F32" w:rsidRDefault="00C107A0" w:rsidP="00C107A0">
      <w:pPr>
        <w:pStyle w:val="NormalHanging12a"/>
      </w:pPr>
      <w:r w:rsidRPr="00CF6F32">
        <w:t>–</w:t>
      </w:r>
      <w:r w:rsidRPr="00CF6F32">
        <w:tab/>
        <w:t>ob upoštevanju letnega poročila Računskega sodišča o agencijah EU za proračunsko leto 2022 skupaj z odgovori agencij</w:t>
      </w:r>
      <w:r w:rsidRPr="00CF6F32">
        <w:rPr>
          <w:rStyle w:val="FootnoteReference"/>
        </w:rPr>
        <w:footnoteReference w:id="1"/>
      </w:r>
      <w:r w:rsidRPr="00CF6F32">
        <w:t>,</w:t>
      </w:r>
    </w:p>
    <w:p w:rsidR="00C107A0" w:rsidRPr="00CF6F32" w:rsidRDefault="00C107A0" w:rsidP="00C107A0">
      <w:pPr>
        <w:pStyle w:val="NormalHanging12a"/>
      </w:pPr>
      <w:r w:rsidRPr="00CF6F32">
        <w:t>–</w:t>
      </w:r>
      <w:r w:rsidRPr="00CF6F32">
        <w:tab/>
        <w:t>ob upoštevanju izjave o zanesljivosti</w:t>
      </w:r>
      <w:r w:rsidRPr="00CF6F32">
        <w:rPr>
          <w:rStyle w:val="FootnoteReference"/>
        </w:rPr>
        <w:footnoteReference w:id="2"/>
      </w:r>
      <w:r w:rsidRPr="00CF6F32">
        <w:t xml:space="preserve"> računovodskih izkazov ter zakonitosti in pravilnosti z njimi povezanih transakcij, ki jo je za proračunsko leto 2022 v skladu s členom 287 Pogodbe o delovanju Evropske unije pripravilo Računsko sodišče,</w:t>
      </w:r>
    </w:p>
    <w:p w:rsidR="00C107A0" w:rsidRPr="00CF6F32" w:rsidRDefault="00C107A0" w:rsidP="00C107A0">
      <w:pPr>
        <w:pStyle w:val="NormalHanging12a"/>
      </w:pPr>
      <w:r w:rsidRPr="00CF6F32">
        <w:t>–</w:t>
      </w:r>
      <w:r w:rsidRPr="00CF6F32">
        <w:tab/>
        <w:t>ob upoštevanju priporočila Sveta z dne 22. februarja 2024 o podelitvi razrešnice agenciji glede izvrševanja proračuna za proračunsko leto 2022 (</w:t>
      </w:r>
      <w:r w:rsidR="008A5C1A" w:rsidRPr="00BA634C">
        <w:t>0</w:t>
      </w:r>
      <w:r w:rsidR="008A5C1A">
        <w:t>618</w:t>
      </w:r>
      <w:r w:rsidR="008A5C1A" w:rsidRPr="00BA634C">
        <w:t>0</w:t>
      </w:r>
      <w:r w:rsidRPr="00CF6F32">
        <w:t>/2024 – C9</w:t>
      </w:r>
      <w:r w:rsidRPr="00CF6F32">
        <w:noBreakHyphen/>
      </w:r>
      <w:r w:rsidR="008A5C1A" w:rsidRPr="00BA634C">
        <w:t>00</w:t>
      </w:r>
      <w:r w:rsidR="008A5C1A">
        <w:t>98</w:t>
      </w:r>
      <w:r w:rsidRPr="00CF6F32">
        <w:t>/2024),</w:t>
      </w:r>
    </w:p>
    <w:p w:rsidR="00C107A0" w:rsidRPr="00CF6F32" w:rsidRDefault="00C107A0" w:rsidP="00C107A0">
      <w:pPr>
        <w:pStyle w:val="NormalHanging12a"/>
      </w:pPr>
      <w:r w:rsidRPr="00CF6F32">
        <w:t>–</w:t>
      </w:r>
      <w:r w:rsidRPr="00CF6F32">
        <w:tab/>
        <w:t>ob upoštevanju člena 319 Pogodbe o delovanju Evropske unije,</w:t>
      </w:r>
    </w:p>
    <w:p w:rsidR="00C107A0" w:rsidRPr="00CF6F32" w:rsidRDefault="00C107A0" w:rsidP="00C107A0">
      <w:pPr>
        <w:pStyle w:val="NormalHanging12a"/>
      </w:pPr>
      <w:r w:rsidRPr="00CF6F32">
        <w:t>–</w:t>
      </w:r>
      <w:r w:rsidRPr="00CF6F32">
        <w:tab/>
        <w:t xml:space="preserve">ob upoštevanju Uredbe (EU, </w:t>
      </w:r>
      <w:proofErr w:type="spellStart"/>
      <w:r w:rsidRPr="00CF6F32">
        <w:t>Euratom</w:t>
      </w:r>
      <w:proofErr w:type="spellEnd"/>
      <w:r w:rsidRPr="00CF6F32">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CF6F32">
        <w:t>Euratom</w:t>
      </w:r>
      <w:proofErr w:type="spellEnd"/>
      <w:r w:rsidRPr="00CF6F32">
        <w:t>) št. 966/2012</w:t>
      </w:r>
      <w:r w:rsidRPr="00CF6F32">
        <w:rPr>
          <w:rStyle w:val="FootnoteReference"/>
        </w:rPr>
        <w:footnoteReference w:id="3"/>
      </w:r>
      <w:r w:rsidRPr="00CF6F32">
        <w:t xml:space="preserve"> in zlasti člena 70,</w:t>
      </w:r>
    </w:p>
    <w:p w:rsidR="00C107A0" w:rsidRPr="00CF6F32" w:rsidRDefault="00C107A0" w:rsidP="00C107A0">
      <w:pPr>
        <w:pStyle w:val="NormalHanging12a"/>
      </w:pPr>
      <w:r w:rsidRPr="00CF6F32">
        <w:t>–</w:t>
      </w:r>
      <w:r w:rsidRPr="00CF6F32">
        <w:tab/>
        <w:t xml:space="preserve">ob upoštevanju Uredbe (EU) 2016/796 Evropskega parlamenta in Sveta z dne 11. maja </w:t>
      </w:r>
      <w:r w:rsidRPr="00CF6F32">
        <w:lastRenderedPageBreak/>
        <w:t>2016 o Agenciji Evropske unije za železnice in razveljavitvi Uredbe (ES) št. 881/2004</w:t>
      </w:r>
      <w:r w:rsidRPr="00CF6F32">
        <w:rPr>
          <w:rStyle w:val="FootnoteReference"/>
        </w:rPr>
        <w:footnoteReference w:id="4"/>
      </w:r>
      <w:r w:rsidRPr="00CF6F32">
        <w:t xml:space="preserve"> in zlasti člena 65,</w:t>
      </w:r>
    </w:p>
    <w:p w:rsidR="00C107A0" w:rsidRPr="00CF6F32" w:rsidRDefault="00C107A0" w:rsidP="00C107A0">
      <w:pPr>
        <w:pStyle w:val="NormalHanging12a"/>
      </w:pPr>
      <w:r w:rsidRPr="00CF6F32">
        <w:t>–</w:t>
      </w:r>
      <w:r w:rsidRPr="00CF6F32">
        <w:tab/>
        <w:t xml:space="preserve">ob upoštevanju Delegirane uredbe Komisije (EU) 2019/715 z dne 18. decembra 2018 o okvirni finančni uredbi za organe, ustanovljene na podlagi PDEU in Pogodbe </w:t>
      </w:r>
      <w:proofErr w:type="spellStart"/>
      <w:r w:rsidRPr="00CF6F32">
        <w:t>Euratom</w:t>
      </w:r>
      <w:proofErr w:type="spellEnd"/>
      <w:r w:rsidRPr="00CF6F32">
        <w:t xml:space="preserve">, iz člena 70 Uredbe (EU, </w:t>
      </w:r>
      <w:proofErr w:type="spellStart"/>
      <w:r w:rsidRPr="00CF6F32">
        <w:t>Euratom</w:t>
      </w:r>
      <w:proofErr w:type="spellEnd"/>
      <w:r w:rsidRPr="00CF6F32">
        <w:t>) 2018/1046 Evropskega parlamenta in Sveta</w:t>
      </w:r>
      <w:r w:rsidRPr="00CF6F32">
        <w:rPr>
          <w:rStyle w:val="FootnoteReference"/>
        </w:rPr>
        <w:footnoteReference w:id="5"/>
      </w:r>
      <w:r w:rsidRPr="00CF6F32">
        <w:t xml:space="preserve"> in zlasti člena 105,</w:t>
      </w:r>
    </w:p>
    <w:p w:rsidR="00C107A0" w:rsidRPr="00CF6F32" w:rsidRDefault="00C107A0" w:rsidP="00C107A0">
      <w:pPr>
        <w:pStyle w:val="NormalHanging12a"/>
      </w:pPr>
      <w:r w:rsidRPr="00CF6F32">
        <w:t>–</w:t>
      </w:r>
      <w:r w:rsidRPr="00CF6F32">
        <w:tab/>
        <w:t>ob upoštevanju člena 100 in Priloge V Poslovnika,</w:t>
      </w:r>
    </w:p>
    <w:p w:rsidR="00C107A0" w:rsidRPr="00CF6F32" w:rsidRDefault="00C107A0" w:rsidP="00C107A0">
      <w:pPr>
        <w:pStyle w:val="NormalHanging12a"/>
      </w:pPr>
      <w:r w:rsidRPr="00CF6F32">
        <w:t>–</w:t>
      </w:r>
      <w:r w:rsidRPr="00CF6F32">
        <w:tab/>
        <w:t>ob upoštevanju mnenja Odbora za promet in turizem,</w:t>
      </w:r>
    </w:p>
    <w:p w:rsidR="00C107A0" w:rsidRPr="00CF6F32" w:rsidRDefault="00C107A0" w:rsidP="00C107A0">
      <w:pPr>
        <w:pStyle w:val="NormalHanging12a"/>
      </w:pPr>
      <w:r w:rsidRPr="00CF6F32">
        <w:t>–</w:t>
      </w:r>
      <w:r w:rsidRPr="00CF6F32">
        <w:tab/>
        <w:t>ob upoštevanju poročila Odbora za proračunski nadzor (A9</w:t>
      </w:r>
      <w:r w:rsidRPr="00CF6F32">
        <w:noBreakHyphen/>
        <w:t>0092/2024),</w:t>
      </w:r>
    </w:p>
    <w:p w:rsidR="00C107A0" w:rsidRPr="00CF6F32" w:rsidRDefault="00C107A0" w:rsidP="00C107A0">
      <w:pPr>
        <w:pStyle w:val="NormalHanging12a"/>
      </w:pPr>
      <w:r w:rsidRPr="00CF6F32">
        <w:t>1.</w:t>
      </w:r>
      <w:r w:rsidRPr="00CF6F32">
        <w:tab/>
        <w:t>podeli razrešnico izvršnemu direktorju Agencije Evropske unije za železnice glede izvrševanja proračuna agencije za proračunsko leto 2022;</w:t>
      </w:r>
    </w:p>
    <w:p w:rsidR="00C107A0" w:rsidRPr="00CF6F32" w:rsidRDefault="00C107A0" w:rsidP="00C107A0">
      <w:pPr>
        <w:pStyle w:val="NormalHanging12a"/>
      </w:pPr>
      <w:r w:rsidRPr="00CF6F32">
        <w:t>2.</w:t>
      </w:r>
      <w:r w:rsidRPr="00CF6F32">
        <w:tab/>
        <w:t>navaja svoje pripombe v spodnji resoluciji;</w:t>
      </w:r>
    </w:p>
    <w:p w:rsidR="00C107A0" w:rsidRPr="00CF6F32" w:rsidRDefault="00C107A0" w:rsidP="00C107A0">
      <w:pPr>
        <w:pStyle w:val="NormalHanging12a"/>
      </w:pPr>
      <w:r w:rsidRPr="00CF6F32">
        <w:t>3.</w:t>
      </w:r>
      <w:r w:rsidRPr="00CF6F32">
        <w:tab/>
        <w:t xml:space="preserve">naroči svoji predsednici, naj ta sklep in resolucijo, ki je del sklepa, posreduje izvršnemu direktorju Agencije Evropske unije za železnice, Svetu, Komisiji in Računskemu sodišču in poskrbi za objavo v </w:t>
      </w:r>
      <w:r w:rsidRPr="00CF6F32">
        <w:rPr>
          <w:i/>
        </w:rPr>
        <w:t>Uradnem listu Evropske unije</w:t>
      </w:r>
      <w:r w:rsidRPr="00CF6F32">
        <w:t xml:space="preserve"> (serija L).</w:t>
      </w:r>
    </w:p>
    <w:p w:rsidR="00C107A0" w:rsidRPr="00CF6F32" w:rsidRDefault="00C107A0" w:rsidP="00C107A0"/>
    <w:p w:rsidR="00C107A0" w:rsidRPr="00CF6F32" w:rsidRDefault="00C107A0" w:rsidP="00C107A0">
      <w:pPr>
        <w:pStyle w:val="PageHeading"/>
        <w:sectPr w:rsidR="00C107A0" w:rsidRPr="00CF6F32" w:rsidSect="00CF6F3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107A0" w:rsidRPr="00CF6F32" w:rsidRDefault="00C107A0" w:rsidP="002F52CA">
      <w:pPr>
        <w:pStyle w:val="ATHeading3"/>
      </w:pPr>
      <w:bookmarkStart w:id="8" w:name="_Toc161839491"/>
      <w:r w:rsidRPr="00CF6F32">
        <w:lastRenderedPageBreak/>
        <w:t xml:space="preserve">2. </w:t>
      </w:r>
      <w:bookmarkEnd w:id="8"/>
      <w:r w:rsidR="002F52CA">
        <w:t xml:space="preserve">Sklep Evropskega parlamenta z dne 11. aprila 2024 </w:t>
      </w:r>
      <w:r w:rsidRPr="00CF6F32">
        <w:t>o zaključnem računu Agencije Evropske unije za železnice za proračunsko leto 2022</w:t>
      </w:r>
      <w:r w:rsidR="002F52CA">
        <w:t xml:space="preserve"> (2023</w:t>
      </w:r>
      <w:r w:rsidRPr="00CF6F32">
        <w:t>/2160(DEC))</w:t>
      </w:r>
    </w:p>
    <w:p w:rsidR="00C107A0" w:rsidRPr="00CF6F32" w:rsidRDefault="00C107A0" w:rsidP="00C107A0">
      <w:pPr>
        <w:pStyle w:val="EPComma"/>
      </w:pPr>
      <w:r w:rsidRPr="00CF6F32">
        <w:rPr>
          <w:i/>
        </w:rPr>
        <w:t>Evropski parlament</w:t>
      </w:r>
      <w:r w:rsidRPr="00CF6F32">
        <w:t>,</w:t>
      </w:r>
    </w:p>
    <w:p w:rsidR="00C107A0" w:rsidRPr="00CF6F32" w:rsidRDefault="00C107A0" w:rsidP="00C107A0">
      <w:pPr>
        <w:pStyle w:val="NormalHanging12a"/>
      </w:pPr>
      <w:r w:rsidRPr="00CF6F32">
        <w:t>–</w:t>
      </w:r>
      <w:r w:rsidRPr="00CF6F32">
        <w:tab/>
        <w:t>ob upoštevanju končnega zaključnega računa Agencije Evropske unije za železnice za proračunsko leto 2022,</w:t>
      </w:r>
    </w:p>
    <w:p w:rsidR="00C107A0" w:rsidRPr="00CF6F32" w:rsidRDefault="00C107A0" w:rsidP="00C107A0">
      <w:pPr>
        <w:pStyle w:val="NormalHanging12a"/>
      </w:pPr>
      <w:r w:rsidRPr="00CF6F32">
        <w:t>–</w:t>
      </w:r>
      <w:r w:rsidRPr="00CF6F32">
        <w:tab/>
        <w:t>ob upoštevanju letnega poročila Računskega sodišča o agencijah EU za proračunsko leto 2022 skupaj z odgovori agencij</w:t>
      </w:r>
      <w:r w:rsidRPr="00CF6F32">
        <w:rPr>
          <w:rStyle w:val="FootnoteReference"/>
        </w:rPr>
        <w:footnoteReference w:id="6"/>
      </w:r>
      <w:r w:rsidRPr="00CF6F32">
        <w:t>,</w:t>
      </w:r>
    </w:p>
    <w:p w:rsidR="00C107A0" w:rsidRPr="00CF6F32" w:rsidRDefault="00C107A0" w:rsidP="00C107A0">
      <w:pPr>
        <w:pStyle w:val="NormalHanging12a"/>
      </w:pPr>
      <w:r w:rsidRPr="00CF6F32">
        <w:t>–</w:t>
      </w:r>
      <w:r w:rsidRPr="00CF6F32">
        <w:tab/>
        <w:t>ob upoštevanju izjave o zanesljivosti</w:t>
      </w:r>
      <w:r w:rsidRPr="00CF6F32">
        <w:rPr>
          <w:rStyle w:val="FootnoteReference"/>
        </w:rPr>
        <w:footnoteReference w:id="7"/>
      </w:r>
      <w:r w:rsidRPr="00CF6F32">
        <w:t xml:space="preserve"> računovodskih izkazov ter zakonitosti in pravilnosti z njimi povezanih transakcij, ki jo je za proračunsko leto 2022 v skladu s členom 287 Pogodbe o delovanju Evropske unije pripravilo Računsko sodišče,</w:t>
      </w:r>
    </w:p>
    <w:p w:rsidR="00C107A0" w:rsidRPr="00CF6F32" w:rsidRDefault="00C107A0" w:rsidP="00C107A0">
      <w:pPr>
        <w:pStyle w:val="NormalHanging12a"/>
      </w:pPr>
      <w:r w:rsidRPr="00CF6F32">
        <w:t>–</w:t>
      </w:r>
      <w:r w:rsidRPr="00CF6F32">
        <w:tab/>
        <w:t>ob upoštevanju priporočila Sveta z dne 22. februarja 2024 o podelitvi razrešnice agenciji glede izvrševanja proračuna za proračunsko leto 2022 (</w:t>
      </w:r>
      <w:r w:rsidR="008A5C1A" w:rsidRPr="00BA634C">
        <w:t>0</w:t>
      </w:r>
      <w:r w:rsidR="008A5C1A">
        <w:t>618</w:t>
      </w:r>
      <w:r w:rsidR="008A5C1A" w:rsidRPr="00BA634C">
        <w:t>0</w:t>
      </w:r>
      <w:r w:rsidRPr="00CF6F32">
        <w:t>/2024 – C9</w:t>
      </w:r>
      <w:r w:rsidRPr="00CF6F32">
        <w:noBreakHyphen/>
      </w:r>
      <w:r w:rsidR="008A5C1A" w:rsidRPr="00BA634C">
        <w:t>00</w:t>
      </w:r>
      <w:r w:rsidR="008A5C1A">
        <w:t>98</w:t>
      </w:r>
      <w:r w:rsidRPr="00CF6F32">
        <w:t>/2024),</w:t>
      </w:r>
    </w:p>
    <w:p w:rsidR="00C107A0" w:rsidRPr="00CF6F32" w:rsidRDefault="00C107A0" w:rsidP="00C107A0">
      <w:pPr>
        <w:pStyle w:val="NormalHanging12a"/>
      </w:pPr>
      <w:r w:rsidRPr="00CF6F32">
        <w:t>–</w:t>
      </w:r>
      <w:r w:rsidRPr="00CF6F32">
        <w:tab/>
        <w:t>ob upoštevanju člena 319 Pogodbe o delovanju Evropske unije,</w:t>
      </w:r>
    </w:p>
    <w:p w:rsidR="00C107A0" w:rsidRPr="00CF6F32" w:rsidRDefault="00C107A0" w:rsidP="00C107A0">
      <w:pPr>
        <w:pStyle w:val="NormalHanging12a"/>
      </w:pPr>
      <w:r w:rsidRPr="00CF6F32">
        <w:t>–</w:t>
      </w:r>
      <w:r w:rsidRPr="00CF6F32">
        <w:tab/>
        <w:t xml:space="preserve">ob upoštevanju Uredbe (EU, </w:t>
      </w:r>
      <w:proofErr w:type="spellStart"/>
      <w:r w:rsidRPr="00CF6F32">
        <w:t>Euratom</w:t>
      </w:r>
      <w:proofErr w:type="spellEnd"/>
      <w:r w:rsidRPr="00CF6F32">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CF6F32">
        <w:t>Euratom</w:t>
      </w:r>
      <w:proofErr w:type="spellEnd"/>
      <w:r w:rsidRPr="00CF6F32">
        <w:t>) št. 966/2012</w:t>
      </w:r>
      <w:r w:rsidRPr="00CF6F32">
        <w:rPr>
          <w:rStyle w:val="FootnoteReference"/>
        </w:rPr>
        <w:footnoteReference w:id="8"/>
      </w:r>
      <w:r w:rsidRPr="00CF6F32">
        <w:t xml:space="preserve"> in zlasti člena 70,</w:t>
      </w:r>
    </w:p>
    <w:p w:rsidR="00C107A0" w:rsidRPr="00CF6F32" w:rsidRDefault="00C107A0" w:rsidP="00C107A0">
      <w:pPr>
        <w:pStyle w:val="NormalHanging12a"/>
      </w:pPr>
      <w:r w:rsidRPr="00CF6F32">
        <w:t>–</w:t>
      </w:r>
      <w:r w:rsidRPr="00CF6F32">
        <w:tab/>
        <w:t>ob upoštevanju Uredbe (EU) 2016/796 Evropskega parlamenta in Sveta z dne 11. maja 2016 o Agenciji Evropske unije za železnice in razveljavitvi Uredbe (ES) št. 881/2004</w:t>
      </w:r>
      <w:r w:rsidRPr="00CF6F32">
        <w:rPr>
          <w:rStyle w:val="FootnoteReference"/>
        </w:rPr>
        <w:footnoteReference w:id="9"/>
      </w:r>
      <w:r w:rsidRPr="00CF6F32">
        <w:t xml:space="preserve"> in zlasti člena 65,</w:t>
      </w:r>
    </w:p>
    <w:p w:rsidR="00C107A0" w:rsidRPr="00CF6F32" w:rsidRDefault="00C107A0" w:rsidP="00C107A0">
      <w:pPr>
        <w:pStyle w:val="NormalHanging12a"/>
      </w:pPr>
      <w:r w:rsidRPr="00CF6F32">
        <w:t>–</w:t>
      </w:r>
      <w:r w:rsidRPr="00CF6F32">
        <w:tab/>
        <w:t xml:space="preserve">ob upoštevanju Delegirane uredbe Komisije (EU) 2019/715 z dne 18. decembra 2018 o okvirni finančni uredbi za organe, ustanovljene na podlagi PDEU in Pogodbe </w:t>
      </w:r>
      <w:proofErr w:type="spellStart"/>
      <w:r w:rsidRPr="00CF6F32">
        <w:t>Euratom</w:t>
      </w:r>
      <w:proofErr w:type="spellEnd"/>
      <w:r w:rsidRPr="00CF6F32">
        <w:t xml:space="preserve">, iz člena 70 Uredbe (EU, </w:t>
      </w:r>
      <w:proofErr w:type="spellStart"/>
      <w:r w:rsidRPr="00CF6F32">
        <w:t>Euratom</w:t>
      </w:r>
      <w:proofErr w:type="spellEnd"/>
      <w:r w:rsidRPr="00CF6F32">
        <w:t>) 2018/1046 Evropskega parlamenta in Sveta</w:t>
      </w:r>
      <w:r w:rsidRPr="00CF6F32">
        <w:rPr>
          <w:rStyle w:val="FootnoteReference"/>
        </w:rPr>
        <w:footnoteReference w:id="10"/>
      </w:r>
      <w:r w:rsidRPr="00CF6F32">
        <w:t xml:space="preserve"> in zlasti člena 105,</w:t>
      </w:r>
    </w:p>
    <w:p w:rsidR="00C107A0" w:rsidRPr="00CF6F32" w:rsidRDefault="00C107A0" w:rsidP="00C107A0">
      <w:pPr>
        <w:pStyle w:val="NormalHanging12a"/>
      </w:pPr>
      <w:r w:rsidRPr="00CF6F32">
        <w:t>–</w:t>
      </w:r>
      <w:r w:rsidRPr="00CF6F32">
        <w:tab/>
        <w:t>ob upoštevanju člena 100 in Priloge V Poslovnika,</w:t>
      </w:r>
    </w:p>
    <w:p w:rsidR="00C107A0" w:rsidRPr="00CF6F32" w:rsidRDefault="00C107A0" w:rsidP="00C107A0">
      <w:pPr>
        <w:pStyle w:val="NormalHanging12a"/>
      </w:pPr>
      <w:r w:rsidRPr="00CF6F32">
        <w:t>–</w:t>
      </w:r>
      <w:r w:rsidRPr="00CF6F32">
        <w:tab/>
        <w:t>ob upoštevanju mnenja Odbora za promet in turizem,</w:t>
      </w:r>
    </w:p>
    <w:p w:rsidR="00C107A0" w:rsidRPr="00CF6F32" w:rsidRDefault="00C107A0" w:rsidP="00C107A0">
      <w:pPr>
        <w:pStyle w:val="NormalHanging12a"/>
      </w:pPr>
      <w:r w:rsidRPr="00CF6F32">
        <w:t>–</w:t>
      </w:r>
      <w:r w:rsidRPr="00CF6F32">
        <w:tab/>
        <w:t>ob upoštevanju poročila Odbora za proračunski nadzor (A9</w:t>
      </w:r>
      <w:r w:rsidRPr="00CF6F32">
        <w:noBreakHyphen/>
        <w:t>0092/2024),</w:t>
      </w:r>
    </w:p>
    <w:p w:rsidR="00C107A0" w:rsidRPr="00CF6F32" w:rsidRDefault="00C107A0" w:rsidP="00C107A0">
      <w:pPr>
        <w:pStyle w:val="NormalHanging12a"/>
      </w:pPr>
      <w:r w:rsidRPr="00CF6F32">
        <w:t>1.</w:t>
      </w:r>
      <w:r w:rsidRPr="00CF6F32">
        <w:tab/>
        <w:t>odobri zaključni račun Agencije Evropske unije za železnice za proračunsko leto 2022;</w:t>
      </w:r>
    </w:p>
    <w:p w:rsidR="00C107A0" w:rsidRPr="00CF6F32" w:rsidRDefault="00C107A0" w:rsidP="00C107A0">
      <w:pPr>
        <w:pStyle w:val="NormalHanging12a"/>
      </w:pPr>
      <w:r w:rsidRPr="00CF6F32">
        <w:t>2.</w:t>
      </w:r>
      <w:r w:rsidRPr="00CF6F32">
        <w:tab/>
        <w:t xml:space="preserve">naroči svoji predsednici, naj ta sklep posreduje izvršnemu direktorju Agencije Evropske unije za železnice, Svetu, Komisiji in Računskemu sodišču in poskrbi za objavo v </w:t>
      </w:r>
      <w:r w:rsidRPr="00CF6F32">
        <w:rPr>
          <w:i/>
        </w:rPr>
        <w:lastRenderedPageBreak/>
        <w:t>Uradnem listu Evropske unije</w:t>
      </w:r>
      <w:r w:rsidRPr="00CF6F32">
        <w:t xml:space="preserve"> (serija L).</w:t>
      </w:r>
    </w:p>
    <w:p w:rsidR="00C107A0" w:rsidRPr="00CF6F32" w:rsidRDefault="00C107A0" w:rsidP="00C107A0"/>
    <w:p w:rsidR="00C107A0" w:rsidRPr="00CF6F32" w:rsidRDefault="00C107A0" w:rsidP="00C107A0">
      <w:pPr>
        <w:pStyle w:val="PageHeading"/>
        <w:sectPr w:rsidR="00C107A0" w:rsidRPr="00CF6F32" w:rsidSect="00CF6F32">
          <w:footnotePr>
            <w:numRestart w:val="eachPage"/>
          </w:footnotePr>
          <w:endnotePr>
            <w:numFmt w:val="decimal"/>
          </w:endnotePr>
          <w:pgSz w:w="11906" w:h="16838" w:code="9"/>
          <w:pgMar w:top="1134" w:right="1418" w:bottom="1418" w:left="1418" w:header="567" w:footer="567" w:gutter="0"/>
          <w:cols w:space="720"/>
          <w:noEndnote/>
          <w:docGrid w:linePitch="326"/>
        </w:sectPr>
      </w:pPr>
    </w:p>
    <w:p w:rsidR="00C107A0" w:rsidRPr="00CF6F32" w:rsidRDefault="00C107A0" w:rsidP="002F52CA">
      <w:pPr>
        <w:pStyle w:val="ATHeading3"/>
      </w:pPr>
      <w:bookmarkStart w:id="9" w:name="_Toc161839492"/>
      <w:r w:rsidRPr="00CF6F32">
        <w:lastRenderedPageBreak/>
        <w:t xml:space="preserve">3. </w:t>
      </w:r>
      <w:bookmarkEnd w:id="9"/>
      <w:r w:rsidR="002F52CA">
        <w:t xml:space="preserve">Resolucija Evropskega parlamenta z dne 11. aprila 2024 </w:t>
      </w:r>
      <w:r w:rsidRPr="00CF6F32">
        <w:t>s pripombami, ki so del sklepa o razrešnici glede izvrševanja proračuna Agencije Evropske unije za železnice za proračunsko leto 2022</w:t>
      </w:r>
      <w:r w:rsidR="002F52CA">
        <w:t xml:space="preserve"> (2023</w:t>
      </w:r>
      <w:r w:rsidRPr="00CF6F32">
        <w:t>/2160(DEC))</w:t>
      </w:r>
    </w:p>
    <w:p w:rsidR="00C107A0" w:rsidRPr="00CF6F32" w:rsidRDefault="00C107A0" w:rsidP="00C107A0">
      <w:pPr>
        <w:pStyle w:val="EPComma"/>
      </w:pPr>
      <w:r w:rsidRPr="00CF6F32">
        <w:rPr>
          <w:i/>
        </w:rPr>
        <w:t>Evropski parlament</w:t>
      </w:r>
      <w:r w:rsidRPr="00CF6F32">
        <w:t>,</w:t>
      </w:r>
    </w:p>
    <w:p w:rsidR="00C107A0" w:rsidRPr="00CF6F32" w:rsidRDefault="00C107A0" w:rsidP="00C107A0">
      <w:pPr>
        <w:pStyle w:val="NormalHanging12a"/>
      </w:pPr>
      <w:r w:rsidRPr="00CF6F32">
        <w:t>–</w:t>
      </w:r>
      <w:r w:rsidRPr="00CF6F32">
        <w:tab/>
        <w:t>ob upoštevanju sklepa o razrešnici glede izvrševanja proračuna Agencije Evropske unije za železnice za proračunsko leto 2022,</w:t>
      </w:r>
    </w:p>
    <w:p w:rsidR="00C107A0" w:rsidRPr="00CF6F32" w:rsidRDefault="00C107A0" w:rsidP="00C107A0">
      <w:pPr>
        <w:pStyle w:val="NormalHanging12a"/>
      </w:pPr>
      <w:r w:rsidRPr="00CF6F32">
        <w:t>–</w:t>
      </w:r>
      <w:r w:rsidRPr="00CF6F32">
        <w:tab/>
        <w:t>ob upoštevanju člena 100 in Priloge V Poslovnika,</w:t>
      </w:r>
    </w:p>
    <w:p w:rsidR="00C107A0" w:rsidRPr="00CF6F32" w:rsidRDefault="00C107A0" w:rsidP="00C107A0">
      <w:pPr>
        <w:pStyle w:val="NormalHanging12a"/>
      </w:pPr>
      <w:r w:rsidRPr="00CF6F32">
        <w:t>–</w:t>
      </w:r>
      <w:r w:rsidRPr="00CF6F32">
        <w:tab/>
        <w:t>ob upoštevanju mnenja Odbora za promet in turizem,</w:t>
      </w:r>
    </w:p>
    <w:p w:rsidR="00C107A0" w:rsidRPr="00CF6F32" w:rsidRDefault="00C107A0" w:rsidP="00C107A0">
      <w:pPr>
        <w:pStyle w:val="NormalHanging12a"/>
      </w:pPr>
      <w:r w:rsidRPr="00CF6F32">
        <w:t>–</w:t>
      </w:r>
      <w:r w:rsidRPr="00CF6F32">
        <w:tab/>
        <w:t>ob upoštevanju poročila Odbora za proračunski nadzor (A9</w:t>
      </w:r>
      <w:r w:rsidRPr="00CF6F32">
        <w:noBreakHyphen/>
        <w:t>0092/2024),</w:t>
      </w:r>
    </w:p>
    <w:p w:rsidR="00C107A0" w:rsidRPr="00CF6F32" w:rsidRDefault="00C107A0" w:rsidP="00C107A0">
      <w:pPr>
        <w:spacing w:after="240"/>
        <w:ind w:left="567" w:hanging="567"/>
        <w:rPr>
          <w:szCs w:val="24"/>
        </w:rPr>
      </w:pPr>
      <w:r w:rsidRPr="00CF6F32">
        <w:t>A.</w:t>
      </w:r>
      <w:r w:rsidRPr="00CF6F32">
        <w:tab/>
        <w:t>ker je na podlagi poročila o prihodkih in odhodkih Agencije Evropske unije za železnice</w:t>
      </w:r>
      <w:r w:rsidRPr="00CF6F32">
        <w:rPr>
          <w:rStyle w:val="FootnoteReference"/>
          <w:szCs w:val="24"/>
        </w:rPr>
        <w:footnoteReference w:id="11"/>
      </w:r>
      <w:r w:rsidRPr="00CF6F32">
        <w:t xml:space="preserve"> (v nadaljnjem besedilu: agencija) njen proračun v proračunskem letu 2022 znašal 34.814.691 EUR, kar je 9,38 % več kot leta 2021; ker proračun agencije izvira predvsem iz proračuna Unije;</w:t>
      </w:r>
    </w:p>
    <w:p w:rsidR="00C107A0" w:rsidRPr="00CF6F32" w:rsidRDefault="00C107A0" w:rsidP="008A5C1A">
      <w:pPr>
        <w:spacing w:after="240"/>
        <w:ind w:left="567" w:hanging="567"/>
        <w:rPr>
          <w:szCs w:val="24"/>
        </w:rPr>
      </w:pPr>
      <w:r w:rsidRPr="00CF6F32">
        <w:t>B.</w:t>
      </w:r>
      <w:r w:rsidRPr="00CF6F32">
        <w:tab/>
        <w:t>ker je Računsko sodišče v poročilu o zaključnem računu agencije za proračunsko leto 2022 (v nadaljnjem besedilu: poročilo Računskega sodišča) navedlo, da je prejelo razumno zagotovilo o zanesljivosti računovodskih izkazov agencije ter o zakonitosti in pravilnosti z njimi povezanih transakcij;</w:t>
      </w:r>
    </w:p>
    <w:p w:rsidR="00C107A0" w:rsidRPr="00CF6F32" w:rsidRDefault="00C107A0" w:rsidP="00C107A0">
      <w:pPr>
        <w:spacing w:after="240"/>
        <w:ind w:left="567" w:hanging="567"/>
        <w:rPr>
          <w:b/>
          <w:i/>
          <w:szCs w:val="24"/>
        </w:rPr>
      </w:pPr>
      <w:r w:rsidRPr="00CF6F32">
        <w:rPr>
          <w:b/>
          <w:i/>
        </w:rPr>
        <w:t xml:space="preserve">Proračunsko upravljanje in finančno </w:t>
      </w:r>
      <w:proofErr w:type="spellStart"/>
      <w:r w:rsidRPr="00CF6F32">
        <w:rPr>
          <w:b/>
          <w:i/>
        </w:rPr>
        <w:t>poslovodenje</w:t>
      </w:r>
      <w:proofErr w:type="spellEnd"/>
    </w:p>
    <w:p w:rsidR="00C107A0" w:rsidRPr="00CF6F32" w:rsidRDefault="00C107A0" w:rsidP="00C107A0">
      <w:pPr>
        <w:spacing w:after="240"/>
        <w:ind w:left="567" w:hanging="567"/>
        <w:rPr>
          <w:szCs w:val="24"/>
        </w:rPr>
      </w:pPr>
      <w:r w:rsidRPr="00CF6F32">
        <w:t>1.</w:t>
      </w:r>
      <w:r w:rsidRPr="00CF6F32">
        <w:tab/>
        <w:t>ceni, da je stopnja izvrševanja proračuna pri odobritvah tekočega leta zaradi proračunskega spremljanja v proračunskem letu 2022 znašala 99,95 %, kar je nekoliko več (0,13 %) kot leta 2021; ugotavlja tudi, da je stopnja izvrševanja odobritev plačil v letu 2021 znašala 94,97 %, kar je 1,43 % več kot leta 2021; ugotavlja, da je realizacija proračuna v letu 2022 znašala 81.821 EUR, kar je več kot leta 2021, ko je znašala 69.638 EUR;</w:t>
      </w:r>
    </w:p>
    <w:p w:rsidR="00C107A0" w:rsidRPr="00CF6F32" w:rsidRDefault="00C107A0" w:rsidP="00C107A0">
      <w:pPr>
        <w:spacing w:after="240"/>
        <w:ind w:left="567" w:hanging="567"/>
        <w:rPr>
          <w:szCs w:val="24"/>
        </w:rPr>
      </w:pPr>
      <w:r w:rsidRPr="00CF6F32">
        <w:t>2.</w:t>
      </w:r>
      <w:r w:rsidRPr="00CF6F32">
        <w:tab/>
        <w:t>se zaveda, da so glavni vpliv na izvrševanje proračuna v letu 2022 povzročili svetovni zunanji dejavniki, kot so nestanovitne geopolitične razmere in energetska kriza, kar je privedlo do velike nestanovitnosti, ki je povzročila nepredvidljivo povečanje stroškov agencije; ugotavlja, da je agencija izvedla stroge ukrepe za nadzor svojih odhodkov, prilagodila raven pristojbin in dajatev (tj. zvišala se je urna postavka in se redno prilagajala stopnji inflacije) ter uvedla redni postopek spremljanja izvrševanja proračuna z več orodji za načrtovanje in spremljanje za avtomatizacijo tega procesa;</w:t>
      </w:r>
    </w:p>
    <w:p w:rsidR="00C107A0" w:rsidRPr="00CF6F32" w:rsidRDefault="00C107A0" w:rsidP="00C107A0">
      <w:pPr>
        <w:spacing w:after="240"/>
        <w:ind w:left="567" w:hanging="567"/>
        <w:rPr>
          <w:szCs w:val="24"/>
        </w:rPr>
      </w:pPr>
      <w:r w:rsidRPr="00CF6F32">
        <w:t>3.</w:t>
      </w:r>
      <w:r w:rsidRPr="00CF6F32">
        <w:tab/>
        <w:t xml:space="preserve">je seznanjen, da se je agencija pridružila pilotni fazi Komisije, da bi svoj proračunski in računovodski sistem nadomestila z novim sistemom SUMMA; v zvezi s tem v poročilu Računskega sodišča zasledil ugotovitve o pomanjkljivostih v agenciji, in sicer o pomanjkanju strategije obvladovanja tveganja in kontrole za izvajanje novega sistema, </w:t>
      </w:r>
      <w:proofErr w:type="spellStart"/>
      <w:r w:rsidRPr="00CF6F32">
        <w:t>neposodobljenih</w:t>
      </w:r>
      <w:proofErr w:type="spellEnd"/>
      <w:r w:rsidRPr="00CF6F32">
        <w:t xml:space="preserve"> finančnih krogih ter strategiji predhodnih in naknadnih pregledov, pa tudi v zvezi s tem, da se pravice do dodeljevanja uporabnikom ne preverjajo; na podlagi odgovorov agencije na ugotovitve Računskega sodišča ugotavlja, da so bili blažilni ukrepi proaktivno sprejeti v skladu s krivuljo učenja, tudi z začetkom posodabljanja </w:t>
      </w:r>
      <w:r w:rsidRPr="00CF6F32">
        <w:lastRenderedPageBreak/>
        <w:t>finančnih krogov agencije ter strategije predhodnih in naknadnih pregledov v drugi polovici leta 2022, pri čemer se pričakuje, da bodo ustrezni dokumenti posodobljeni leta 2023; poziva agencijo, naj v celoti obravnava ugotovitve Računskega sodišča in organ za podelitev razrešnice obvešča o napredku v zvezi s tem;</w:t>
      </w:r>
    </w:p>
    <w:p w:rsidR="00C107A0" w:rsidRPr="00CF6F32" w:rsidRDefault="00C107A0" w:rsidP="00C107A0">
      <w:pPr>
        <w:spacing w:after="240"/>
        <w:ind w:left="567" w:hanging="567"/>
        <w:rPr>
          <w:szCs w:val="24"/>
        </w:rPr>
      </w:pPr>
      <w:r w:rsidRPr="00CF6F32">
        <w:t>4.</w:t>
      </w:r>
      <w:r w:rsidRPr="00CF6F32">
        <w:tab/>
        <w:t>je seznanjen z ugotovitvijo Računskega sodišča, da agencija ni spoštovala roka, predvidenega v finančni uredbi za plačila, saj je 12,2 % plačil v letu 2022 zamujalo za več kot 30 dni; je seznanjen s stališčem agencije, da so bile te zamude povezane z izvajanjem novega sistema SUMMA in da so bili medtem sprejeti ukrepi za preprečevanje zamud pri plačilih;</w:t>
      </w:r>
    </w:p>
    <w:p w:rsidR="00C107A0" w:rsidRPr="00CF6F32" w:rsidRDefault="00C107A0" w:rsidP="001359AF">
      <w:pPr>
        <w:spacing w:after="240"/>
        <w:ind w:left="567" w:hanging="567"/>
        <w:rPr>
          <w:szCs w:val="24"/>
        </w:rPr>
      </w:pPr>
      <w:r w:rsidRPr="00CF6F32">
        <w:t>5.</w:t>
      </w:r>
      <w:r w:rsidRPr="00CF6F32">
        <w:tab/>
        <w:t xml:space="preserve">je prav tako seznanjen, da je agencija zamujala tudi pri izdajanju računov (ali zaznamkov o nastanku terjatve) za s tem povezane pristojbine in dajatve, pri čemer je te zamude prav tako pripisala izvajanju novega sistema SUMMA, in prejemanju izjav o stroških od nacionalnih varnostnih organov, s čimer je kršila ustrezne člene finančne uredbe in Uredbe </w:t>
      </w:r>
      <w:r w:rsidR="001359AF">
        <w:t>(EU</w:t>
      </w:r>
      <w:bookmarkStart w:id="10" w:name="_GoBack"/>
      <w:bookmarkEnd w:id="10"/>
      <w:r w:rsidR="001359AF">
        <w:t xml:space="preserve">) </w:t>
      </w:r>
      <w:r w:rsidRPr="00CF6F32">
        <w:t>2018/764 o pristojbinah in dajatvah agencije; na podlagi odgovorov agencije na ugotovitve Računskega sodišča ugotavlja, da bi bilo mogoče preprečiti ali zmanjšati take zamude, če bi nacionalni varnostni organi agenciji pravočasno predložili svoje izjave o stroških, da pa agencija nima nobenega vzvoda za zagotovitev, da bi nacionalni varnostni organi spoštovali roke;</w:t>
      </w:r>
    </w:p>
    <w:p w:rsidR="00C107A0" w:rsidRPr="00CF6F32" w:rsidRDefault="00C107A0" w:rsidP="00A00054">
      <w:pPr>
        <w:pStyle w:val="NormalHanging12a"/>
      </w:pPr>
      <w:r w:rsidRPr="00CF6F32">
        <w:t>6.</w:t>
      </w:r>
      <w:r w:rsidRPr="00CF6F32">
        <w:tab/>
        <w:t xml:space="preserve">opozarja, da ima agencija najmanjši proračun med prometnimi agencijami, in to kljub izjemnim okoljskim koristim železnic, ki jih je Komisija prednostno obravnavala; pozdravlja povečanje proračuna za proračunsko leto 2022, ki ga spremljajo različna prizadevanja za povečanje konkurenčnosti, izboljšanje varnosti in spodbujanje čezmejne </w:t>
      </w:r>
      <w:proofErr w:type="spellStart"/>
      <w:r w:rsidRPr="00CF6F32">
        <w:t>interoperabilnosti</w:t>
      </w:r>
      <w:proofErr w:type="spellEnd"/>
      <w:r w:rsidRPr="00CF6F32">
        <w:t>; kljub temu poziva k povečanju proračuna, da bo imela agencija bistvene vire in bo lahko delovala kot učinkovit organ ter uspešno izpolnjevala svoje naloge;</w:t>
      </w:r>
    </w:p>
    <w:p w:rsidR="00C107A0" w:rsidRPr="00CF6F32" w:rsidRDefault="00C107A0" w:rsidP="00C107A0">
      <w:pPr>
        <w:spacing w:after="240"/>
        <w:ind w:left="567" w:hanging="567"/>
        <w:rPr>
          <w:b/>
          <w:i/>
          <w:szCs w:val="24"/>
        </w:rPr>
      </w:pPr>
      <w:r w:rsidRPr="00CF6F32">
        <w:rPr>
          <w:b/>
          <w:i/>
        </w:rPr>
        <w:t>Uspešnost</w:t>
      </w:r>
    </w:p>
    <w:p w:rsidR="00C107A0" w:rsidRPr="00CF6F32" w:rsidRDefault="00C107A0" w:rsidP="00C107A0">
      <w:pPr>
        <w:spacing w:after="240"/>
        <w:ind w:left="567" w:hanging="567"/>
        <w:rPr>
          <w:szCs w:val="24"/>
        </w:rPr>
      </w:pPr>
      <w:r w:rsidRPr="00CF6F32">
        <w:t>7.</w:t>
      </w:r>
      <w:r w:rsidRPr="00CF6F32">
        <w:tab/>
        <w:t xml:space="preserve">je seznanjen, da je agencija poročala o 81,13-odstotni uresničitvi letnega delovnega programa za leto 2022 v primerjavi s 76,41 % v letu 2021, kar je dobrodošlo povečanje že drugo leto zapored; je seznanjen, da je agencija leta 2022 sprejela novo strukturo svojega delovnega programa, pri čemer je z delovnega programa, ki temelji na dejavnostih, prešla na strateški program na podlagi izjav, ter vzpostavila novo platformo za mesečno poročanje o vseh projektih in storitvah ter novo nadzorno ploščo za spremljanje; je seznanjen, da letni delovni program vključuje devet strateških izjav, oblikovanih glede na vpliv, ki ga agencija želi imeti na družbo; se zaveda, da je agencija uspešno izpolnila svoje strateške izjave in uresničila visoko stopnjo ciljev za različne </w:t>
      </w:r>
      <w:proofErr w:type="spellStart"/>
      <w:r w:rsidRPr="00CF6F32">
        <w:t>izložke</w:t>
      </w:r>
      <w:proofErr w:type="spellEnd"/>
      <w:r w:rsidRPr="00CF6F32">
        <w:t xml:space="preserve"> in določenih ključnih kazalnikov uspešnosti v letu 2022; vendar ugotavlja, da nekateri ključni kazalniki uspešnosti niso bili doseženi, na primer tisti, povezani z začetkom tretje faze študije za novo stavbo agencije v </w:t>
      </w:r>
      <w:proofErr w:type="spellStart"/>
      <w:r w:rsidRPr="00CF6F32">
        <w:t>Valenciennesu</w:t>
      </w:r>
      <w:proofErr w:type="spellEnd"/>
      <w:r w:rsidRPr="00CF6F32">
        <w:t>, izvajanjem novega sistema (ARES) za upravljanje dokumentov, plačili v pogodbenih rokih, povezanimi s sprejetjem novega finančnega sistema v pilotni fazi (SUMMA), in pobudo Ženske v prometu;</w:t>
      </w:r>
    </w:p>
    <w:p w:rsidR="00C107A0" w:rsidRPr="00CF6F32" w:rsidRDefault="00C107A0" w:rsidP="00C107A0">
      <w:pPr>
        <w:spacing w:after="240"/>
        <w:ind w:left="567" w:hanging="567"/>
      </w:pPr>
      <w:r w:rsidRPr="00CF6F32">
        <w:t>8.</w:t>
      </w:r>
      <w:r w:rsidRPr="00CF6F32">
        <w:tab/>
        <w:t xml:space="preserve">je seznanjen z nekaterimi glavnimi dosežki agencije v letu 2022, kot so sprejetje akcijskega načrta za krepitev za obdobje 2023–2027, pravočasna izdaja znatno povečanega števila dovoljenj za vozila (1861) in enotnih varnostnih spričeval (66), dokončanje priporočila agencije o revizijskem svežnju TSI za leto 2022, ki bo podprl krepitev železniške </w:t>
      </w:r>
      <w:proofErr w:type="spellStart"/>
      <w:r w:rsidRPr="00CF6F32">
        <w:t>interoperabilnosti</w:t>
      </w:r>
      <w:proofErr w:type="spellEnd"/>
      <w:r w:rsidRPr="00CF6F32">
        <w:t xml:space="preserve"> po vsej Uniji, začetek drugega revizijskega cikla </w:t>
      </w:r>
      <w:r w:rsidRPr="00CF6F32">
        <w:lastRenderedPageBreak/>
        <w:t>spremljanja nacionalnih varnostnih organov, ki zajema vse naloge, dodeljene nacionalnim varnostnim organom z zakonodajo Unije, predložitev izjemno velikega števila poročil (osem namesto treh pričakovanih) na področju priglašenih organov za spremljanje in delo v zvezi s prvim poročilom agencije na podlagi rezultatov raziskave o varnosti podnebja (ki se je začela izvajati leta 2021 in je prejela 46.500 odgovorov); izreka pohvalo agenciji za razvoj modulov varnostnega usposabljanja o kulturi pravičnosti, ki bi povečali varnost v celotnem sektorju, pa tudi za njene dosežke (zbirka orodij, smernice in gradivo za usposabljanje, ukrepi za ozaveščanje, moduli usposabljanja) v zvezi z vključevanjem človeških in organizacijskih dejavnikov, kar bo pripomoglo k izboljšanju uspešnosti in učinkovitosti na področju varnosti na železnici;</w:t>
      </w:r>
    </w:p>
    <w:p w:rsidR="00C107A0" w:rsidRPr="00CF6F32" w:rsidRDefault="00C107A0" w:rsidP="00C107A0">
      <w:pPr>
        <w:pStyle w:val="NormalHanging12a"/>
      </w:pPr>
      <w:r w:rsidRPr="00CF6F32">
        <w:t>9.</w:t>
      </w:r>
      <w:r w:rsidRPr="00CF6F32">
        <w:tab/>
        <w:t xml:space="preserve">poudarja, da je treba še naprej podpirati vse pobude za boljše skupno razumevanje tehničnih specifikacij za </w:t>
      </w:r>
      <w:proofErr w:type="spellStart"/>
      <w:r w:rsidRPr="00CF6F32">
        <w:t>interoperabilnost</w:t>
      </w:r>
      <w:proofErr w:type="spellEnd"/>
      <w:r w:rsidRPr="00CF6F32">
        <w:t xml:space="preserve">, ki prispevajo k razvoju močne in konkurenčne evropske železniške industrije; vztraja da je treba odločneje podpreti inovacije, povezane z železniškim tovornim prometom in </w:t>
      </w:r>
      <w:proofErr w:type="spellStart"/>
      <w:r w:rsidRPr="00CF6F32">
        <w:t>intermodalnimi</w:t>
      </w:r>
      <w:proofErr w:type="spellEnd"/>
      <w:r w:rsidRPr="00CF6F32">
        <w:t xml:space="preserve"> prevoznimi storitvami, da bi vzpostavili konkurenčno vključitev v logistično vrednostno verigo, pri čemer bosta v središču avtomatizacija in digitalizacija tovornega železniškega prometa;</w:t>
      </w:r>
    </w:p>
    <w:p w:rsidR="00C107A0" w:rsidRPr="00CF6F32" w:rsidRDefault="00C107A0" w:rsidP="00C107A0">
      <w:pPr>
        <w:spacing w:after="240"/>
        <w:ind w:left="567" w:hanging="567"/>
      </w:pPr>
      <w:r w:rsidRPr="00CF6F32">
        <w:t>10.</w:t>
      </w:r>
      <w:r w:rsidRPr="00CF6F32">
        <w:tab/>
        <w:t xml:space="preserve">pozdravlja poročilo o varnosti in </w:t>
      </w:r>
      <w:proofErr w:type="spellStart"/>
      <w:r w:rsidRPr="00CF6F32">
        <w:t>interoperabilnosti</w:t>
      </w:r>
      <w:proofErr w:type="spellEnd"/>
      <w:r w:rsidRPr="00CF6F32">
        <w:t xml:space="preserve"> železnic v EU; priznava stalno zavezanost cilju agencije za vzpostavitev enotnega evropskega železniškega območja in njeno stalno delo na ključnih področjih, kot sta zmanjšanje nacionalnih predpisov in zagotavljanje zrelosti tehničnih specifikacij za </w:t>
      </w:r>
      <w:proofErr w:type="spellStart"/>
      <w:r w:rsidRPr="00CF6F32">
        <w:t>interoperabilnost</w:t>
      </w:r>
      <w:proofErr w:type="spellEnd"/>
      <w:r w:rsidRPr="00CF6F32">
        <w:t xml:space="preserve">; ugotavlja, da bo tako pomembno delo podprlo krepitev </w:t>
      </w:r>
      <w:proofErr w:type="spellStart"/>
      <w:r w:rsidRPr="00CF6F32">
        <w:t>interoperabilnosti</w:t>
      </w:r>
      <w:proofErr w:type="spellEnd"/>
      <w:r w:rsidRPr="00CF6F32">
        <w:t xml:space="preserve"> železniškega prometa po vsej Evropi v skladu s političnimi pričakovanji Komisije; pozdravlja nadaljnji prispevek agencije na področju nacionalnih pravil s tem, da je leta 2022 prečistila preostala nacionalna tehnična pravila (za Češko in Nizozemsko), ki so ovirala nemoteno delovanje železniškega prometa;</w:t>
      </w:r>
    </w:p>
    <w:p w:rsidR="00C107A0" w:rsidRPr="00CF6F32" w:rsidRDefault="00C107A0" w:rsidP="00A00054">
      <w:pPr>
        <w:pStyle w:val="NormalHanging12a"/>
      </w:pPr>
      <w:r w:rsidRPr="00CF6F32">
        <w:t>11.</w:t>
      </w:r>
      <w:r w:rsidRPr="00CF6F32">
        <w:tab/>
        <w:t>izreka pohvalo agenciji za proaktiven odziv na priporočila, ki so bila del ugotovitev iz prejšnjega leta, in jo poziva, naj uvede učinkovite preglede za preverjanje statusa malih in srednjih podjetij pri prosilcih; pozdravlja izvajanje okrepljenega nadzora za preverjanje statusa malih in srednjih podjetij v zvezi z enotnimi varnostnimi spričevali in vlogami za dovoljenja za vozila; ugotavlja, da je agencija vodila več pobud, namenjenih spodbujanju železniškega prometa (potniškega in tovornega), vključno z ukrepi za usklajevanje mednarodnega železniškega prometa in za razvoj novih tehnologij, kot je avtomatizacija vlakov, ki prispevajo h koheziji, spodbujanju gospodarstva EU ter zelenemu in digitalnemu prehodu; pozdravlja, da je usmerjevalna skupina za železniški sveženj uspešno nadaljevala svoje dejavnosti, ki so namenjene ocenjevanju pripravljenosti agencije na četrti železniški sveženj;</w:t>
      </w:r>
    </w:p>
    <w:p w:rsidR="00C107A0" w:rsidRPr="00CF6F32" w:rsidRDefault="00C107A0" w:rsidP="00A00054">
      <w:pPr>
        <w:pStyle w:val="NormalHanging12a"/>
      </w:pPr>
      <w:r w:rsidRPr="00CF6F32">
        <w:t>12.</w:t>
      </w:r>
      <w:r w:rsidRPr="00CF6F32">
        <w:tab/>
        <w:t>poudarja, da je nezakonita in neupravičena ruska vojaška agresija proti Ukrajini pokazala ključno vlogo, ki jo lahko imajo železnice; ugotavlja, da so železnice od invazije na Ukrajino postale zelo pomembne za pretok ljudi in blaga, zlasti zaradi zaprtja ukrajinskega zračnega prostora za civilno letalstvo; poudarja, da ukrajinske železnice prevažajo vojake, ključne delavce, prebivalce in številne osnovne dobrine, kot so kmetijski proizvodi; priznava, da je agencija prispevala k sodelovanju EU z Ukrajino na področju odpornosti in razvoja železniških povezav, Ukrajino in prebivalce po svetu pa podprla z iskanjem dodatnih načinov za povečanje obsega prevoza ukrajinskih živilskih proizvodov po železnici;</w:t>
      </w:r>
    </w:p>
    <w:p w:rsidR="00C107A0" w:rsidRPr="00CF6F32" w:rsidRDefault="00C107A0" w:rsidP="00C107A0">
      <w:pPr>
        <w:spacing w:after="240"/>
        <w:ind w:left="567" w:hanging="567"/>
        <w:rPr>
          <w:b/>
          <w:i/>
          <w:szCs w:val="24"/>
        </w:rPr>
      </w:pPr>
      <w:r w:rsidRPr="00CF6F32">
        <w:rPr>
          <w:b/>
          <w:i/>
        </w:rPr>
        <w:t>Povečanje učinkovitosti</w:t>
      </w:r>
    </w:p>
    <w:p w:rsidR="00C107A0" w:rsidRPr="00CF6F32" w:rsidRDefault="00C107A0" w:rsidP="00C107A0">
      <w:pPr>
        <w:spacing w:after="240"/>
        <w:ind w:left="567" w:hanging="567"/>
        <w:rPr>
          <w:szCs w:val="24"/>
        </w:rPr>
      </w:pPr>
      <w:r w:rsidRPr="00CF6F32">
        <w:lastRenderedPageBreak/>
        <w:t>13.</w:t>
      </w:r>
      <w:r w:rsidRPr="00CF6F32">
        <w:tab/>
        <w:t>izreka pohvalo agenciji, ker je leta 2022 sprejela načrt za krepitev in akcijski načrt za krepitev za obdobje 2023–2027; je seznanjen, da je akcijski načrt za krepitev organiziran v skladu s sestavnimi deli in cilji ter je v središču strategije agencije za povečanje učinkovitosti v prihodnjih petih letih; ugotavlja, da je bila v agenciji ustanovljena notranja projektna skupina za akcijski načrt za krepitev in njegove mejnike ter da bo imenovan poročevalec, ki bo podpiral, usmerjal in spremljal izvajanje tega načrta;</w:t>
      </w:r>
    </w:p>
    <w:p w:rsidR="00C107A0" w:rsidRPr="00CF6F32" w:rsidRDefault="00C107A0" w:rsidP="00C107A0">
      <w:pPr>
        <w:spacing w:after="240"/>
        <w:ind w:left="567" w:hanging="567"/>
      </w:pPr>
      <w:r w:rsidRPr="00CF6F32">
        <w:t>14.</w:t>
      </w:r>
      <w:r w:rsidRPr="00CF6F32">
        <w:tab/>
        <w:t>je seznanjen, da je agencija zahvaljujoč akcijskemu načrtu za krepitev v letu 2022 prejela 12 dodatnih začasnih uslužbencev, kar je povečanje, ki je lahko dobra podlaga za začetek izvajanja načrta za krepitev; obžaluje, da dodelitve delovnih mest ni spremljala dodelitev ustreznih subvencij, ki so skupaj z izredno indeksacijo plač in splošnim zvišanjem komunalnih stroškov dodatno omejile načrtovanje dela in virov agencije, pri čemer je bilo za leto 2022 ugotovljenih več negativnih prednostnih nalog, kot je delo v zvezi z letnim pregledom uspešnosti nacionalnih nadzornih organov ali razvoj sistema za izmenjavo informacij o varnostnih dogodkih v Evropi;</w:t>
      </w:r>
    </w:p>
    <w:p w:rsidR="00C107A0" w:rsidRPr="00CF6F32" w:rsidRDefault="00C107A0" w:rsidP="00C107A0">
      <w:pPr>
        <w:spacing w:after="240"/>
        <w:ind w:left="567" w:hanging="567"/>
        <w:rPr>
          <w:szCs w:val="24"/>
        </w:rPr>
      </w:pPr>
      <w:r w:rsidRPr="00CF6F32">
        <w:t>15.</w:t>
      </w:r>
      <w:r w:rsidRPr="00CF6F32">
        <w:tab/>
        <w:t>je seznanjen, da so bile na podlagi stalnega preverjanja storitev, ki jih zagotavljajo agencije in službe Komisije, opredeljene „skupne zmogljivosti“, pri čemer agencija postopoma izvaja področja sodelovanja na področju organizacije srečanj, informacijske varnosti, človeških virov (npr. plačilne liste in upravljanje posameznih pravic uslužbencev, preiskave v zvezi s primeri nadlegovanja), javnih naročil (npr. </w:t>
      </w:r>
      <w:proofErr w:type="spellStart"/>
      <w:r w:rsidRPr="00CF6F32">
        <w:t>medagencijski</w:t>
      </w:r>
      <w:proofErr w:type="spellEnd"/>
      <w:r w:rsidRPr="00CF6F32">
        <w:t xml:space="preserve"> razpisi, skupne okvirne pogodbe), prevajanja in računovodstva; je seznanjen, da je agencija leta 2022 z Agencijo Evropske unije za varnost v letalstvu (EASA) sklenila memorandum o sodelovanju, ki vzpostavlja reden strukturiran dialog med tema agencijama in krepi izmenjavo informacij, znanja in izkušenj na različnih področjih sodelovanja, vključno s preučitvijo možnosti za prilagoditev ene od obstoječih rešitev IT v letalskem sektorju (Evropski koordinacijski center za sisteme poročanja o nesrečah in incidentih), da bi sistem za izmenjavo informacij na železnici prilagodili zbiranju in analizi poročanja o dogodkih v zvezi z varnostjo na železnici; poziva agencijo, naj organu za podelitev razrešnice poroča o izidu te faze preučevanja;</w:t>
      </w:r>
    </w:p>
    <w:p w:rsidR="00C107A0" w:rsidRPr="00CF6F32" w:rsidRDefault="00C107A0" w:rsidP="00C107A0">
      <w:pPr>
        <w:spacing w:after="240"/>
        <w:ind w:left="567" w:hanging="567"/>
        <w:rPr>
          <w:szCs w:val="24"/>
        </w:rPr>
      </w:pPr>
      <w:r w:rsidRPr="00CF6F32">
        <w:t>16.</w:t>
      </w:r>
      <w:r w:rsidRPr="00CF6F32">
        <w:tab/>
        <w:t xml:space="preserve">je seznanjen, da je bila prva strategija agencije za okoljsko upravljanje pripravljena in objavljena leta 2022 kot del enotnega programskega dokumenta agencije za obdobje 2023–2025; izreka pohvalo agenciji, ker je do konca leta 2022 predvidela in izvedla že nekatere pobude in ukrepe, kot so znižanje temperature v stavbi, popravilo/zamenjava pokvarjenih senzorjev za rešitev težave, da so luči v nekaterih pisarnah vedno prižgane, prilagoditev nastavitev luči za samodejni izklop in vzpostavitev skupine (prostovoljcev) ERA za okolje za spodbujanje ukrepov razširjanja, zbiranje zamisli in spodbujanje napredka okoljskih ukrepov; na podlagi poročila Računskega sodišča z zadovoljstvom ugotavlja, da je agencija med tistimi agencijami, ki nameravajo izboljšati energijsko učinkovitost in podnebno nevtralnost svojih dejavnosti; spodbuja jo, naj v ta načrt vključi količinsko opredeljena izhodišča in cilje za zmanjšanje </w:t>
      </w:r>
      <w:proofErr w:type="spellStart"/>
      <w:r w:rsidRPr="00CF6F32">
        <w:t>ogljičnega</w:t>
      </w:r>
      <w:proofErr w:type="spellEnd"/>
      <w:r w:rsidRPr="00CF6F32">
        <w:t xml:space="preserve"> odtisa in porabe energije ter zagotovi, da bo njena nova stavba v </w:t>
      </w:r>
      <w:proofErr w:type="spellStart"/>
      <w:r w:rsidRPr="00CF6F32">
        <w:t>Valenciennesu</w:t>
      </w:r>
      <w:proofErr w:type="spellEnd"/>
      <w:r w:rsidRPr="00CF6F32">
        <w:t xml:space="preserve"> certificirana v sistemu EMAS;</w:t>
      </w:r>
    </w:p>
    <w:p w:rsidR="00C107A0" w:rsidRPr="00CF6F32" w:rsidRDefault="00C107A0" w:rsidP="00C107A0">
      <w:pPr>
        <w:pStyle w:val="NormalHanging12a"/>
      </w:pPr>
      <w:r w:rsidRPr="00CF6F32">
        <w:t>17.</w:t>
      </w:r>
      <w:r w:rsidRPr="00CF6F32">
        <w:tab/>
        <w:t xml:space="preserve">se zaveda, da je agencija dosegla zelo visoko stopnjo digitalizacije, da bi povečala učinkovitost, odpravila postopke, pri katerih se uporablja papir, ter uvedla spletne rešitve, kot so elektronsko javno naročanje, izdajanje elektronskih računov in elektronske rezervacije potovanj, tudi z uvedbo sistema Komisije za upravljanje človeških virov (SYSPER) leta 2022 in migracijo v pilotni fazi na novi proračunski, računovodski in finančni sistem SUMMA; pozdravlja, da je v enotnem programskem </w:t>
      </w:r>
      <w:r w:rsidRPr="00CF6F32">
        <w:lastRenderedPageBreak/>
        <w:t>dokumentu agencije za obdobje 2023–2025 predvidena nadaljnja digitalizacija njenih delovnih postopkov;</w:t>
      </w:r>
    </w:p>
    <w:p w:rsidR="00C107A0" w:rsidRPr="00CF6F32" w:rsidRDefault="00C107A0" w:rsidP="00C107A0">
      <w:pPr>
        <w:pStyle w:val="NormalHanging12a"/>
      </w:pPr>
      <w:r w:rsidRPr="00CF6F32">
        <w:t>18.</w:t>
      </w:r>
      <w:r w:rsidRPr="00CF6F32">
        <w:tab/>
        <w:t xml:space="preserve">na podlagi mnenja agencije v zvezi z nadaljnjimi ukrepi, sprejetimi na podlagi razrešnice glede izvrševanja proračuna agencije za proračunsko leto 2021 (v nadaljnjem besedilu: mnenje agencije), ugotavlja, da je agencija izvedla več ukrepov za zmanjšanje stroškov operacij v </w:t>
      </w:r>
      <w:proofErr w:type="spellStart"/>
      <w:r w:rsidRPr="00CF6F32">
        <w:t>Lillu</w:t>
      </w:r>
      <w:proofErr w:type="spellEnd"/>
      <w:r w:rsidRPr="00CF6F32">
        <w:t xml:space="preserve"> (tj. bistveno so se zmanjšali službena potovanja in potni stroški za osebje in zunanje deležnike) in da je zaključila sedanjo najemno pogodbo za prostore v </w:t>
      </w:r>
      <w:proofErr w:type="spellStart"/>
      <w:r w:rsidRPr="00CF6F32">
        <w:t>Lillu</w:t>
      </w:r>
      <w:proofErr w:type="spellEnd"/>
      <w:r w:rsidRPr="00CF6F32">
        <w:t xml:space="preserve">; je seznanjen, da namerava agencija organizirati le obvezne seje v </w:t>
      </w:r>
      <w:proofErr w:type="spellStart"/>
      <w:r w:rsidRPr="00CF6F32">
        <w:t>Lillu</w:t>
      </w:r>
      <w:proofErr w:type="spellEnd"/>
      <w:r w:rsidRPr="00CF6F32">
        <w:t xml:space="preserve">, da bi upoštevala sklep Evropskega sveta o dvojnem sedežu </w:t>
      </w:r>
      <w:proofErr w:type="spellStart"/>
      <w:r w:rsidRPr="00CF6F32">
        <w:t>Lille-Valenciennes</w:t>
      </w:r>
      <w:proofErr w:type="spellEnd"/>
      <w:r w:rsidRPr="00CF6F32">
        <w:t>; je zadovoljen, da je agencija leta 2022 na podlagi ugotovitev Parlamenta odobrila strategijo za človeške vire (2023–2027), pri tem pa namenila poudarek izboljšanju svoje uspešnosti in učinkovitosti; je v zvezi s tem seznanjen s pozitivnimi izkušnjami in razvojem v agenciji pri uporabi ureditve dela na daljavo med pandemijo COVID-19, zaradi česar je agencija sklenila, da je nova običajna praksa, da je delo na daljavo za večino zaposlenih enako kot delo v pisarni, medtem ko je fizična prisotnost še vedno ključna za nekatera posebna delovna mesta;</w:t>
      </w:r>
    </w:p>
    <w:p w:rsidR="00C107A0" w:rsidRPr="00CF6F32" w:rsidRDefault="00C107A0" w:rsidP="00C107A0">
      <w:pPr>
        <w:spacing w:after="240"/>
        <w:ind w:left="567" w:hanging="567"/>
        <w:rPr>
          <w:b/>
          <w:i/>
          <w:szCs w:val="24"/>
        </w:rPr>
      </w:pPr>
      <w:r w:rsidRPr="00CF6F32">
        <w:rPr>
          <w:b/>
          <w:i/>
        </w:rPr>
        <w:t>Kadrovska politika</w:t>
      </w:r>
    </w:p>
    <w:p w:rsidR="00C107A0" w:rsidRPr="00CF6F32" w:rsidRDefault="00C107A0" w:rsidP="00C107A0">
      <w:pPr>
        <w:spacing w:after="240"/>
        <w:ind w:left="567" w:hanging="567"/>
        <w:rPr>
          <w:szCs w:val="24"/>
        </w:rPr>
      </w:pPr>
      <w:r w:rsidRPr="00CF6F32">
        <w:t>19.</w:t>
      </w:r>
      <w:r w:rsidRPr="00CF6F32">
        <w:tab/>
        <w:t>ugotavlja, da je bil kadrovski načrt na dan 31. decembra 2022 uresničen 97,40-odstotno, saj je bilo zaposlenih 150 od 154 začasnih uslužbencev, odobrenih v proračunu Unije (leta 2021 je bilo odobrenih 151 delovnih mest); ugotavlja tudi, da je za agencijo v letu 2022 delalo 36 pogodbenih uslužbencev (od 36 odobrenih) in 2 napotena nacionalna strokovnjaka (od 4 odobrenih);</w:t>
      </w:r>
    </w:p>
    <w:p w:rsidR="00C107A0" w:rsidRPr="00CF6F32" w:rsidRDefault="00C107A0" w:rsidP="00C107A0">
      <w:pPr>
        <w:pStyle w:val="NormalHanging12a"/>
      </w:pPr>
      <w:r w:rsidRPr="00CF6F32">
        <w:t>20.</w:t>
      </w:r>
      <w:r w:rsidRPr="00CF6F32">
        <w:tab/>
        <w:t>z zaskrbljenostjo ugotavlja, da zastopanost spolov v višjem vodstvu agencije ni uravnotežena, saj je 8 od 10 članov (80 %) moških; je seznanjen z zastopanostjo spolov v upravnem odboru agencije, v katerem je 34 od 64 članov (53 %) moških; je seznanjen tudi z zastopanostjo spolov med vsemi zaposlenimi v agenciji, kjer je 120 od 188 uslužbencev moških (64 %); opozarja, kako pomembno je zagotoviti uravnoteženo zastopanost spolov, in poziva agencijo, naj ta vidik v prihodnje upošteva pri zaposlovanju novih uslužbencev in imenovanjih v višjem vodstvu; je seznanjen, da si agencija nenehno prizadeva za odpravo razlik med spoloma s posebnimi projekti, kot na primer „Ženske v prometu“, da bi povečala zaposlovanje žensk in izboljšala enake možnosti v prometnem sektorju; v zvezi s tem ugotavlja, da si agencija prizadeva povečati število žensk v prometnem sektorju z rezultati, kot so hitri dogodki za mreženje in spletni seminarji, osredotočeni na raznolikost in vključevanje v letu 2022;</w:t>
      </w:r>
    </w:p>
    <w:p w:rsidR="00C107A0" w:rsidRPr="00CF6F32" w:rsidRDefault="00C107A0" w:rsidP="00C107A0">
      <w:pPr>
        <w:spacing w:after="240"/>
        <w:ind w:left="567" w:hanging="567"/>
        <w:rPr>
          <w:szCs w:val="24"/>
        </w:rPr>
      </w:pPr>
      <w:r w:rsidRPr="00CF6F32">
        <w:t>21.</w:t>
      </w:r>
      <w:r w:rsidRPr="00CF6F32">
        <w:tab/>
        <w:t>na podlagi mnenja agencije ugotavlja, da je agencija v drugi polovici leta 2022 izvedla participativno revizijo glede na spol, katere ugotovitve so bile nato uporabljene za pomoč pri določanju prednostnih nalog med cilji strategije agencije za človeške vire za obdobje 2023–2027 in so služile kot prispevek k dokumentu, v katerem so opisane zaveze vodstvene ekipe agencije za raznolikost in vključevanje; ugotavlja tudi, da so opredeljeni konkretni kratkoročni ukrepi za izboljšanje raznolikosti in vključenosti v agencijo na vseh ravneh, npr. delo na področju novačenja in zaposlovanja (uporaba rezervnih seznamov, vključitev, mentorstvo);</w:t>
      </w:r>
    </w:p>
    <w:p w:rsidR="00C107A0" w:rsidRPr="00CF6F32" w:rsidRDefault="00C107A0" w:rsidP="00C107A0">
      <w:pPr>
        <w:pStyle w:val="NormalHanging12a"/>
      </w:pPr>
      <w:r w:rsidRPr="00CF6F32">
        <w:t>22.</w:t>
      </w:r>
      <w:r w:rsidRPr="00CF6F32">
        <w:tab/>
        <w:t>pozdravlja, da si agencija prizadeva doseči geografsko uravnoteženost uslužbencev, zato k prijavi na delovno mesto spodbuja kandidate iz vseh držav članic; ugotavlja, da se začasna delovna mesta objavljajo v vseh jezikih EU in da se razpisi ne objavljajo le na spletnem mestu agencije, temveč tudi na ravni stalnih predstavništev držav članic;</w:t>
      </w:r>
    </w:p>
    <w:p w:rsidR="00C107A0" w:rsidRPr="00CF6F32" w:rsidRDefault="00C107A0" w:rsidP="00C107A0">
      <w:pPr>
        <w:spacing w:after="240"/>
        <w:ind w:left="567" w:hanging="567"/>
        <w:rPr>
          <w:szCs w:val="24"/>
        </w:rPr>
      </w:pPr>
      <w:r w:rsidRPr="00CF6F32">
        <w:lastRenderedPageBreak/>
        <w:t>23.</w:t>
      </w:r>
      <w:r w:rsidRPr="00CF6F32">
        <w:tab/>
        <w:t>na podlagi odgovorov agencije na vprašanja Parlamenta za pisni odgovor ugotavlja, da so bili v zvezi s prijavljenimi primeri nadlegovanja v agenciji, ki jih obravnavajo notranji zaupni svetovalci, v register vpisani štirje uslužbenci, pri čemer sta bila dva konec leta 2022 izbrisana iz njega, ne da bi bila opravljena preiskava ali sprejet sklep; spodbuja agencijo, naj še naprej razvija svoje politike in metode za učinkovitejše preprečevanje takšnih primerov v prihodnosti;</w:t>
      </w:r>
    </w:p>
    <w:p w:rsidR="00C107A0" w:rsidRPr="00CF6F32" w:rsidRDefault="00C107A0" w:rsidP="00C107A0">
      <w:pPr>
        <w:spacing w:after="240"/>
        <w:ind w:left="567" w:hanging="567"/>
        <w:rPr>
          <w:b/>
          <w:i/>
          <w:szCs w:val="24"/>
        </w:rPr>
      </w:pPr>
      <w:r w:rsidRPr="00CF6F32">
        <w:rPr>
          <w:b/>
          <w:i/>
        </w:rPr>
        <w:t>Javna naročila</w:t>
      </w:r>
    </w:p>
    <w:p w:rsidR="00C107A0" w:rsidRPr="00CF6F32" w:rsidRDefault="00C107A0" w:rsidP="00C107A0">
      <w:pPr>
        <w:spacing w:after="240"/>
        <w:ind w:left="567" w:hanging="567"/>
        <w:rPr>
          <w:szCs w:val="24"/>
        </w:rPr>
      </w:pPr>
      <w:r w:rsidRPr="00CF6F32">
        <w:t>24.</w:t>
      </w:r>
      <w:r w:rsidRPr="00CF6F32">
        <w:tab/>
        <w:t>je seznanjen, da je agencija v letu 2022 izvedla dva odprta razpisa za zbiranje ponudb, tri postopke s pogajanji in eno ponovno odpiranje natečaja ter dva odprta razpisa za zbiranje ponudb in tri postopke s pogajanji, ki so se financirali iz upravnih odobritev;</w:t>
      </w:r>
    </w:p>
    <w:p w:rsidR="00C107A0" w:rsidRPr="00CF6F32" w:rsidRDefault="00C107A0" w:rsidP="00C107A0">
      <w:pPr>
        <w:spacing w:after="240"/>
        <w:ind w:left="567" w:hanging="567"/>
      </w:pPr>
      <w:r w:rsidRPr="00CF6F32">
        <w:t>25.</w:t>
      </w:r>
      <w:r w:rsidRPr="00CF6F32">
        <w:tab/>
        <w:t>na podlagi odgovorov agencije na vprašanja Parlamenta za pisni odgovor ugotavlja, da se zelena javna naročila izvajajo in da je to ena od pobud/ukrepov strategije agencije za okoljsko upravljanje;</w:t>
      </w:r>
    </w:p>
    <w:p w:rsidR="00C107A0" w:rsidRPr="00CF6F32" w:rsidRDefault="00C107A0" w:rsidP="00C107A0">
      <w:pPr>
        <w:spacing w:after="240"/>
        <w:ind w:left="567" w:hanging="567"/>
        <w:rPr>
          <w:szCs w:val="24"/>
        </w:rPr>
      </w:pPr>
      <w:r w:rsidRPr="00CF6F32">
        <w:t>26.</w:t>
      </w:r>
      <w:r w:rsidRPr="00CF6F32">
        <w:tab/>
        <w:t>na podlagi odgovorov agencije na vprašanja organa za podelitev razrešnice ugotavlja, da so bili procesi javnih naročil agencije v letu 2022 že v celoti digitalizirani; pozdravlja dejstvo, da je agencija julija 2023 začela uporabljati orodje za upravljanje javnih naročil;</w:t>
      </w:r>
    </w:p>
    <w:p w:rsidR="00C107A0" w:rsidRPr="00CF6F32" w:rsidRDefault="00C107A0" w:rsidP="00C107A0">
      <w:pPr>
        <w:spacing w:after="240"/>
        <w:ind w:left="567" w:hanging="567"/>
        <w:rPr>
          <w:b/>
          <w:i/>
          <w:szCs w:val="24"/>
        </w:rPr>
      </w:pPr>
      <w:r w:rsidRPr="00CF6F32">
        <w:rPr>
          <w:b/>
          <w:i/>
        </w:rPr>
        <w:t>Preprečevanje in obvladovanje nasprotij interesov ter preglednost</w:t>
      </w:r>
    </w:p>
    <w:p w:rsidR="00C107A0" w:rsidRPr="00CF6F32" w:rsidRDefault="00C107A0" w:rsidP="00C107A0">
      <w:pPr>
        <w:spacing w:after="240"/>
        <w:ind w:left="567" w:hanging="567"/>
        <w:rPr>
          <w:szCs w:val="24"/>
        </w:rPr>
      </w:pPr>
      <w:r w:rsidRPr="00CF6F32">
        <w:t>27.</w:t>
      </w:r>
      <w:r w:rsidRPr="00CF6F32">
        <w:tab/>
        <w:t>ugotavlja, da je agencija na svojem spletnem mestu objavila življenjepise in izjave o interesih članov upravnega odbora in višjega vodstva; ugotavlja, da agencija ne objavlja življenjepisov zunanjih in notranjih strokovnjakov;</w:t>
      </w:r>
    </w:p>
    <w:p w:rsidR="00C107A0" w:rsidRPr="00CF6F32" w:rsidRDefault="00C107A0" w:rsidP="00C107A0">
      <w:pPr>
        <w:spacing w:after="240"/>
        <w:ind w:left="567" w:hanging="567"/>
        <w:rPr>
          <w:bCs/>
          <w:szCs w:val="24"/>
        </w:rPr>
      </w:pPr>
      <w:r w:rsidRPr="00CF6F32">
        <w:t>28.</w:t>
      </w:r>
      <w:r w:rsidRPr="00CF6F32">
        <w:tab/>
        <w:t>pozdravlja prizadevanja agencije, da bi povečala preglednost svojih dejavnosti, tako da na svojem spletnem mestu redno objavlja informacije o vseh sestankih izvršnega direktorja z organizacijami ali samozaposlenimi osebami; ugotavlja, da agencija uporablja več mehanizmov za ugotavljanje in preprečevanje nasprotij interesov, in sicer s seznamom interesov, ki spadajo v posebne kategorije (npr. poklicni, družinski), pregledom izjav o interesih, zahtevanjem spontanih izjav o odsotnosti nasprotja interesov in rednim usposabljanjem;</w:t>
      </w:r>
    </w:p>
    <w:p w:rsidR="00C107A0" w:rsidRPr="00CF6F32" w:rsidRDefault="00C107A0" w:rsidP="00C107A0">
      <w:pPr>
        <w:spacing w:after="240"/>
        <w:ind w:left="567" w:hanging="567"/>
      </w:pPr>
      <w:r w:rsidRPr="00CF6F32">
        <w:t>29.</w:t>
      </w:r>
      <w:r w:rsidRPr="00CF6F32">
        <w:tab/>
        <w:t xml:space="preserve">izreka pohvalo agenciji za postopke </w:t>
      </w:r>
      <w:proofErr w:type="spellStart"/>
      <w:r w:rsidRPr="00CF6F32">
        <w:t>žvižgaštva</w:t>
      </w:r>
      <w:proofErr w:type="spellEnd"/>
      <w:r w:rsidRPr="00CF6F32">
        <w:t>, prek katerih lahko uslužbenci prijavijo morebitne konflikte brez strahu pred povračilnimi ukrepi; v zvezi s tem ugotavlja, da so bili leta 2022 na ravni članov upravnega odbora in uslužbencev agencije sporočeni morebitni primeri nasprotja interesov, pri čemer so bili na sestankih upravnega odbora sprejeti in zabeleženi blažilni ukrepi ali dokumentirani v izjavah o interesih zadevnih uslužbencev;</w:t>
      </w:r>
    </w:p>
    <w:p w:rsidR="00C107A0" w:rsidRPr="00CF6F32" w:rsidRDefault="00C107A0" w:rsidP="00C107A0">
      <w:pPr>
        <w:spacing w:after="240"/>
        <w:ind w:left="567" w:hanging="567"/>
      </w:pPr>
      <w:r w:rsidRPr="00CF6F32">
        <w:t>30.</w:t>
      </w:r>
      <w:r w:rsidRPr="00CF6F32">
        <w:tab/>
        <w:t>na podlagi odgovorov agencije na vprašanja Parlamenta za pisni odgovor ugotavlja, da ima agencija vzpostavljene postopke za obravnavanje morebitnih primerov „vrtljivih vrat“ v primeru nekdanjih uslužbencev; v zvezi s tem obžaluje, da agencija ne izvaja sistematičnega spremljanja skladnosti z veljavnimi pravili, kar pomeni, da lahko neprijavljene situacije „vrtljivih vrat“ ostanejo neodkrite ali da ni mogoče zagotoviti skladnosti s predhodnimi navodili za uslužbence, ki so zapustili agencijo;</w:t>
      </w:r>
    </w:p>
    <w:p w:rsidR="00C107A0" w:rsidRPr="00CF6F32" w:rsidRDefault="00C107A0" w:rsidP="00C107A0">
      <w:pPr>
        <w:spacing w:after="240"/>
        <w:ind w:left="567" w:hanging="567"/>
        <w:rPr>
          <w:szCs w:val="24"/>
        </w:rPr>
      </w:pPr>
      <w:r w:rsidRPr="00CF6F32">
        <w:t>31.</w:t>
      </w:r>
      <w:r w:rsidRPr="00CF6F32">
        <w:tab/>
        <w:t xml:space="preserve">je seznanjen, da je agencija nadaljevala usposabljanje o etiki in boju proti goljufijam, ki je obvezno za vse zaposlene in del štiriletnega tekočega cikla usposabljanja, da bi se ob koncu cikla dosegla 100-odstotna udeležba; ugotavlja, da je skupna stopnja udeležbe v </w:t>
      </w:r>
      <w:r w:rsidRPr="00CF6F32">
        <w:lastRenderedPageBreak/>
        <w:t>letu 2022 znašala 22,1 % za boj proti goljufijam in 31,11 % za etiko ter da sta obe usposabljanji prilagojeni glede na okolje tveganja agencije;</w:t>
      </w:r>
    </w:p>
    <w:p w:rsidR="00C107A0" w:rsidRPr="00CF6F32" w:rsidRDefault="00C107A0" w:rsidP="00C107A0">
      <w:pPr>
        <w:spacing w:after="240"/>
        <w:ind w:left="567" w:hanging="567"/>
        <w:rPr>
          <w:szCs w:val="24"/>
        </w:rPr>
      </w:pPr>
      <w:r w:rsidRPr="00CF6F32">
        <w:rPr>
          <w:b/>
          <w:i/>
        </w:rPr>
        <w:t>Notranja kontrola</w:t>
      </w:r>
    </w:p>
    <w:p w:rsidR="00C107A0" w:rsidRPr="00CF6F32" w:rsidRDefault="00C107A0" w:rsidP="00C107A0">
      <w:pPr>
        <w:spacing w:after="240"/>
        <w:ind w:left="567" w:hanging="567"/>
        <w:rPr>
          <w:szCs w:val="24"/>
        </w:rPr>
      </w:pPr>
      <w:r w:rsidRPr="00CF6F32">
        <w:t>32.</w:t>
      </w:r>
      <w:r w:rsidRPr="00CF6F32">
        <w:tab/>
        <w:t>na podlagi poročila Računskega sodišča z zaskrbljenostjo ugotavlja nekatere pomanjkljivosti v upravljavskih in kontrolnih sistemih agencije, in sicer odsotnost politike za razvrščanje in varovanje občutljivih informacij ter uporabo neveljavnih metod odobritve, razen fizičnih ali kvalificiranih elektronskih podpisov, na področju postopkov javnih naročil; na podlagi odgovorov agencije na ugotovitve Računskega sodišča ugotavlja, da so bile te pomanjkljivosti medtem odpravljene z različnimi dejavnostmi in ukrepi; poziva Računsko sodišče, naj te dejavnosti in ukrepe vključi v svoje nadaljnje revizije;</w:t>
      </w:r>
    </w:p>
    <w:p w:rsidR="00C107A0" w:rsidRPr="00CF6F32" w:rsidRDefault="00C107A0" w:rsidP="00C107A0">
      <w:pPr>
        <w:spacing w:after="240"/>
        <w:ind w:left="567" w:hanging="567"/>
      </w:pPr>
      <w:r w:rsidRPr="00CF6F32">
        <w:t>33.</w:t>
      </w:r>
      <w:r w:rsidRPr="00CF6F32">
        <w:tab/>
        <w:t xml:space="preserve">na podlagi mnenja agencije ugotavlja, da je agencija v zvezi s priporočili službe za notranjo revizijo po reviziji upravljanja informacij in varnosti informacij, opravljeni leta 2019, izvedla zelo pomembno priporočilo o okviru za upravljanje podatkov ter pomembno priporočilo o podatkih in operacijah IT (ki jih je služba za notranjo revizijo že zaključila), medtem ko poteka delo za izvajanje preostalih treh priporočil v letu 2023 (o </w:t>
      </w:r>
      <w:proofErr w:type="spellStart"/>
      <w:r w:rsidRPr="00CF6F32">
        <w:t>interoperabilnosti</w:t>
      </w:r>
      <w:proofErr w:type="spellEnd"/>
      <w:r w:rsidRPr="00CF6F32">
        <w:t xml:space="preserve"> in kakovosti podatkov, varnosti podatkov in IT ter kontinuiteti IT in fizični varnosti); poziva agencijo, naj proračunskemu organu poroča o napredku v zvezi s tem;</w:t>
      </w:r>
    </w:p>
    <w:p w:rsidR="00C107A0" w:rsidRPr="00CF6F32" w:rsidRDefault="00C107A0" w:rsidP="00C107A0">
      <w:pPr>
        <w:spacing w:after="240"/>
        <w:ind w:left="567" w:hanging="567"/>
        <w:rPr>
          <w:szCs w:val="24"/>
        </w:rPr>
      </w:pPr>
      <w:r w:rsidRPr="00CF6F32">
        <w:t>34.</w:t>
      </w:r>
      <w:r w:rsidRPr="00CF6F32">
        <w:tab/>
        <w:t>je seznanjen, da je v agenciji vsako odstopanje od uveljavljenega procesa ali postopka dokumentirano, utemeljeno in odobreno na ustrezni vodstveni ravni; z zadovoljstvom ugotavlja, da se je število zabeleženih neskladnosti zmanjšalo s 35 v letu 2021 na 28 v letu 2022; ugotavlja, da je bilo leta 2022 zabeleženih 28 neskladnosti v zvezi z upoštevanjem, na primer, upravnih pravil (odstopanje od pravil o delu na daljavo), postopkov/pravil javnih naročil (nepravilna uporaba postopka s pogajanji), pravil o službenih potovanjih (izvedba službenega potovanja brez odobrenega naloga za službeno potovanje) ter pravil na področjih, kot so upravljanje pogodb, obveznosti in izbira osebja; ugotavlja, da je bilo 13 od 28 neskladnosti izjemnih (predhodnih neskladnosti) ter pregledno dokumentiranih in utemeljenih, na primer zaradi zagotavljanja neprekinjenega poslovanja ali ekonomskih razlogov; pozdravlja dejstvo, da je agencija uvedla blažilne ukrepe ali ukrepe spremljanja za obravnavo vseh neskladnosti; poziva agencijo, naj še naprej izvaja na tveganju temelječe in redne ocene delovanja glavnih področij notranje kontrole, ki podpirajo proces dajanja zagotovil;</w:t>
      </w:r>
    </w:p>
    <w:p w:rsidR="00C107A0" w:rsidRPr="00CF6F32" w:rsidRDefault="00C107A0" w:rsidP="00C107A0">
      <w:pPr>
        <w:spacing w:after="240"/>
        <w:ind w:left="567" w:hanging="567"/>
        <w:rPr>
          <w:szCs w:val="24"/>
        </w:rPr>
      </w:pPr>
      <w:r w:rsidRPr="00CF6F32">
        <w:t>35.</w:t>
      </w:r>
      <w:r w:rsidRPr="00CF6F32">
        <w:tab/>
        <w:t>je seznanjen, da je agencija leta 2022 izvedla oceno tveganja v skladu z letnim strateškim načrtovanjem ter skozi vse leto stalno pregledovala ustreznost tveganj in z njimi povezanih blažilnih ukrepov; je seznanjen z velikimi izzivi/tveganji, ugotovljenimi v zvezi z izvrševanjem proračuna, izvajanjem novega korporativnega finančnega orodja IT (SUMMA), kadrovskimi omejitvami, vprašanji informacijske varnosti in posledicami COVID-19;</w:t>
      </w:r>
    </w:p>
    <w:p w:rsidR="00C107A0" w:rsidRPr="00CF6F32" w:rsidRDefault="00C107A0" w:rsidP="00C107A0">
      <w:pPr>
        <w:spacing w:after="240"/>
        <w:ind w:left="567" w:hanging="567"/>
        <w:rPr>
          <w:szCs w:val="24"/>
        </w:rPr>
      </w:pPr>
      <w:r w:rsidRPr="00CF6F32">
        <w:t>36.</w:t>
      </w:r>
      <w:r w:rsidRPr="00CF6F32">
        <w:tab/>
        <w:t>je seznanjen, da je bila preiskava urada OLAF decembra 2022 zaključena brez ugotovitev ali dodatnih priporočil;</w:t>
      </w:r>
    </w:p>
    <w:p w:rsidR="00C107A0" w:rsidRPr="00CF6F32" w:rsidRDefault="00C107A0" w:rsidP="00C107A0">
      <w:pPr>
        <w:spacing w:after="240"/>
        <w:ind w:left="567" w:hanging="567"/>
        <w:rPr>
          <w:szCs w:val="24"/>
        </w:rPr>
      </w:pPr>
      <w:r w:rsidRPr="00CF6F32">
        <w:rPr>
          <w:b/>
          <w:i/>
        </w:rPr>
        <w:t>Druge pripombe</w:t>
      </w:r>
    </w:p>
    <w:p w:rsidR="00C107A0" w:rsidRPr="00CF6F32" w:rsidRDefault="00C107A0" w:rsidP="00C107A0">
      <w:pPr>
        <w:tabs>
          <w:tab w:val="left" w:pos="567"/>
        </w:tabs>
        <w:spacing w:after="240"/>
        <w:ind w:left="567" w:hanging="567"/>
        <w:rPr>
          <w:szCs w:val="24"/>
        </w:rPr>
      </w:pPr>
      <w:r w:rsidRPr="00CF6F32">
        <w:t>37.</w:t>
      </w:r>
      <w:r w:rsidRPr="00CF6F32">
        <w:tab/>
        <w:t xml:space="preserve">je seznanjen, da je izvršni direktor po ukrepih, sprejetih z Evropskim parlamentom in Svetom v zvezi z novo stavbo agencije, upravnemu odboru poročal o več sestankih s </w:t>
      </w:r>
      <w:r w:rsidRPr="00CF6F32">
        <w:lastRenderedPageBreak/>
        <w:t xml:space="preserve">skupnostjo </w:t>
      </w:r>
      <w:proofErr w:type="spellStart"/>
      <w:r w:rsidRPr="00CF6F32">
        <w:t>Valenciennes</w:t>
      </w:r>
      <w:proofErr w:type="spellEnd"/>
      <w:r w:rsidRPr="00CF6F32">
        <w:t xml:space="preserve"> Métropole v letu 2023; ugotavlja tudi, da bi moralo biti gradbeno dovoljenje pripravljeno marca 2024, gradnja bi se lahko začela poleti 2024, stavba pa bi bila na voljo leta 2026;</w:t>
      </w:r>
    </w:p>
    <w:p w:rsidR="00C107A0" w:rsidRPr="00CF6F32" w:rsidRDefault="00C107A0" w:rsidP="00C107A0">
      <w:pPr>
        <w:pStyle w:val="NormalHanging12a"/>
      </w:pPr>
      <w:r w:rsidRPr="00CF6F32">
        <w:t>38.</w:t>
      </w:r>
      <w:r w:rsidRPr="00CF6F32">
        <w:tab/>
        <w:t>pozdravlja stalna prizadevanja agencije za boljše komuniciranje, ki se izvaja prek različnih kanalov, da bi dosegla čim večjo javnost; je seznanjen, da je bilo oblikovano in novembra 2022 uvedeno novo spletno mesto ERA, ki ponuja jasnejše, racionalizirano in sodobno orodje za predstavitev prispevka agencije k železniškemu sektorju in državljanom EU na splošno; je seznanjen s prizadevanji agencije, da bi v letu 2022 organizirala devet spletnih seminarjev ter pripravila več publikacij in videoposnetkov; pozdravlja, da je agencija v letu 2022 ohranila močno prisotnost v medijih in povečala število sledilcev v družbenih medijih;</w:t>
      </w:r>
    </w:p>
    <w:p w:rsidR="00C107A0" w:rsidRPr="00CF6F32" w:rsidRDefault="00C107A0" w:rsidP="00C107A0">
      <w:pPr>
        <w:pStyle w:val="NormalHanging12a"/>
        <w:jc w:val="both"/>
      </w:pPr>
      <w:r w:rsidRPr="00CF6F32">
        <w:t>39.</w:t>
      </w:r>
      <w:r w:rsidRPr="00CF6F32">
        <w:tab/>
        <w:t>poudarja, da so evropska železniška podjetja v letu 2022 nadaljevala okrevanje po pandemiji covida-19 in da so stalna odpornost železniškega sektorja in nizke emisije ogljika bistveni dejavniki, ki prispevajo k temu, da se bo v prihodnosti vrnilo na raven pred pandemijo;</w:t>
      </w:r>
    </w:p>
    <w:p w:rsidR="00C107A0" w:rsidRPr="00CF6F32" w:rsidRDefault="00C107A0" w:rsidP="00C107A0">
      <w:pPr>
        <w:pStyle w:val="NormalHanging12a"/>
        <w:jc w:val="both"/>
      </w:pPr>
      <w:r w:rsidRPr="00CF6F32">
        <w:t>40.</w:t>
      </w:r>
      <w:r w:rsidRPr="00CF6F32">
        <w:tab/>
        <w:t>obžaluje, da so sedanje zahteve glede poročanja o nesrečah in incidentih v zvezi z varnostjo na železnici razdrobljene po Evropi, omejene na nadzorno funkcijo in niso podprte z ustreznim orodjem, zato poziva Komisijo, naj odpravi to vrzel in v ta namen zagotovi potrebna finančna sredstva;</w:t>
      </w:r>
    </w:p>
    <w:p w:rsidR="00C107A0" w:rsidRPr="00CF6F32" w:rsidRDefault="00C107A0" w:rsidP="00C107A0">
      <w:pPr>
        <w:tabs>
          <w:tab w:val="left" w:pos="567"/>
        </w:tabs>
        <w:spacing w:after="240"/>
        <w:ind w:left="567" w:hanging="567"/>
        <w:rPr>
          <w:szCs w:val="24"/>
        </w:rPr>
      </w:pPr>
      <w:r w:rsidRPr="00CF6F32">
        <w:t>41.</w:t>
      </w:r>
      <w:r w:rsidRPr="00CF6F32">
        <w:tab/>
        <w:t xml:space="preserve">ugotavlja, da bodo države kandidatke za članstvo v EU, ko se bodo pridružile Uniji, že izvajale okvir in pravni red EU; poudarja, da bo to državljanom EU omogočilo uporabo železnice kot okolju prijaznega in varnega načina prevoza ter prevoz blaga iz jugovzhodne Evrope in vanjo, saj železniški tovorni koridorji danes povezujejo Zahodni Balkan z EU; poudarja vlogo, ki jo imata instrument za predpristopno pomoč in projekt za Zahodni Balkan pri podpiranju izvajanja direktive o </w:t>
      </w:r>
      <w:proofErr w:type="spellStart"/>
      <w:r w:rsidRPr="00CF6F32">
        <w:t>interoperabilnosti</w:t>
      </w:r>
      <w:proofErr w:type="spellEnd"/>
      <w:r w:rsidRPr="00CF6F32">
        <w:t xml:space="preserve"> in direktive o varnosti med upravičenci projektov; ugotavlja tudi, da bo to zagotovilo podlago za odprtje trga železniških storitev in nemotene vožnje z vlakom iz te sosednje regije in vanjo;</w:t>
      </w:r>
    </w:p>
    <w:p w:rsidR="00C107A0" w:rsidRPr="00CF6F32" w:rsidRDefault="00C107A0" w:rsidP="00C107A0">
      <w:pPr>
        <w:pStyle w:val="NormalCenter12a"/>
      </w:pPr>
      <w:r w:rsidRPr="00CF6F32">
        <w:t>°</w:t>
      </w:r>
    </w:p>
    <w:p w:rsidR="00C107A0" w:rsidRPr="00CF6F32" w:rsidRDefault="00C107A0" w:rsidP="00C107A0">
      <w:pPr>
        <w:pStyle w:val="NormalCenter12a"/>
      </w:pPr>
      <w:r w:rsidRPr="00CF6F32">
        <w:t>°</w:t>
      </w:r>
      <w:r w:rsidRPr="00CF6F32">
        <w:tab/>
        <w:t>°</w:t>
      </w:r>
    </w:p>
    <w:p w:rsidR="00C107A0" w:rsidRPr="00CF6F32" w:rsidRDefault="00C107A0" w:rsidP="00C107A0">
      <w:pPr>
        <w:pStyle w:val="NormalHanging12a"/>
      </w:pPr>
      <w:r w:rsidRPr="00CF6F32">
        <w:t>42.</w:t>
      </w:r>
      <w:r w:rsidRPr="00CF6F32">
        <w:tab/>
        <w:t xml:space="preserve">sporoča, da so druge ugotovitve horizontalne narave, ki spremljajo sklep o razrešnici, zbrane v resoluciji z dne </w:t>
      </w:r>
      <w:r w:rsidR="008A5C1A">
        <w:t xml:space="preserve">11. aprila </w:t>
      </w:r>
      <w:r w:rsidRPr="00CF6F32">
        <w:t>2024</w:t>
      </w:r>
      <w:r w:rsidRPr="00CF6F32">
        <w:rPr>
          <w:rStyle w:val="FootnoteReference"/>
        </w:rPr>
        <w:footnoteReference w:id="12"/>
      </w:r>
      <w:r w:rsidRPr="00CF6F32">
        <w:t xml:space="preserve"> o uspešnosti, finančnem </w:t>
      </w:r>
      <w:proofErr w:type="spellStart"/>
      <w:r w:rsidRPr="00CF6F32">
        <w:t>poslovodenju</w:t>
      </w:r>
      <w:proofErr w:type="spellEnd"/>
      <w:r w:rsidRPr="00CF6F32">
        <w:t xml:space="preserve"> in nadzoru agencij.</w:t>
      </w:r>
    </w:p>
    <w:sectPr w:rsidR="00C107A0" w:rsidRPr="00CF6F32" w:rsidSect="008A5C1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EA2" w:rsidRPr="00CF6F32" w:rsidRDefault="00CB5EA2">
      <w:r w:rsidRPr="00CF6F32">
        <w:separator/>
      </w:r>
    </w:p>
  </w:endnote>
  <w:endnote w:type="continuationSeparator" w:id="0">
    <w:p w:rsidR="00CB5EA2" w:rsidRPr="00CF6F32" w:rsidRDefault="00CB5EA2">
      <w:r w:rsidRPr="00CF6F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7A0" w:rsidRPr="00CF6F32" w:rsidRDefault="00C107A0" w:rsidP="00973FF4">
    <w:pPr>
      <w:pStyle w:val="EPFooter"/>
    </w:pPr>
    <w:r w:rsidRPr="00CF6F32">
      <w:t>PE</w:t>
    </w:r>
    <w:r w:rsidRPr="00CF6F32">
      <w:rPr>
        <w:rStyle w:val="HideTWBExt"/>
      </w:rPr>
      <w:t>&lt;</w:t>
    </w:r>
    <w:proofErr w:type="spellStart"/>
    <w:r w:rsidRPr="00CF6F32">
      <w:rPr>
        <w:rStyle w:val="HideTWBExt"/>
      </w:rPr>
      <w:t>NoPE</w:t>
    </w:r>
    <w:proofErr w:type="spellEnd"/>
    <w:r w:rsidRPr="00CF6F32">
      <w:rPr>
        <w:rStyle w:val="HideTWBExt"/>
      </w:rPr>
      <w:t>&gt;</w:t>
    </w:r>
    <w:r w:rsidRPr="00CF6F32">
      <w:t>753.528</w:t>
    </w:r>
    <w:r w:rsidRPr="00CF6F32">
      <w:rPr>
        <w:rStyle w:val="HideTWBExt"/>
      </w:rPr>
      <w:t>&lt;/</w:t>
    </w:r>
    <w:proofErr w:type="spellStart"/>
    <w:r w:rsidRPr="00CF6F32">
      <w:rPr>
        <w:rStyle w:val="HideTWBExt"/>
      </w:rPr>
      <w:t>NoPE</w:t>
    </w:r>
    <w:proofErr w:type="spellEnd"/>
    <w:r w:rsidRPr="00CF6F32">
      <w:rPr>
        <w:rStyle w:val="HideTWBExt"/>
      </w:rPr>
      <w:t>&gt;&lt;Version&gt;</w:t>
    </w:r>
    <w:r w:rsidRPr="00CF6F32">
      <w:t>v02-00</w:t>
    </w:r>
    <w:r w:rsidRPr="00CF6F32">
      <w:rPr>
        <w:rStyle w:val="HideTWBExt"/>
      </w:rPr>
      <w:t>&lt;/</w:t>
    </w:r>
    <w:proofErr w:type="spellStart"/>
    <w:r w:rsidRPr="00CF6F32">
      <w:rPr>
        <w:rStyle w:val="HideTWBExt"/>
      </w:rPr>
      <w:t>Version</w:t>
    </w:r>
    <w:proofErr w:type="spellEnd"/>
    <w:r w:rsidRPr="00CF6F32">
      <w:rPr>
        <w:rStyle w:val="HideTWBExt"/>
      </w:rPr>
      <w:t>&gt;</w:t>
    </w:r>
    <w:r w:rsidRPr="00CF6F32">
      <w:tab/>
    </w:r>
    <w:r w:rsidRPr="00CF6F32">
      <w:fldChar w:fldCharType="begin"/>
    </w:r>
    <w:r w:rsidRPr="00CF6F32">
      <w:instrText xml:space="preserve"> PAGE  \* MERGEFORMAT </w:instrText>
    </w:r>
    <w:r w:rsidRPr="00CF6F32">
      <w:fldChar w:fldCharType="separate"/>
    </w:r>
    <w:r w:rsidR="00CF6F32" w:rsidRPr="00CF6F32">
      <w:rPr>
        <w:noProof/>
      </w:rPr>
      <w:t>2</w:t>
    </w:r>
    <w:r w:rsidRPr="00CF6F32">
      <w:fldChar w:fldCharType="end"/>
    </w:r>
    <w:r w:rsidRPr="00CF6F32">
      <w:t>/</w:t>
    </w:r>
    <w:r w:rsidR="001359AF">
      <w:fldChar w:fldCharType="begin"/>
    </w:r>
    <w:r w:rsidR="001359AF">
      <w:instrText xml:space="preserve"> NUMPAGES  \* MERGEFORMAT </w:instrText>
    </w:r>
    <w:r w:rsidR="001359AF">
      <w:fldChar w:fldCharType="separate"/>
    </w:r>
    <w:r w:rsidR="00CF6F32" w:rsidRPr="00CF6F32">
      <w:rPr>
        <w:noProof/>
      </w:rPr>
      <w:t>4</w:t>
    </w:r>
    <w:r w:rsidR="001359AF">
      <w:rPr>
        <w:noProof/>
      </w:rPr>
      <w:fldChar w:fldCharType="end"/>
    </w:r>
    <w:r w:rsidRPr="00CF6F32">
      <w:tab/>
    </w:r>
    <w:r w:rsidRPr="00CF6F32">
      <w:rPr>
        <w:rStyle w:val="HideTWBExt"/>
      </w:rPr>
      <w:t>&lt;PathFdR&gt;</w:t>
    </w:r>
    <w:r w:rsidRPr="00CF6F32">
      <w:t>RR\1298731SL.docx</w:t>
    </w:r>
    <w:r w:rsidRPr="00CF6F32">
      <w:rPr>
        <w:rStyle w:val="HideTWBExt"/>
      </w:rPr>
      <w:t>&lt;/</w:t>
    </w:r>
    <w:proofErr w:type="spellStart"/>
    <w:r w:rsidRPr="00CF6F32">
      <w:rPr>
        <w:rStyle w:val="HideTWBExt"/>
      </w:rPr>
      <w:t>PathFdR</w:t>
    </w:r>
    <w:proofErr w:type="spellEnd"/>
    <w:r w:rsidRPr="00CF6F32">
      <w:rPr>
        <w:rStyle w:val="HideTWBExt"/>
      </w:rPr>
      <w:t>&gt;</w:t>
    </w:r>
  </w:p>
  <w:p w:rsidR="00C107A0" w:rsidRPr="00CF6F32" w:rsidRDefault="00C107A0" w:rsidP="00973FF4">
    <w:pPr>
      <w:pStyle w:val="EPFooter2"/>
    </w:pPr>
    <w:r w:rsidRPr="00CF6F32">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7A0" w:rsidRPr="00CF6F32" w:rsidRDefault="00C107A0" w:rsidP="00973FF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7A0" w:rsidRPr="00CF6F32" w:rsidRDefault="00C107A0" w:rsidP="00973FF4">
    <w:pPr>
      <w:pStyle w:val="EPFooter"/>
    </w:pPr>
    <w:r w:rsidRPr="00CF6F32">
      <w:rPr>
        <w:rStyle w:val="HideTWBExt"/>
      </w:rPr>
      <w:t>&lt;PathFdR&gt;</w:t>
    </w:r>
    <w:r w:rsidRPr="00CF6F32">
      <w:t>RR\1298731SL.docx</w:t>
    </w:r>
    <w:r w:rsidRPr="00CF6F32">
      <w:rPr>
        <w:rStyle w:val="HideTWBExt"/>
      </w:rPr>
      <w:t>&lt;/</w:t>
    </w:r>
    <w:proofErr w:type="spellStart"/>
    <w:r w:rsidRPr="00CF6F32">
      <w:rPr>
        <w:rStyle w:val="HideTWBExt"/>
      </w:rPr>
      <w:t>PathFdR</w:t>
    </w:r>
    <w:proofErr w:type="spellEnd"/>
    <w:r w:rsidRPr="00CF6F32">
      <w:rPr>
        <w:rStyle w:val="HideTWBExt"/>
      </w:rPr>
      <w:t>&gt;</w:t>
    </w:r>
    <w:r w:rsidRPr="00CF6F32">
      <w:tab/>
    </w:r>
    <w:r w:rsidRPr="00CF6F32">
      <w:tab/>
      <w:t>PE</w:t>
    </w:r>
    <w:r w:rsidRPr="00CF6F32">
      <w:rPr>
        <w:rStyle w:val="HideTWBExt"/>
      </w:rPr>
      <w:t>&lt;</w:t>
    </w:r>
    <w:proofErr w:type="spellStart"/>
    <w:r w:rsidRPr="00CF6F32">
      <w:rPr>
        <w:rStyle w:val="HideTWBExt"/>
      </w:rPr>
      <w:t>NoPE</w:t>
    </w:r>
    <w:proofErr w:type="spellEnd"/>
    <w:r w:rsidRPr="00CF6F32">
      <w:rPr>
        <w:rStyle w:val="HideTWBExt"/>
      </w:rPr>
      <w:t>&gt;</w:t>
    </w:r>
    <w:r w:rsidRPr="00CF6F32">
      <w:t>753.528</w:t>
    </w:r>
    <w:r w:rsidRPr="00CF6F32">
      <w:rPr>
        <w:rStyle w:val="HideTWBExt"/>
      </w:rPr>
      <w:t>&lt;/</w:t>
    </w:r>
    <w:proofErr w:type="spellStart"/>
    <w:r w:rsidRPr="00CF6F32">
      <w:rPr>
        <w:rStyle w:val="HideTWBExt"/>
      </w:rPr>
      <w:t>NoPE</w:t>
    </w:r>
    <w:proofErr w:type="spellEnd"/>
    <w:r w:rsidRPr="00CF6F32">
      <w:rPr>
        <w:rStyle w:val="HideTWBExt"/>
      </w:rPr>
      <w:t>&gt;&lt;Version&gt;</w:t>
    </w:r>
    <w:r w:rsidRPr="00CF6F32">
      <w:t>v02-00</w:t>
    </w:r>
    <w:r w:rsidRPr="00CF6F32">
      <w:rPr>
        <w:rStyle w:val="HideTWBExt"/>
      </w:rPr>
      <w:t>&lt;/</w:t>
    </w:r>
    <w:proofErr w:type="spellStart"/>
    <w:r w:rsidRPr="00CF6F32">
      <w:rPr>
        <w:rStyle w:val="HideTWBExt"/>
      </w:rPr>
      <w:t>Version</w:t>
    </w:r>
    <w:proofErr w:type="spellEnd"/>
    <w:r w:rsidRPr="00CF6F32">
      <w:rPr>
        <w:rStyle w:val="HideTWBExt"/>
      </w:rPr>
      <w:t>&gt;</w:t>
    </w:r>
  </w:p>
  <w:p w:rsidR="00C107A0" w:rsidRPr="00CF6F32" w:rsidRDefault="00C107A0" w:rsidP="00973FF4">
    <w:pPr>
      <w:pStyle w:val="EPFooter2"/>
    </w:pPr>
    <w:r w:rsidRPr="00CF6F32">
      <w:t>SL</w:t>
    </w:r>
    <w:r w:rsidRPr="00CF6F32">
      <w:tab/>
    </w:r>
    <w:r w:rsidRPr="00CF6F32">
      <w:rPr>
        <w:b w:val="0"/>
        <w:i/>
        <w:color w:val="C0C0C0"/>
        <w:sz w:val="22"/>
      </w:rPr>
      <w:t>Združena v raznolikosti</w:t>
    </w:r>
    <w:r w:rsidRPr="00CF6F32">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6F3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6F3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6F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EA2" w:rsidRPr="00CF6F32" w:rsidRDefault="00CB5EA2">
      <w:r w:rsidRPr="00CF6F32">
        <w:separator/>
      </w:r>
    </w:p>
  </w:footnote>
  <w:footnote w:type="continuationSeparator" w:id="0">
    <w:p w:rsidR="00CB5EA2" w:rsidRPr="00CF6F32" w:rsidRDefault="00CB5EA2">
      <w:r w:rsidRPr="00CF6F32">
        <w:continuationSeparator/>
      </w:r>
    </w:p>
  </w:footnote>
  <w:footnote w:id="1">
    <w:p w:rsidR="00C107A0" w:rsidRPr="00CF6F32" w:rsidRDefault="00C107A0" w:rsidP="00CF6F32">
      <w:pPr>
        <w:pStyle w:val="FootnoteText"/>
        <w:ind w:left="567" w:hanging="567"/>
        <w:rPr>
          <w:sz w:val="24"/>
          <w:lang w:val="sl-SI"/>
        </w:rPr>
      </w:pPr>
      <w:r w:rsidRPr="00CF6F32">
        <w:rPr>
          <w:rStyle w:val="FootnoteReference"/>
          <w:sz w:val="24"/>
          <w:lang w:val="sl-SI"/>
        </w:rPr>
        <w:footnoteRef/>
      </w:r>
      <w:r w:rsidR="00CF6F32" w:rsidRPr="00CF6F32">
        <w:rPr>
          <w:sz w:val="24"/>
          <w:lang w:val="sl-SI"/>
        </w:rPr>
        <w:t xml:space="preserve"> </w:t>
      </w:r>
      <w:r w:rsidR="00CF6F32" w:rsidRPr="00CF6F32">
        <w:rPr>
          <w:sz w:val="24"/>
          <w:lang w:val="sl-SI"/>
        </w:rPr>
        <w:tab/>
      </w:r>
      <w:r w:rsidRPr="00CF6F32">
        <w:rPr>
          <w:sz w:val="24"/>
          <w:lang w:val="sl-SI"/>
        </w:rPr>
        <w:t>UL C, C/2023/594, 27.10.2023.</w:t>
      </w:r>
    </w:p>
  </w:footnote>
  <w:footnote w:id="2">
    <w:p w:rsidR="00C107A0" w:rsidRPr="00CF6F32" w:rsidRDefault="00C107A0" w:rsidP="00CF6F32">
      <w:pPr>
        <w:pStyle w:val="FootnoteText"/>
        <w:ind w:left="567" w:hanging="567"/>
        <w:rPr>
          <w:sz w:val="24"/>
          <w:lang w:val="sl-SI"/>
        </w:rPr>
      </w:pPr>
      <w:r w:rsidRPr="00CF6F32">
        <w:rPr>
          <w:rStyle w:val="FootnoteReference"/>
          <w:sz w:val="24"/>
          <w:lang w:val="sl-SI"/>
        </w:rPr>
        <w:footnoteRef/>
      </w:r>
      <w:r w:rsidR="00CF6F32" w:rsidRPr="00CF6F32">
        <w:rPr>
          <w:sz w:val="24"/>
          <w:lang w:val="sl-SI"/>
        </w:rPr>
        <w:t xml:space="preserve"> </w:t>
      </w:r>
      <w:r w:rsidR="00CF6F32" w:rsidRPr="00CF6F32">
        <w:rPr>
          <w:sz w:val="24"/>
          <w:lang w:val="sl-SI"/>
        </w:rPr>
        <w:tab/>
      </w:r>
      <w:r w:rsidRPr="00CF6F32">
        <w:rPr>
          <w:sz w:val="24"/>
          <w:lang w:val="sl-SI"/>
        </w:rPr>
        <w:t>UL C, C/2023/112, 12.10.2023.</w:t>
      </w:r>
    </w:p>
  </w:footnote>
  <w:footnote w:id="3">
    <w:p w:rsidR="00C107A0" w:rsidRPr="00CF6F32" w:rsidRDefault="00C107A0" w:rsidP="00CF6F32">
      <w:pPr>
        <w:pStyle w:val="FootnoteText"/>
        <w:ind w:left="567" w:hanging="567"/>
        <w:rPr>
          <w:sz w:val="24"/>
          <w:lang w:val="sl-SI"/>
        </w:rPr>
      </w:pPr>
      <w:r w:rsidRPr="00CF6F32">
        <w:rPr>
          <w:rStyle w:val="FootnoteReference"/>
          <w:sz w:val="24"/>
          <w:lang w:val="sl-SI"/>
        </w:rPr>
        <w:footnoteRef/>
      </w:r>
      <w:r w:rsidR="00CF6F32" w:rsidRPr="00CF6F32">
        <w:rPr>
          <w:sz w:val="24"/>
          <w:lang w:val="sl-SI"/>
        </w:rPr>
        <w:t xml:space="preserve"> </w:t>
      </w:r>
      <w:r w:rsidR="00CF6F32" w:rsidRPr="00CF6F32">
        <w:rPr>
          <w:sz w:val="24"/>
          <w:lang w:val="sl-SI"/>
        </w:rPr>
        <w:tab/>
      </w:r>
      <w:r w:rsidRPr="00CF6F32">
        <w:rPr>
          <w:sz w:val="24"/>
          <w:lang w:val="sl-SI"/>
        </w:rPr>
        <w:t>UL L 193, 30.7.2018, str. 1.</w:t>
      </w:r>
    </w:p>
  </w:footnote>
  <w:footnote w:id="4">
    <w:p w:rsidR="00C107A0" w:rsidRPr="00CF6F32" w:rsidRDefault="00C107A0" w:rsidP="00CF6F32">
      <w:pPr>
        <w:pStyle w:val="FootnoteText"/>
        <w:ind w:left="567" w:hanging="567"/>
        <w:rPr>
          <w:sz w:val="24"/>
          <w:lang w:val="sl-SI"/>
        </w:rPr>
      </w:pPr>
      <w:r w:rsidRPr="00CF6F32">
        <w:rPr>
          <w:rStyle w:val="FootnoteReference"/>
          <w:sz w:val="24"/>
          <w:lang w:val="sl-SI"/>
        </w:rPr>
        <w:footnoteRef/>
      </w:r>
      <w:r w:rsidR="00CF6F32" w:rsidRPr="00CF6F32">
        <w:rPr>
          <w:sz w:val="24"/>
          <w:lang w:val="sl-SI"/>
        </w:rPr>
        <w:t xml:space="preserve"> </w:t>
      </w:r>
      <w:r w:rsidR="00CF6F32" w:rsidRPr="00CF6F32">
        <w:rPr>
          <w:sz w:val="24"/>
          <w:lang w:val="sl-SI"/>
        </w:rPr>
        <w:tab/>
      </w:r>
      <w:r w:rsidRPr="00CF6F32">
        <w:rPr>
          <w:sz w:val="24"/>
          <w:lang w:val="sl-SI"/>
        </w:rPr>
        <w:t>UL L 138, 26.5.2016, str. 1.</w:t>
      </w:r>
    </w:p>
  </w:footnote>
  <w:footnote w:id="5">
    <w:p w:rsidR="00C107A0" w:rsidRPr="00CF6F32" w:rsidRDefault="00C107A0" w:rsidP="00CF6F32">
      <w:pPr>
        <w:pStyle w:val="FootnoteText"/>
        <w:ind w:left="567" w:hanging="567"/>
        <w:rPr>
          <w:sz w:val="24"/>
          <w:lang w:val="sl-SI"/>
        </w:rPr>
      </w:pPr>
      <w:r w:rsidRPr="00CF6F32">
        <w:rPr>
          <w:rStyle w:val="FootnoteReference"/>
          <w:sz w:val="24"/>
          <w:lang w:val="sl-SI"/>
        </w:rPr>
        <w:footnoteRef/>
      </w:r>
      <w:r w:rsidR="00CF6F32" w:rsidRPr="00CF6F32">
        <w:rPr>
          <w:sz w:val="24"/>
          <w:lang w:val="sl-SI"/>
        </w:rPr>
        <w:t xml:space="preserve"> </w:t>
      </w:r>
      <w:r w:rsidR="00CF6F32" w:rsidRPr="00CF6F32">
        <w:rPr>
          <w:sz w:val="24"/>
          <w:lang w:val="sl-SI"/>
        </w:rPr>
        <w:tab/>
      </w:r>
      <w:r w:rsidRPr="00CF6F32">
        <w:rPr>
          <w:sz w:val="24"/>
          <w:lang w:val="sl-SI"/>
        </w:rPr>
        <w:t>UL L 122, 10.5.2019, str. 1.</w:t>
      </w:r>
    </w:p>
  </w:footnote>
  <w:footnote w:id="6">
    <w:p w:rsidR="00C107A0" w:rsidRPr="00CF6F32" w:rsidRDefault="00C107A0" w:rsidP="00CF6F32">
      <w:pPr>
        <w:pStyle w:val="FootnoteText"/>
        <w:ind w:left="567" w:hanging="567"/>
        <w:rPr>
          <w:sz w:val="24"/>
          <w:lang w:val="sl-SI"/>
        </w:rPr>
      </w:pPr>
      <w:r w:rsidRPr="00CF6F32">
        <w:rPr>
          <w:rStyle w:val="FootnoteReference"/>
          <w:sz w:val="24"/>
          <w:lang w:val="sl-SI"/>
        </w:rPr>
        <w:footnoteRef/>
      </w:r>
      <w:r w:rsidR="00CF6F32" w:rsidRPr="00CF6F32">
        <w:rPr>
          <w:sz w:val="24"/>
          <w:lang w:val="sl-SI"/>
        </w:rPr>
        <w:t xml:space="preserve"> </w:t>
      </w:r>
      <w:r w:rsidR="00CF6F32" w:rsidRPr="00CF6F32">
        <w:rPr>
          <w:sz w:val="24"/>
          <w:lang w:val="sl-SI"/>
        </w:rPr>
        <w:tab/>
      </w:r>
      <w:r w:rsidRPr="00CF6F32">
        <w:rPr>
          <w:sz w:val="24"/>
          <w:lang w:val="sl-SI"/>
        </w:rPr>
        <w:t>UL C, C/2023/594, 27.10.2023.</w:t>
      </w:r>
    </w:p>
  </w:footnote>
  <w:footnote w:id="7">
    <w:p w:rsidR="00C107A0" w:rsidRPr="00CF6F32" w:rsidRDefault="00C107A0" w:rsidP="00CF6F32">
      <w:pPr>
        <w:pStyle w:val="FootnoteText"/>
        <w:ind w:left="567" w:hanging="567"/>
        <w:rPr>
          <w:sz w:val="24"/>
          <w:lang w:val="sl-SI"/>
        </w:rPr>
      </w:pPr>
      <w:r w:rsidRPr="00CF6F32">
        <w:rPr>
          <w:rStyle w:val="FootnoteReference"/>
          <w:sz w:val="24"/>
          <w:lang w:val="sl-SI"/>
        </w:rPr>
        <w:footnoteRef/>
      </w:r>
      <w:r w:rsidR="00CF6F32" w:rsidRPr="00CF6F32">
        <w:rPr>
          <w:sz w:val="24"/>
          <w:lang w:val="sl-SI"/>
        </w:rPr>
        <w:t xml:space="preserve"> </w:t>
      </w:r>
      <w:r w:rsidR="00CF6F32" w:rsidRPr="00CF6F32">
        <w:rPr>
          <w:sz w:val="24"/>
          <w:lang w:val="sl-SI"/>
        </w:rPr>
        <w:tab/>
      </w:r>
      <w:r w:rsidRPr="00CF6F32">
        <w:rPr>
          <w:sz w:val="24"/>
          <w:lang w:val="sl-SI"/>
        </w:rPr>
        <w:t>UL C, C/2023/112, 12.10.2023e.</w:t>
      </w:r>
    </w:p>
  </w:footnote>
  <w:footnote w:id="8">
    <w:p w:rsidR="00C107A0" w:rsidRPr="00CF6F32" w:rsidRDefault="00C107A0" w:rsidP="00CF6F32">
      <w:pPr>
        <w:pStyle w:val="FootnoteText"/>
        <w:ind w:left="567" w:hanging="567"/>
        <w:rPr>
          <w:sz w:val="24"/>
          <w:lang w:val="sl-SI"/>
        </w:rPr>
      </w:pPr>
      <w:r w:rsidRPr="00CF6F32">
        <w:rPr>
          <w:rStyle w:val="FootnoteReference"/>
          <w:sz w:val="24"/>
          <w:lang w:val="sl-SI"/>
        </w:rPr>
        <w:footnoteRef/>
      </w:r>
      <w:r w:rsidR="00CF6F32" w:rsidRPr="00CF6F32">
        <w:rPr>
          <w:sz w:val="24"/>
          <w:lang w:val="sl-SI"/>
        </w:rPr>
        <w:t xml:space="preserve"> </w:t>
      </w:r>
      <w:r w:rsidR="00CF6F32" w:rsidRPr="00CF6F32">
        <w:rPr>
          <w:sz w:val="24"/>
          <w:lang w:val="sl-SI"/>
        </w:rPr>
        <w:tab/>
      </w:r>
      <w:r w:rsidRPr="00CF6F32">
        <w:rPr>
          <w:sz w:val="24"/>
          <w:lang w:val="sl-SI"/>
        </w:rPr>
        <w:t>UL L 193, 30.7.2018, str. 1.</w:t>
      </w:r>
    </w:p>
  </w:footnote>
  <w:footnote w:id="9">
    <w:p w:rsidR="00C107A0" w:rsidRPr="00CF6F32" w:rsidRDefault="00C107A0" w:rsidP="00CF6F32">
      <w:pPr>
        <w:pStyle w:val="FootnoteText"/>
        <w:ind w:left="567" w:hanging="567"/>
        <w:rPr>
          <w:sz w:val="24"/>
          <w:lang w:val="sl-SI"/>
        </w:rPr>
      </w:pPr>
      <w:r w:rsidRPr="00CF6F32">
        <w:rPr>
          <w:rStyle w:val="FootnoteReference"/>
          <w:sz w:val="24"/>
          <w:lang w:val="sl-SI"/>
        </w:rPr>
        <w:footnoteRef/>
      </w:r>
      <w:r w:rsidR="00CF6F32" w:rsidRPr="00CF6F32">
        <w:rPr>
          <w:sz w:val="24"/>
          <w:lang w:val="sl-SI"/>
        </w:rPr>
        <w:t xml:space="preserve"> </w:t>
      </w:r>
      <w:r w:rsidR="00CF6F32" w:rsidRPr="00CF6F32">
        <w:rPr>
          <w:sz w:val="24"/>
          <w:lang w:val="sl-SI"/>
        </w:rPr>
        <w:tab/>
      </w:r>
      <w:r w:rsidRPr="00CF6F32">
        <w:rPr>
          <w:sz w:val="24"/>
          <w:lang w:val="sl-SI"/>
        </w:rPr>
        <w:t>UL L 138, 26.5.2016, str. 1.</w:t>
      </w:r>
    </w:p>
  </w:footnote>
  <w:footnote w:id="10">
    <w:p w:rsidR="00C107A0" w:rsidRPr="00CF6F32" w:rsidRDefault="00C107A0" w:rsidP="00CF6F32">
      <w:pPr>
        <w:pStyle w:val="FootnoteText"/>
        <w:ind w:left="567" w:hanging="567"/>
        <w:rPr>
          <w:sz w:val="24"/>
          <w:lang w:val="sl-SI"/>
        </w:rPr>
      </w:pPr>
      <w:r w:rsidRPr="00CF6F32">
        <w:rPr>
          <w:rStyle w:val="FootnoteReference"/>
          <w:sz w:val="24"/>
          <w:lang w:val="sl-SI"/>
        </w:rPr>
        <w:footnoteRef/>
      </w:r>
      <w:r w:rsidR="00CF6F32" w:rsidRPr="00CF6F32">
        <w:rPr>
          <w:sz w:val="24"/>
          <w:lang w:val="sl-SI"/>
        </w:rPr>
        <w:t xml:space="preserve"> </w:t>
      </w:r>
      <w:r w:rsidR="00CF6F32" w:rsidRPr="00CF6F32">
        <w:rPr>
          <w:sz w:val="24"/>
          <w:lang w:val="sl-SI"/>
        </w:rPr>
        <w:tab/>
      </w:r>
      <w:r w:rsidRPr="00CF6F32">
        <w:rPr>
          <w:sz w:val="24"/>
          <w:lang w:val="sl-SI"/>
        </w:rPr>
        <w:t>UL L 122, 10.5.2019, str. 1.</w:t>
      </w:r>
    </w:p>
  </w:footnote>
  <w:footnote w:id="11">
    <w:p w:rsidR="00C107A0" w:rsidRPr="00CF6F32" w:rsidRDefault="00C107A0" w:rsidP="00CF6F32">
      <w:pPr>
        <w:pStyle w:val="FootnoteText"/>
        <w:ind w:left="567" w:hanging="567"/>
        <w:rPr>
          <w:sz w:val="24"/>
          <w:lang w:val="sl-SI"/>
        </w:rPr>
      </w:pPr>
      <w:r w:rsidRPr="00CF6F32">
        <w:rPr>
          <w:rStyle w:val="FootnoteReference"/>
          <w:sz w:val="24"/>
          <w:lang w:val="sl-SI"/>
        </w:rPr>
        <w:footnoteRef/>
      </w:r>
      <w:r w:rsidR="00CF6F32" w:rsidRPr="00CF6F32">
        <w:rPr>
          <w:sz w:val="24"/>
          <w:lang w:val="sl-SI"/>
        </w:rPr>
        <w:t xml:space="preserve"> </w:t>
      </w:r>
      <w:r w:rsidR="00CF6F32" w:rsidRPr="00CF6F32">
        <w:rPr>
          <w:sz w:val="24"/>
          <w:lang w:val="sl-SI"/>
        </w:rPr>
        <w:tab/>
      </w:r>
      <w:r w:rsidRPr="00CF6F32">
        <w:rPr>
          <w:sz w:val="24"/>
          <w:lang w:val="sl-SI"/>
        </w:rPr>
        <w:t>UL C 38, 31.1.2023, str. 51.</w:t>
      </w:r>
    </w:p>
  </w:footnote>
  <w:footnote w:id="12">
    <w:p w:rsidR="00C107A0" w:rsidRPr="00CF6F32" w:rsidRDefault="00C107A0" w:rsidP="00CF6F32">
      <w:pPr>
        <w:pStyle w:val="FootnoteText"/>
        <w:ind w:left="567" w:hanging="567"/>
        <w:rPr>
          <w:sz w:val="24"/>
          <w:lang w:val="sl-SI"/>
        </w:rPr>
      </w:pPr>
      <w:r w:rsidRPr="00CF6F32">
        <w:rPr>
          <w:rStyle w:val="FootnoteReference"/>
          <w:sz w:val="24"/>
          <w:lang w:val="sl-SI"/>
        </w:rPr>
        <w:footnoteRef/>
      </w:r>
      <w:r w:rsidR="00CF6F32" w:rsidRPr="00CF6F32">
        <w:rPr>
          <w:sz w:val="24"/>
          <w:lang w:val="sl-SI"/>
        </w:rPr>
        <w:t xml:space="preserve"> </w:t>
      </w:r>
      <w:r w:rsidR="00CF6F32" w:rsidRPr="00CF6F32">
        <w:rPr>
          <w:sz w:val="24"/>
          <w:lang w:val="sl-SI"/>
        </w:rPr>
        <w:tab/>
      </w:r>
      <w:r w:rsidRPr="00CF6F32">
        <w:rPr>
          <w:sz w:val="24"/>
          <w:lang w:val="sl-SI"/>
        </w:rPr>
        <w:t>Sprejeta besedila, P9_TA(2024)</w:t>
      </w:r>
      <w:r w:rsidR="00A00054">
        <w:rPr>
          <w:sz w:val="24"/>
          <w:lang w:val="sl-SI"/>
        </w:rPr>
        <w:t>0280</w:t>
      </w:r>
      <w:r w:rsidRPr="00CF6F32">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7A0" w:rsidRPr="00CF6F32" w:rsidRDefault="00C107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7A0" w:rsidRPr="00CF6F32" w:rsidRDefault="00C107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7A0" w:rsidRPr="00CF6F32" w:rsidRDefault="00C107A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6F32"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6F32"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6F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SL"/>
    <w:docVar w:name="dvnumam" w:val="0"/>
    <w:docVar w:name="dvpe" w:val="753.528"/>
    <w:docVar w:name="dvrapporteur" w:val="Poročevalec: "/>
    <w:docVar w:name="dvtitre" w:val="Sklep Evropskega parlamenta z dne … 2024 o razrešnici glede izvrševanja proračuna Agencije Evropske unije za železnice za proračunsko leto 2022(2023/2160(DEC))"/>
  </w:docVars>
  <w:rsids>
    <w:rsidRoot w:val="00CB5EA2"/>
    <w:rsid w:val="00002272"/>
    <w:rsid w:val="00064002"/>
    <w:rsid w:val="000677B9"/>
    <w:rsid w:val="000831BA"/>
    <w:rsid w:val="000A42CC"/>
    <w:rsid w:val="000E7DD9"/>
    <w:rsid w:val="0010095E"/>
    <w:rsid w:val="00125B37"/>
    <w:rsid w:val="001359AF"/>
    <w:rsid w:val="00187494"/>
    <w:rsid w:val="001F32AE"/>
    <w:rsid w:val="002767FF"/>
    <w:rsid w:val="002B18FE"/>
    <w:rsid w:val="002B5493"/>
    <w:rsid w:val="002F52C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C1A"/>
    <w:rsid w:val="008C2AC6"/>
    <w:rsid w:val="00930C23"/>
    <w:rsid w:val="0093193B"/>
    <w:rsid w:val="009509D8"/>
    <w:rsid w:val="00950B64"/>
    <w:rsid w:val="00981893"/>
    <w:rsid w:val="00A00054"/>
    <w:rsid w:val="00A1687D"/>
    <w:rsid w:val="00A43E52"/>
    <w:rsid w:val="00A4678D"/>
    <w:rsid w:val="00A778C7"/>
    <w:rsid w:val="00AB441E"/>
    <w:rsid w:val="00AB6293"/>
    <w:rsid w:val="00AE0928"/>
    <w:rsid w:val="00AF3B82"/>
    <w:rsid w:val="00B12E95"/>
    <w:rsid w:val="00B22876"/>
    <w:rsid w:val="00B558F0"/>
    <w:rsid w:val="00BB2C49"/>
    <w:rsid w:val="00BD48FE"/>
    <w:rsid w:val="00BD7BD8"/>
    <w:rsid w:val="00BE6ADC"/>
    <w:rsid w:val="00C05BFE"/>
    <w:rsid w:val="00C107A0"/>
    <w:rsid w:val="00C23CD4"/>
    <w:rsid w:val="00C61C0C"/>
    <w:rsid w:val="00C941CB"/>
    <w:rsid w:val="00CB5EA2"/>
    <w:rsid w:val="00CC2357"/>
    <w:rsid w:val="00CF071A"/>
    <w:rsid w:val="00CF6F32"/>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48B4EE"/>
  <w15:chartTrackingRefBased/>
  <w15:docId w15:val="{5758131D-2273-4A90-9DD6-B7C02CF41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107A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107A0"/>
    <w:pPr>
      <w:spacing w:before="480" w:after="240"/>
    </w:pPr>
  </w:style>
  <w:style w:type="paragraph" w:customStyle="1" w:styleId="PageHeading">
    <w:name w:val="PageHeading"/>
    <w:basedOn w:val="Normal"/>
    <w:rsid w:val="00C107A0"/>
    <w:pPr>
      <w:keepNext/>
      <w:spacing w:after="480"/>
      <w:jc w:val="center"/>
    </w:pPr>
    <w:rPr>
      <w:rFonts w:ascii="Arial" w:hAnsi="Arial" w:cs="Arial"/>
      <w:b/>
    </w:rPr>
  </w:style>
  <w:style w:type="paragraph" w:customStyle="1" w:styleId="NormalBold">
    <w:name w:val="NormalBold"/>
    <w:basedOn w:val="Normal"/>
    <w:rsid w:val="00C107A0"/>
    <w:rPr>
      <w:b/>
    </w:rPr>
  </w:style>
  <w:style w:type="paragraph" w:customStyle="1" w:styleId="NormalHanging12a">
    <w:name w:val="NormalHanging12a"/>
    <w:basedOn w:val="Normal"/>
    <w:link w:val="NormalHanging12aChar"/>
    <w:rsid w:val="00C107A0"/>
    <w:pPr>
      <w:spacing w:after="240"/>
      <w:ind w:left="567" w:hanging="567"/>
    </w:pPr>
  </w:style>
  <w:style w:type="paragraph" w:customStyle="1" w:styleId="NormalCenter12a">
    <w:name w:val="NormalCenter12a"/>
    <w:basedOn w:val="Normal"/>
    <w:rsid w:val="00C107A0"/>
    <w:pPr>
      <w:spacing w:after="240"/>
      <w:jc w:val="center"/>
    </w:pPr>
  </w:style>
  <w:style w:type="paragraph" w:styleId="Header">
    <w:name w:val="header"/>
    <w:basedOn w:val="Normal"/>
    <w:link w:val="HeaderChar"/>
    <w:rsid w:val="00C107A0"/>
    <w:pPr>
      <w:tabs>
        <w:tab w:val="center" w:pos="4513"/>
        <w:tab w:val="right" w:pos="9026"/>
      </w:tabs>
    </w:pPr>
  </w:style>
  <w:style w:type="character" w:customStyle="1" w:styleId="HeaderChar">
    <w:name w:val="Header Char"/>
    <w:basedOn w:val="DefaultParagraphFont"/>
    <w:link w:val="Header"/>
    <w:rsid w:val="00C107A0"/>
    <w:rPr>
      <w:sz w:val="24"/>
      <w:lang w:val="sl-SI"/>
    </w:rPr>
  </w:style>
  <w:style w:type="paragraph" w:customStyle="1" w:styleId="EPFooter">
    <w:name w:val="EPFooter"/>
    <w:basedOn w:val="Normal"/>
    <w:rsid w:val="00C107A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C107A0"/>
    <w:rPr>
      <w:sz w:val="24"/>
      <w:lang w:val="sl-SI"/>
    </w:rPr>
  </w:style>
  <w:style w:type="paragraph" w:customStyle="1" w:styleId="Normal24a">
    <w:name w:val="Normal24a"/>
    <w:basedOn w:val="Normal"/>
    <w:rsid w:val="00C107A0"/>
    <w:pPr>
      <w:spacing w:after="480"/>
    </w:pPr>
  </w:style>
  <w:style w:type="paragraph" w:customStyle="1" w:styleId="Normal12a">
    <w:name w:val="Normal12a"/>
    <w:basedOn w:val="Normal"/>
    <w:rsid w:val="00C107A0"/>
    <w:pPr>
      <w:spacing w:after="240"/>
    </w:pPr>
  </w:style>
  <w:style w:type="paragraph" w:customStyle="1" w:styleId="PageHeadingNotTOC">
    <w:name w:val="PageHeadingNotTOC"/>
    <w:basedOn w:val="Normal"/>
    <w:rsid w:val="00C107A0"/>
    <w:pPr>
      <w:keepNext/>
      <w:spacing w:after="480"/>
      <w:jc w:val="center"/>
    </w:pPr>
    <w:rPr>
      <w:rFonts w:ascii="Arial" w:hAnsi="Arial" w:cs="Arial"/>
      <w:b/>
    </w:rPr>
  </w:style>
  <w:style w:type="paragraph" w:styleId="BalloonText">
    <w:name w:val="Balloon Text"/>
    <w:basedOn w:val="Normal"/>
    <w:link w:val="BalloonTextChar"/>
    <w:rsid w:val="008A5C1A"/>
    <w:rPr>
      <w:rFonts w:ascii="Segoe UI" w:hAnsi="Segoe UI" w:cs="Segoe UI"/>
      <w:sz w:val="18"/>
      <w:szCs w:val="18"/>
    </w:rPr>
  </w:style>
  <w:style w:type="character" w:customStyle="1" w:styleId="BalloonTextChar">
    <w:name w:val="Balloon Text Char"/>
    <w:basedOn w:val="DefaultParagraphFont"/>
    <w:link w:val="BalloonText"/>
    <w:rsid w:val="008A5C1A"/>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38CD6-0AFD-4B2D-8521-7D8312EAE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4499</Words>
  <Characters>26975</Characters>
  <Application>Microsoft Office Word</Application>
  <DocSecurity>0</DocSecurity>
  <Lines>224</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2024-05-21T12:18:00Z</dcterms:created>
  <dcterms:modified xsi:type="dcterms:W3CDTF">2024-05-21T12:18:00Z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P9_TA(2024)0253_</vt:lpwstr>
  </property>
  <property fmtid="{D5CDD505-2E9C-101B-9397-08002B2CF9AE}" pid="4" name="&lt;Type&gt;">
    <vt:lpwstr>RR</vt:lpwstr>
  </property>
</Properties>
</file>