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7F96" w:rsidTr="0010095E">
        <w:trPr>
          <w:trHeight w:hRule="exact" w:val="1418"/>
        </w:trPr>
        <w:tc>
          <w:tcPr>
            <w:tcW w:w="6804" w:type="dxa"/>
            <w:shd w:val="clear" w:color="auto" w:fill="auto"/>
            <w:vAlign w:val="center"/>
          </w:tcPr>
          <w:p w:rsidR="00751A4A" w:rsidRPr="00317F96" w:rsidRDefault="00B205FE" w:rsidP="0010095E">
            <w:pPr>
              <w:pStyle w:val="EPName"/>
            </w:pPr>
            <w:r w:rsidRPr="00317F96">
              <w:t>Europaparlamentet</w:t>
            </w:r>
          </w:p>
          <w:p w:rsidR="00751A4A" w:rsidRPr="00317F96" w:rsidRDefault="00817416" w:rsidP="00756632">
            <w:pPr>
              <w:pStyle w:val="EPTerm"/>
              <w:rPr>
                <w:rStyle w:val="HideTWBExt"/>
                <w:noProof w:val="0"/>
                <w:vanish w:val="0"/>
                <w:color w:val="auto"/>
              </w:rPr>
            </w:pPr>
            <w:r w:rsidRPr="00317F96">
              <w:t>2019-2024</w:t>
            </w:r>
          </w:p>
        </w:tc>
        <w:tc>
          <w:tcPr>
            <w:tcW w:w="2268" w:type="dxa"/>
            <w:shd w:val="clear" w:color="auto" w:fill="auto"/>
          </w:tcPr>
          <w:p w:rsidR="00751A4A" w:rsidRPr="00317F96" w:rsidRDefault="00187494" w:rsidP="0010095E">
            <w:pPr>
              <w:pStyle w:val="EPLogo"/>
            </w:pPr>
            <w:r w:rsidRPr="00317F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7F96" w:rsidRDefault="00D058B8" w:rsidP="004C5D52">
      <w:pPr>
        <w:pStyle w:val="LineTop"/>
      </w:pPr>
    </w:p>
    <w:p w:rsidR="00680577" w:rsidRPr="00317F96" w:rsidRDefault="00B205FE" w:rsidP="00680577">
      <w:pPr>
        <w:pStyle w:val="EPBodyTA1"/>
      </w:pPr>
      <w:r w:rsidRPr="00317F96">
        <w:t>ANTAGNA TEXTER</w:t>
      </w:r>
    </w:p>
    <w:p w:rsidR="00D058B8" w:rsidRPr="00317F96" w:rsidRDefault="00D058B8" w:rsidP="00D058B8">
      <w:pPr>
        <w:pStyle w:val="LineBottom"/>
      </w:pPr>
    </w:p>
    <w:p w:rsidR="00B205FE" w:rsidRPr="00317F96" w:rsidRDefault="00B205FE" w:rsidP="00B205FE">
      <w:pPr>
        <w:pStyle w:val="ATHeading1"/>
      </w:pPr>
      <w:bookmarkStart w:id="0" w:name="TANumber"/>
      <w:r w:rsidRPr="00317F96">
        <w:t>P9_TA(2024)0</w:t>
      </w:r>
      <w:bookmarkEnd w:id="0"/>
      <w:r w:rsidR="005830C8" w:rsidRPr="00317F96">
        <w:t>253</w:t>
      </w:r>
    </w:p>
    <w:p w:rsidR="00B205FE" w:rsidRPr="00317F96" w:rsidRDefault="00B205FE" w:rsidP="00B205FE">
      <w:pPr>
        <w:pStyle w:val="ATHeading2"/>
      </w:pPr>
      <w:bookmarkStart w:id="1" w:name="title"/>
      <w:r w:rsidRPr="00317F96">
        <w:t>Ansvarsfrihet 2022: Europeiska unionens järnvägsbyrå</w:t>
      </w:r>
      <w:bookmarkEnd w:id="1"/>
    </w:p>
    <w:p w:rsidR="00B205FE" w:rsidRPr="00317F96" w:rsidRDefault="00B205FE" w:rsidP="00B205FE">
      <w:pPr>
        <w:rPr>
          <w:i/>
          <w:vanish/>
        </w:rPr>
      </w:pPr>
      <w:r w:rsidRPr="00317F96">
        <w:rPr>
          <w:i/>
        </w:rPr>
        <w:fldChar w:fldCharType="begin"/>
      </w:r>
      <w:r w:rsidRPr="00317F96">
        <w:rPr>
          <w:i/>
        </w:rPr>
        <w:instrText xml:space="preserve"> TC"(</w:instrText>
      </w:r>
      <w:bookmarkStart w:id="2" w:name="DocNumber"/>
      <w:r w:rsidRPr="00317F96">
        <w:rPr>
          <w:i/>
        </w:rPr>
        <w:instrText>A9-0092/2024</w:instrText>
      </w:r>
      <w:bookmarkEnd w:id="2"/>
      <w:r w:rsidRPr="00317F96">
        <w:rPr>
          <w:i/>
        </w:rPr>
        <w:instrText xml:space="preserve"> - Föredragande: Petri Sarvamaa)"\l3 \n&gt; \* MERGEFORMAT </w:instrText>
      </w:r>
      <w:r w:rsidRPr="00317F96">
        <w:rPr>
          <w:i/>
        </w:rPr>
        <w:fldChar w:fldCharType="end"/>
      </w:r>
    </w:p>
    <w:p w:rsidR="00B205FE" w:rsidRPr="00317F96" w:rsidRDefault="00B205FE" w:rsidP="00B205FE">
      <w:pPr>
        <w:rPr>
          <w:vanish/>
        </w:rPr>
      </w:pPr>
      <w:bookmarkStart w:id="3" w:name="Commission"/>
      <w:r w:rsidRPr="00317F96">
        <w:rPr>
          <w:vanish/>
        </w:rPr>
        <w:t>Budgetkontrollutskottet</w:t>
      </w:r>
      <w:bookmarkEnd w:id="3"/>
    </w:p>
    <w:p w:rsidR="00B205FE" w:rsidRPr="00317F96" w:rsidRDefault="00B205FE" w:rsidP="00B205FE">
      <w:pPr>
        <w:rPr>
          <w:vanish/>
        </w:rPr>
      </w:pPr>
      <w:bookmarkStart w:id="4" w:name="PE"/>
      <w:r w:rsidRPr="00317F96">
        <w:rPr>
          <w:vanish/>
        </w:rPr>
        <w:t>PE753.528</w:t>
      </w:r>
      <w:bookmarkEnd w:id="4"/>
    </w:p>
    <w:p w:rsidR="00B205FE" w:rsidRPr="00317F96" w:rsidRDefault="00AA26C1" w:rsidP="00B205FE">
      <w:pPr>
        <w:pStyle w:val="ATHeading3"/>
      </w:pPr>
      <w:bookmarkStart w:id="5" w:name="Sujet"/>
      <w:r w:rsidRPr="00317F96">
        <w:t xml:space="preserve">1. </w:t>
      </w:r>
      <w:r w:rsidR="00B205FE" w:rsidRPr="00317F96">
        <w:t xml:space="preserve">Europaparlamentets beslut av den </w:t>
      </w:r>
      <w:r w:rsidRPr="00317F96">
        <w:t xml:space="preserve">11 april </w:t>
      </w:r>
      <w:r w:rsidR="00B205FE" w:rsidRPr="00317F96">
        <w:t>2024 om ansvarsfrihet för genomförandet av budgeten för Europeiska unionens järnvägsbyrå för budgetåret 2022</w:t>
      </w:r>
      <w:bookmarkEnd w:id="5"/>
      <w:r w:rsidRPr="00317F96">
        <w:t xml:space="preserve"> </w:t>
      </w:r>
      <w:bookmarkStart w:id="6" w:name="References"/>
      <w:r w:rsidR="00B205FE" w:rsidRPr="00317F96">
        <w:t>(2023/2160(DEC))</w:t>
      </w:r>
      <w:bookmarkEnd w:id="6"/>
    </w:p>
    <w:p w:rsidR="002D0F1B" w:rsidRPr="00317F96" w:rsidRDefault="002D0F1B" w:rsidP="002D0F1B">
      <w:pPr>
        <w:pStyle w:val="EPComma"/>
      </w:pPr>
      <w:bookmarkStart w:id="7" w:name="TextBodyBegin"/>
      <w:bookmarkEnd w:id="7"/>
      <w:r w:rsidRPr="00317F96">
        <w:rPr>
          <w:i/>
        </w:rPr>
        <w:t>Europaparlamentet fattar detta beslut</w:t>
      </w:r>
    </w:p>
    <w:p w:rsidR="002D0F1B" w:rsidRPr="00317F96" w:rsidRDefault="002D0F1B" w:rsidP="002D0F1B">
      <w:pPr>
        <w:pStyle w:val="NormalHanging12a"/>
      </w:pPr>
      <w:r w:rsidRPr="00317F96">
        <w:t>–</w:t>
      </w:r>
      <w:r w:rsidRPr="00317F96">
        <w:tab/>
        <w:t>med beaktande av den slutliga årsredovisningen för Europeiska unionens järnvägsbyrå för budgetåret 2022,</w:t>
      </w:r>
    </w:p>
    <w:p w:rsidR="002D0F1B" w:rsidRPr="00317F96" w:rsidRDefault="002D0F1B" w:rsidP="002D0F1B">
      <w:pPr>
        <w:pStyle w:val="NormalHanging12a"/>
      </w:pPr>
      <w:r w:rsidRPr="00317F96">
        <w:t>–</w:t>
      </w:r>
      <w:r w:rsidRPr="00317F96">
        <w:tab/>
        <w:t>med beaktande av revisionsrättens årsrapport om EU:s byråer för budgetåret 2022, med byråernas svar</w:t>
      </w:r>
      <w:r w:rsidRPr="00317F96">
        <w:rPr>
          <w:rStyle w:val="FootnoteReference"/>
        </w:rPr>
        <w:footnoteReference w:id="1"/>
      </w:r>
      <w:r w:rsidRPr="00317F96">
        <w:t>,</w:t>
      </w:r>
    </w:p>
    <w:p w:rsidR="002D0F1B" w:rsidRPr="00317F96" w:rsidRDefault="002D0F1B" w:rsidP="002D0F1B">
      <w:pPr>
        <w:pStyle w:val="NormalHanging12a"/>
      </w:pPr>
      <w:r w:rsidRPr="00317F96">
        <w:t>–</w:t>
      </w:r>
      <w:r w:rsidRPr="00317F96">
        <w:tab/>
        <w:t>med beaktande av förklaringen om räkenskapernas tillförlitlighet och de underliggande transaktionernas laglighet och korrekthet</w:t>
      </w:r>
      <w:r w:rsidRPr="00317F96">
        <w:rPr>
          <w:rStyle w:val="FootnoteReference"/>
        </w:rPr>
        <w:footnoteReference w:id="2"/>
      </w:r>
      <w:r w:rsidRPr="00317F96">
        <w:t>, som avgetts av revisionsrätten för budgetåret 2022 i enlighet med artikel 287 i fördraget om Europeiska unionens funktionssätt,</w:t>
      </w:r>
    </w:p>
    <w:p w:rsidR="002D0F1B" w:rsidRPr="00317F96" w:rsidRDefault="002D0F1B" w:rsidP="002D0F1B">
      <w:pPr>
        <w:pStyle w:val="NormalHanging12a"/>
      </w:pPr>
      <w:r w:rsidRPr="00317F96">
        <w:t>–</w:t>
      </w:r>
      <w:r w:rsidRPr="00317F96">
        <w:tab/>
        <w:t>med beaktande av rådets rekommendation av den 22 februari 2024 om att bevilja byrån ansvarsfrihet för genomförandet av budgeten för budgetåret 2022 (</w:t>
      </w:r>
      <w:r w:rsidR="00AE6263" w:rsidRPr="00317F96">
        <w:t>06180</w:t>
      </w:r>
      <w:r w:rsidRPr="00317F96">
        <w:t>/2024 – C9</w:t>
      </w:r>
      <w:r w:rsidRPr="00317F96">
        <w:noBreakHyphen/>
      </w:r>
      <w:r w:rsidR="00AE6263" w:rsidRPr="00317F96">
        <w:t>0098</w:t>
      </w:r>
      <w:r w:rsidRPr="00317F96">
        <w:t>/2024),</w:t>
      </w:r>
    </w:p>
    <w:p w:rsidR="002D0F1B" w:rsidRPr="00317F96" w:rsidRDefault="002D0F1B" w:rsidP="002D0F1B">
      <w:pPr>
        <w:pStyle w:val="NormalHanging12a"/>
      </w:pPr>
      <w:r w:rsidRPr="00317F96">
        <w:t>–</w:t>
      </w:r>
      <w:r w:rsidRPr="00317F96">
        <w:tab/>
        <w:t>med beaktande av artikel 319 i fördraget om Europeiska unionens funktionssätt,</w:t>
      </w:r>
    </w:p>
    <w:p w:rsidR="002D0F1B" w:rsidRPr="00317F96" w:rsidRDefault="002D0F1B" w:rsidP="002D0F1B">
      <w:pPr>
        <w:pStyle w:val="NormalHanging12a"/>
      </w:pPr>
      <w:r w:rsidRPr="00317F96">
        <w:t>–</w:t>
      </w:r>
      <w:r w:rsidRPr="00317F96">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317F96">
        <w:rPr>
          <w:rStyle w:val="FootnoteReference"/>
        </w:rPr>
        <w:footnoteReference w:id="3"/>
      </w:r>
      <w:r w:rsidRPr="00317F96">
        <w:t>, särskilt artikel 70,</w:t>
      </w:r>
    </w:p>
    <w:p w:rsidR="002D0F1B" w:rsidRPr="00317F96" w:rsidRDefault="002D0F1B" w:rsidP="002D0F1B">
      <w:pPr>
        <w:pStyle w:val="NormalHanging12a"/>
      </w:pPr>
      <w:r w:rsidRPr="00317F96">
        <w:t>–</w:t>
      </w:r>
      <w:r w:rsidRPr="00317F96">
        <w:tab/>
        <w:t>med beaktande av Europaparlamentets och rådets förordning (EU) 2016/796 av den 11 maj 2016 om Europeiska unionens järnvägsbyrå och om upphävande av förordning (EG) nr 881/2004</w:t>
      </w:r>
      <w:r w:rsidRPr="00317F96">
        <w:rPr>
          <w:rStyle w:val="FootnoteReference"/>
        </w:rPr>
        <w:footnoteReference w:id="4"/>
      </w:r>
      <w:r w:rsidRPr="00317F96">
        <w:t>, särskilt artikel 65,</w:t>
      </w:r>
    </w:p>
    <w:p w:rsidR="002D0F1B" w:rsidRPr="00317F96" w:rsidRDefault="002D0F1B" w:rsidP="002D0F1B">
      <w:pPr>
        <w:pStyle w:val="NormalHanging12a"/>
      </w:pPr>
      <w:r w:rsidRPr="00317F96">
        <w:t>–</w:t>
      </w:r>
      <w:r w:rsidRPr="00317F96">
        <w:tab/>
        <w:t xml:space="preserve">med beaktande av kommissionens delegerade förordning (EU) 2019/715 av den 18 </w:t>
      </w:r>
      <w:r w:rsidRPr="00317F96">
        <w:lastRenderedPageBreak/>
        <w:t>december 2018 med rambudgetförordning för de organ som inrättats enligt EUF-fördraget och Euratomfördraget och som avses i artikel 70 i Europaparlamentets och rådets förordning (EU, Euratom) 2018/1046</w:t>
      </w:r>
      <w:r w:rsidRPr="00317F96">
        <w:rPr>
          <w:rStyle w:val="FootnoteReference"/>
        </w:rPr>
        <w:footnoteReference w:id="5"/>
      </w:r>
      <w:r w:rsidRPr="00317F96">
        <w:t>, särskilt artikel 105,</w:t>
      </w:r>
    </w:p>
    <w:p w:rsidR="002D0F1B" w:rsidRPr="00317F96" w:rsidRDefault="002D0F1B" w:rsidP="002D0F1B">
      <w:pPr>
        <w:pStyle w:val="NormalHanging12a"/>
      </w:pPr>
      <w:r w:rsidRPr="00317F96">
        <w:t>–</w:t>
      </w:r>
      <w:r w:rsidRPr="00317F96">
        <w:tab/>
        <w:t>med beaktande av artikel 100 och bilaga V i arbetsordningen,</w:t>
      </w:r>
    </w:p>
    <w:p w:rsidR="002D0F1B" w:rsidRPr="00317F96" w:rsidRDefault="002D0F1B" w:rsidP="002D0F1B">
      <w:pPr>
        <w:pStyle w:val="NormalHanging12a"/>
      </w:pPr>
      <w:r w:rsidRPr="00317F96">
        <w:t>–</w:t>
      </w:r>
      <w:r w:rsidRPr="00317F96">
        <w:tab/>
        <w:t>med beaktande av yttrandet från utskottet för transport och turism,</w:t>
      </w:r>
    </w:p>
    <w:p w:rsidR="002D0F1B" w:rsidRPr="00317F96" w:rsidRDefault="002D0F1B" w:rsidP="002D0F1B">
      <w:pPr>
        <w:pStyle w:val="NormalHanging12a"/>
      </w:pPr>
      <w:r w:rsidRPr="00317F96">
        <w:t>–</w:t>
      </w:r>
      <w:r w:rsidRPr="00317F96">
        <w:tab/>
        <w:t>med beaktande av betänkandet från budgetkontrollutskottet (A9-0092/2024).</w:t>
      </w:r>
    </w:p>
    <w:p w:rsidR="002D0F1B" w:rsidRPr="00317F96" w:rsidRDefault="002D0F1B" w:rsidP="002D0F1B">
      <w:pPr>
        <w:pStyle w:val="NormalHanging12a"/>
      </w:pPr>
      <w:r w:rsidRPr="00317F96">
        <w:t>1.</w:t>
      </w:r>
      <w:r w:rsidRPr="00317F96">
        <w:tab/>
        <w:t>Europaparlamentet beviljar verkställande direktören för Europeiska unionens järnvägsbyrå ansvarsfrihet för genomförandet av byråns budget för budgetåret 2022.</w:t>
      </w:r>
    </w:p>
    <w:p w:rsidR="002D0F1B" w:rsidRPr="00317F96" w:rsidRDefault="002D0F1B" w:rsidP="002D0F1B">
      <w:pPr>
        <w:pStyle w:val="NormalHanging12a"/>
      </w:pPr>
      <w:r w:rsidRPr="00317F96">
        <w:t>2.</w:t>
      </w:r>
      <w:r w:rsidRPr="00317F96">
        <w:tab/>
        <w:t>Europaparlamentet redovisar sina iakttagelser i resolutionen nedan.</w:t>
      </w:r>
    </w:p>
    <w:p w:rsidR="002D0F1B" w:rsidRPr="00317F96" w:rsidRDefault="002D0F1B" w:rsidP="002D0F1B">
      <w:pPr>
        <w:pStyle w:val="NormalHanging12a"/>
      </w:pPr>
      <w:r w:rsidRPr="00317F96">
        <w:t>3.</w:t>
      </w:r>
      <w:r w:rsidRPr="00317F96">
        <w:tab/>
        <w:t xml:space="preserve">Europaparlamentet uppdrar åt talmannen att översända detta beslut och den resolution som utgör en del av beslutet till verkställande direktören för Europeiska unionens järnvägsbyrå, rådet, kommissionen och revisionsrätten, och att se till att de offentliggörs i </w:t>
      </w:r>
      <w:r w:rsidRPr="00317F96">
        <w:rPr>
          <w:i/>
        </w:rPr>
        <w:t>Europeiska unionens officiella tidning</w:t>
      </w:r>
      <w:r w:rsidRPr="00317F96">
        <w:t xml:space="preserve"> (L-serien).</w:t>
      </w:r>
    </w:p>
    <w:p w:rsidR="002D0F1B" w:rsidRPr="00317F96" w:rsidRDefault="002D0F1B" w:rsidP="002D0F1B"/>
    <w:p w:rsidR="002D0F1B" w:rsidRPr="00317F96" w:rsidRDefault="002D0F1B" w:rsidP="002D0F1B">
      <w:pPr>
        <w:widowControl/>
        <w:rPr>
          <w:rFonts w:ascii="Arial" w:hAnsi="Arial" w:cs="Arial"/>
          <w:b/>
        </w:rPr>
        <w:sectPr w:rsidR="002D0F1B" w:rsidRPr="00317F96" w:rsidSect="0061408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2D0F1B" w:rsidRPr="00317F96" w:rsidRDefault="00AA26C1" w:rsidP="00AA26C1">
      <w:pPr>
        <w:pStyle w:val="ATHeading3"/>
      </w:pPr>
      <w:r w:rsidRPr="00317F96">
        <w:lastRenderedPageBreak/>
        <w:t xml:space="preserve">2. Europaparlamentets beslut av den 11 april 2024 </w:t>
      </w:r>
      <w:r w:rsidR="002D0F1B" w:rsidRPr="00317F96">
        <w:t>om avslutande av räkenskaperna för Europeiska unionens järnvägsbyrå för budgetåret 2022</w:t>
      </w:r>
      <w:r w:rsidRPr="00317F96">
        <w:t xml:space="preserve"> </w:t>
      </w:r>
      <w:r w:rsidR="002D0F1B" w:rsidRPr="00317F96">
        <w:t>(2023/2160(DEC))</w:t>
      </w:r>
    </w:p>
    <w:p w:rsidR="002D0F1B" w:rsidRPr="00317F96" w:rsidRDefault="002D0F1B" w:rsidP="002D0F1B">
      <w:pPr>
        <w:pStyle w:val="EPComma"/>
      </w:pPr>
      <w:r w:rsidRPr="00317F96">
        <w:rPr>
          <w:i/>
        </w:rPr>
        <w:t>Europaparlamentet fattar detta beslut</w:t>
      </w:r>
    </w:p>
    <w:p w:rsidR="002D0F1B" w:rsidRPr="00317F96" w:rsidRDefault="002D0F1B" w:rsidP="002D0F1B">
      <w:pPr>
        <w:pStyle w:val="NormalHanging12a"/>
      </w:pPr>
      <w:r w:rsidRPr="00317F96">
        <w:t>–</w:t>
      </w:r>
      <w:r w:rsidRPr="00317F96">
        <w:tab/>
        <w:t>med beaktande av den slutliga årsredovisningen för Europeiska unionens järnvägsbyrå för budgetåret 2022,</w:t>
      </w:r>
    </w:p>
    <w:p w:rsidR="002D0F1B" w:rsidRPr="00317F96" w:rsidRDefault="002D0F1B" w:rsidP="002D0F1B">
      <w:pPr>
        <w:pStyle w:val="NormalHanging12a"/>
      </w:pPr>
      <w:r w:rsidRPr="00317F96">
        <w:t>–</w:t>
      </w:r>
      <w:r w:rsidRPr="00317F96">
        <w:tab/>
        <w:t>med beaktande av revisionsrättens årsrapport om EU:s byråer för budgetåret 2022, med byråernas svar</w:t>
      </w:r>
      <w:r w:rsidRPr="00317F96">
        <w:rPr>
          <w:rStyle w:val="FootnoteReference"/>
        </w:rPr>
        <w:footnoteReference w:id="6"/>
      </w:r>
      <w:r w:rsidRPr="00317F96">
        <w:t>,</w:t>
      </w:r>
    </w:p>
    <w:p w:rsidR="002D0F1B" w:rsidRPr="00317F96" w:rsidRDefault="002D0F1B" w:rsidP="002D0F1B">
      <w:pPr>
        <w:pStyle w:val="NormalHanging12a"/>
      </w:pPr>
      <w:r w:rsidRPr="00317F96">
        <w:t>–</w:t>
      </w:r>
      <w:r w:rsidRPr="00317F96">
        <w:tab/>
        <w:t>med beaktande av förklaringen om räkenskapernas tillförlitlighet och de underliggande transaktionernas laglighet och korrekthet</w:t>
      </w:r>
      <w:r w:rsidRPr="00317F96">
        <w:rPr>
          <w:rStyle w:val="FootnoteReference"/>
        </w:rPr>
        <w:footnoteReference w:id="7"/>
      </w:r>
      <w:r w:rsidRPr="00317F96">
        <w:t>, som avgetts av revisionsrätten för budgetåret 2022 i enlighet med artikel 287 i fördraget om Europeiska unionens funktionssätt,</w:t>
      </w:r>
    </w:p>
    <w:p w:rsidR="002D0F1B" w:rsidRPr="00317F96" w:rsidRDefault="002D0F1B" w:rsidP="002D0F1B">
      <w:pPr>
        <w:pStyle w:val="NormalHanging12a"/>
      </w:pPr>
      <w:r w:rsidRPr="00317F96">
        <w:t>–</w:t>
      </w:r>
      <w:r w:rsidRPr="00317F96">
        <w:tab/>
        <w:t>med beaktande av rådets rekommendation av den 22 februari 2024 om att bevilja byrån ansvarsfrihet för genomförandet av budgeten för budgetåret 2022 (</w:t>
      </w:r>
      <w:r w:rsidR="00AE6263" w:rsidRPr="00317F96">
        <w:t>06180</w:t>
      </w:r>
      <w:r w:rsidRPr="00317F96">
        <w:t>/2024 – C9</w:t>
      </w:r>
      <w:r w:rsidRPr="00317F96">
        <w:noBreakHyphen/>
      </w:r>
      <w:r w:rsidR="00AE6263" w:rsidRPr="00317F96">
        <w:t>0098</w:t>
      </w:r>
      <w:r w:rsidRPr="00317F96">
        <w:t>/2024),</w:t>
      </w:r>
    </w:p>
    <w:p w:rsidR="002D0F1B" w:rsidRPr="00317F96" w:rsidRDefault="002D0F1B" w:rsidP="002D0F1B">
      <w:pPr>
        <w:pStyle w:val="NormalHanging12a"/>
      </w:pPr>
      <w:r w:rsidRPr="00317F96">
        <w:t>–</w:t>
      </w:r>
      <w:r w:rsidRPr="00317F96">
        <w:tab/>
        <w:t>med beaktande av artikel 319 i fördraget om Europeiska unionens funktionssätt,</w:t>
      </w:r>
    </w:p>
    <w:p w:rsidR="002D0F1B" w:rsidRPr="00317F96" w:rsidRDefault="002D0F1B" w:rsidP="002D0F1B">
      <w:pPr>
        <w:pStyle w:val="NormalHanging12a"/>
      </w:pPr>
      <w:r w:rsidRPr="00317F96">
        <w:t>–</w:t>
      </w:r>
      <w:r w:rsidRPr="00317F96">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317F96">
        <w:rPr>
          <w:rStyle w:val="FootnoteReference"/>
        </w:rPr>
        <w:footnoteReference w:id="8"/>
      </w:r>
      <w:r w:rsidRPr="00317F96">
        <w:t>, särskilt artikel 70,</w:t>
      </w:r>
    </w:p>
    <w:p w:rsidR="002D0F1B" w:rsidRPr="00317F96" w:rsidRDefault="002D0F1B" w:rsidP="002D0F1B">
      <w:pPr>
        <w:pStyle w:val="NormalHanging12a"/>
      </w:pPr>
      <w:r w:rsidRPr="00317F96">
        <w:t>–</w:t>
      </w:r>
      <w:r w:rsidRPr="00317F96">
        <w:tab/>
        <w:t>med beaktande av Europaparlamentets och rådets förordning (EU) 2016/796 av den 11 maj 2016 om Europeiska unionens järnvägsbyrå och om upphävande av förordning (EG) nr 881/2004</w:t>
      </w:r>
      <w:r w:rsidRPr="00317F96">
        <w:rPr>
          <w:rStyle w:val="FootnoteReference"/>
        </w:rPr>
        <w:footnoteReference w:id="9"/>
      </w:r>
      <w:r w:rsidRPr="00317F96">
        <w:t>, särskilt artikel 65,</w:t>
      </w:r>
    </w:p>
    <w:p w:rsidR="002D0F1B" w:rsidRPr="00317F96" w:rsidRDefault="002D0F1B" w:rsidP="002D0F1B">
      <w:pPr>
        <w:pStyle w:val="NormalHanging12a"/>
      </w:pPr>
      <w:r w:rsidRPr="00317F96">
        <w:t>–</w:t>
      </w:r>
      <w:r w:rsidRPr="00317F96">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317F96">
        <w:rPr>
          <w:rStyle w:val="FootnoteReference"/>
        </w:rPr>
        <w:footnoteReference w:id="10"/>
      </w:r>
      <w:r w:rsidRPr="00317F96">
        <w:t>, särskilt artikel 105,</w:t>
      </w:r>
    </w:p>
    <w:p w:rsidR="002D0F1B" w:rsidRPr="00317F96" w:rsidRDefault="002D0F1B" w:rsidP="002D0F1B">
      <w:pPr>
        <w:pStyle w:val="NormalHanging12a"/>
      </w:pPr>
      <w:r w:rsidRPr="00317F96">
        <w:t>–</w:t>
      </w:r>
      <w:r w:rsidRPr="00317F96">
        <w:tab/>
        <w:t>med beaktande av artikel 100 och bilaga V i arbetsordningen,</w:t>
      </w:r>
    </w:p>
    <w:p w:rsidR="002D0F1B" w:rsidRPr="00317F96" w:rsidRDefault="002D0F1B" w:rsidP="002D0F1B">
      <w:pPr>
        <w:pStyle w:val="NormalHanging12a"/>
      </w:pPr>
      <w:r w:rsidRPr="00317F96">
        <w:t>–</w:t>
      </w:r>
      <w:r w:rsidRPr="00317F96">
        <w:tab/>
        <w:t>med beaktande av yttrandet från utskottet för transport och turism,</w:t>
      </w:r>
    </w:p>
    <w:p w:rsidR="002D0F1B" w:rsidRPr="00317F96" w:rsidRDefault="002D0F1B" w:rsidP="002D0F1B">
      <w:pPr>
        <w:pStyle w:val="NormalHanging12a"/>
      </w:pPr>
      <w:r w:rsidRPr="00317F96">
        <w:t>–</w:t>
      </w:r>
      <w:r w:rsidRPr="00317F96">
        <w:tab/>
        <w:t>med beaktande av betänkandet från budgetkontrollutskottet (A9-0092/2024).</w:t>
      </w:r>
    </w:p>
    <w:p w:rsidR="002D0F1B" w:rsidRPr="00317F96" w:rsidRDefault="002D0F1B" w:rsidP="002D0F1B">
      <w:pPr>
        <w:pStyle w:val="NormalHanging12a"/>
      </w:pPr>
      <w:r w:rsidRPr="00317F96">
        <w:t>1.</w:t>
      </w:r>
      <w:r w:rsidRPr="00317F96">
        <w:tab/>
        <w:t>Europaparlamentet godkänner avslutandet av räkenskaperna för Europeiska unionens järnvägsbyrå för budgetåret 2022.</w:t>
      </w:r>
    </w:p>
    <w:p w:rsidR="002D0F1B" w:rsidRPr="00317F96" w:rsidRDefault="002D0F1B" w:rsidP="002D0F1B">
      <w:pPr>
        <w:pStyle w:val="NormalHanging12a"/>
      </w:pPr>
      <w:r w:rsidRPr="00317F96">
        <w:lastRenderedPageBreak/>
        <w:t>2.</w:t>
      </w:r>
      <w:r w:rsidRPr="00317F96">
        <w:tab/>
        <w:t xml:space="preserve">Europaparlamentet uppdrar åt talmannen att översända detta beslut till verkställande direktören för Europeiska unionens järnvägsbyrå, rådet, kommissionen och revisionsrätten, och att se till att det offentliggörs i </w:t>
      </w:r>
      <w:r w:rsidRPr="00317F96">
        <w:rPr>
          <w:i/>
        </w:rPr>
        <w:t>Europeiska unionens officiella tidning</w:t>
      </w:r>
      <w:r w:rsidRPr="00317F96">
        <w:t xml:space="preserve"> (L-serien).</w:t>
      </w:r>
    </w:p>
    <w:p w:rsidR="002D0F1B" w:rsidRPr="00317F96" w:rsidRDefault="002D0F1B" w:rsidP="002D0F1B"/>
    <w:p w:rsidR="002D0F1B" w:rsidRPr="00317F96" w:rsidRDefault="002D0F1B" w:rsidP="002D0F1B">
      <w:pPr>
        <w:widowControl/>
        <w:rPr>
          <w:rFonts w:ascii="Arial" w:hAnsi="Arial" w:cs="Arial"/>
          <w:b/>
        </w:rPr>
        <w:sectPr w:rsidR="002D0F1B" w:rsidRPr="00317F96" w:rsidSect="00614082">
          <w:footnotePr>
            <w:numRestart w:val="eachPage"/>
          </w:footnotePr>
          <w:endnotePr>
            <w:numFmt w:val="decimal"/>
          </w:endnotePr>
          <w:pgSz w:w="11906" w:h="16838"/>
          <w:pgMar w:top="1134" w:right="1418" w:bottom="1418" w:left="1418" w:header="567" w:footer="567" w:gutter="0"/>
          <w:cols w:space="720"/>
          <w:docGrid w:linePitch="326"/>
        </w:sectPr>
      </w:pPr>
    </w:p>
    <w:p w:rsidR="002D0F1B" w:rsidRPr="00317F96" w:rsidRDefault="00416B50" w:rsidP="00416B50">
      <w:pPr>
        <w:pStyle w:val="ATHeading3"/>
      </w:pPr>
      <w:r w:rsidRPr="00317F96">
        <w:lastRenderedPageBreak/>
        <w:t xml:space="preserve">3. Europaparlamentets resolution av den 11 april 2024 </w:t>
      </w:r>
      <w:r w:rsidR="002D0F1B" w:rsidRPr="00317F96">
        <w:t>med de iakttagelser som utgör en del av beslutet om ansvarsfrihet för genomförandet av budgeten för Europeiska unionens järnvägsbyrå för budgetåret 2022</w:t>
      </w:r>
      <w:r w:rsidRPr="00317F96">
        <w:t xml:space="preserve"> </w:t>
      </w:r>
      <w:r w:rsidR="002D0F1B" w:rsidRPr="00317F96">
        <w:t>(2023/2160(DEC))</w:t>
      </w:r>
    </w:p>
    <w:p w:rsidR="002D0F1B" w:rsidRPr="00317F96" w:rsidRDefault="002D0F1B" w:rsidP="002D0F1B">
      <w:pPr>
        <w:pStyle w:val="EPComma"/>
      </w:pPr>
      <w:r w:rsidRPr="00317F96">
        <w:rPr>
          <w:i/>
        </w:rPr>
        <w:t>Europaparlamentet utfärdar denna resolution</w:t>
      </w:r>
    </w:p>
    <w:p w:rsidR="002D0F1B" w:rsidRPr="00317F96" w:rsidRDefault="002D0F1B" w:rsidP="002D0F1B">
      <w:pPr>
        <w:pStyle w:val="NormalHanging12a"/>
      </w:pPr>
      <w:r w:rsidRPr="00317F96">
        <w:t>–</w:t>
      </w:r>
      <w:r w:rsidRPr="00317F96">
        <w:tab/>
        <w:t>med beaktande av sitt beslut om ansvarsfrihet för genomförandet av budgeten för Europeiska unionens järnvägsbyrå för budgetåret 2022,</w:t>
      </w:r>
    </w:p>
    <w:p w:rsidR="002D0F1B" w:rsidRPr="00317F96" w:rsidRDefault="002D0F1B" w:rsidP="002D0F1B">
      <w:pPr>
        <w:pStyle w:val="NormalHanging12a"/>
      </w:pPr>
      <w:r w:rsidRPr="00317F96">
        <w:t>–</w:t>
      </w:r>
      <w:r w:rsidRPr="00317F96">
        <w:tab/>
        <w:t>med beaktande av artikel 100 och bilaga V i arbetsordningen,</w:t>
      </w:r>
    </w:p>
    <w:p w:rsidR="002D0F1B" w:rsidRPr="00317F96" w:rsidRDefault="002D0F1B" w:rsidP="002D0F1B">
      <w:pPr>
        <w:pStyle w:val="NormalHanging12a"/>
      </w:pPr>
      <w:r w:rsidRPr="00317F96">
        <w:t>–</w:t>
      </w:r>
      <w:r w:rsidRPr="00317F96">
        <w:tab/>
        <w:t>med beaktande av yttrandet från utskottet för transport och turism,</w:t>
      </w:r>
    </w:p>
    <w:p w:rsidR="002D0F1B" w:rsidRPr="00317F96" w:rsidRDefault="002D0F1B" w:rsidP="002D0F1B">
      <w:pPr>
        <w:pStyle w:val="NormalHanging12a"/>
      </w:pPr>
      <w:r w:rsidRPr="00317F96">
        <w:t>–</w:t>
      </w:r>
      <w:r w:rsidRPr="00317F96">
        <w:tab/>
        <w:t>med beaktande av betänkandet från budgetkontrollutskottet (A9-0092/2024), och av följande skäl:</w:t>
      </w:r>
    </w:p>
    <w:p w:rsidR="002D0F1B" w:rsidRPr="00317F96" w:rsidRDefault="002D0F1B" w:rsidP="002D0F1B">
      <w:pPr>
        <w:spacing w:after="240"/>
        <w:ind w:left="567" w:hanging="567"/>
        <w:rPr>
          <w:szCs w:val="24"/>
        </w:rPr>
      </w:pPr>
      <w:r w:rsidRPr="00317F96">
        <w:t>A.</w:t>
      </w:r>
      <w:r w:rsidRPr="00317F96">
        <w:tab/>
        <w:t>Enligt sammanställningen över inkomster och utgifter</w:t>
      </w:r>
      <w:r w:rsidRPr="00317F96">
        <w:rPr>
          <w:rStyle w:val="FootnoteReference"/>
          <w:szCs w:val="24"/>
        </w:rPr>
        <w:footnoteReference w:id="11"/>
      </w:r>
      <w:r w:rsidRPr="00317F96">
        <w:t xml:space="preserve"> för Europeiska unionens järnvägsbyrå (</w:t>
      </w:r>
      <w:r w:rsidRPr="00317F96">
        <w:rPr>
          <w:i/>
        </w:rPr>
        <w:t>byrån</w:t>
      </w:r>
      <w:r w:rsidRPr="00317F96">
        <w:t>) uppgick den slutliga budgeten för budgetåret 2022 till 34 814 691 EUR, vilket innebär en ökning med 9,38 % jämfört med 2021. Byråns budget kommer huvudsakligen från unionens budget.</w:t>
      </w:r>
    </w:p>
    <w:p w:rsidR="002D0F1B" w:rsidRPr="00317F96" w:rsidRDefault="002D0F1B" w:rsidP="002D0F1B">
      <w:pPr>
        <w:spacing w:after="240"/>
        <w:ind w:left="567" w:hanging="567"/>
        <w:rPr>
          <w:szCs w:val="24"/>
        </w:rPr>
      </w:pPr>
      <w:r w:rsidRPr="00317F96">
        <w:t>B.</w:t>
      </w:r>
      <w:r w:rsidRPr="00317F96">
        <w:tab/>
        <w:t>Revisionsrätten har i sin rapport om byråns årsredovisning för budgetåret 2022 förklarat att man har uppnått rimlig säkerhet om att byråns räkenskaper är tillförlitliga och att de underliggande transaktionerna är lagliga och korrekta.</w:t>
      </w:r>
    </w:p>
    <w:p w:rsidR="002D0F1B" w:rsidRPr="00317F96" w:rsidRDefault="002D0F1B" w:rsidP="002D0F1B">
      <w:pPr>
        <w:spacing w:after="240"/>
        <w:ind w:left="567" w:hanging="567"/>
        <w:rPr>
          <w:b/>
          <w:i/>
          <w:szCs w:val="24"/>
        </w:rPr>
      </w:pPr>
      <w:r w:rsidRPr="00317F96">
        <w:rPr>
          <w:b/>
          <w:i/>
        </w:rPr>
        <w:t>Budgetförvaltning och ekonomisk förvaltning</w:t>
      </w:r>
    </w:p>
    <w:p w:rsidR="002D0F1B" w:rsidRPr="00317F96" w:rsidRDefault="002D0F1B" w:rsidP="002D0F1B">
      <w:pPr>
        <w:spacing w:after="240"/>
        <w:ind w:left="567" w:hanging="567"/>
        <w:rPr>
          <w:szCs w:val="24"/>
        </w:rPr>
      </w:pPr>
      <w:r w:rsidRPr="00317F96">
        <w:t>1.</w:t>
      </w:r>
      <w:r w:rsidRPr="00317F96">
        <w:tab/>
        <w:t>Europaparlamentet noterar med tillfredsställelse att insatserna för budgetövervakning under budgetåret 2022 resulterade i ett budgetgenomförande av åtagandebemyndigandena för det innevarande året på 99,95 %, vilket är en liten ökning med 0,13 % jämfört med 2021. Parlamentet noterar också att genomförandegraden för betalningsbemyndigandena för det innevarande året var 94,97 %, vilket är en ökning med 1,43 % jämfört med 2021. Europaparlamentet noterar att budgetutfallet för 2022 var 81 821 EUR, en ökning från 69 638 EUR 2021.</w:t>
      </w:r>
    </w:p>
    <w:p w:rsidR="002D0F1B" w:rsidRPr="00317F96" w:rsidRDefault="002D0F1B" w:rsidP="002D0F1B">
      <w:pPr>
        <w:spacing w:after="240"/>
        <w:ind w:left="567" w:hanging="567"/>
        <w:rPr>
          <w:szCs w:val="24"/>
        </w:rPr>
      </w:pPr>
      <w:r w:rsidRPr="00317F96">
        <w:t>2.</w:t>
      </w:r>
      <w:r w:rsidRPr="00317F96">
        <w:tab/>
        <w:t>Europaparlamentet konstaterar att globala externa faktorer, såsom den instabila geopolitiska situationen och energikrisen, hade störst inverkan på budgetgenomförandet 2022 genom att de medförde hög volatilitet som i sin tur ledde till oförutsägbara ökningar av byråns kostnader. Parlamentet noterar att byrån har vidtagit kraftfulla åtgärder för att kontrollera sina utgifter, anpassat avgiftsnivån (dvs. timtaxan har höjts och justeras regelbundet i enlighet med inflationstakten) och infört en regelbunden övervakningsprocess av budgetgenomförandet med flera planerings- och övervakningsverktyg som automatiserar processen.</w:t>
      </w:r>
    </w:p>
    <w:p w:rsidR="002D0F1B" w:rsidRPr="00317F96" w:rsidRDefault="002D0F1B" w:rsidP="002D0F1B">
      <w:pPr>
        <w:spacing w:after="240"/>
        <w:ind w:left="567" w:hanging="567"/>
        <w:rPr>
          <w:szCs w:val="24"/>
        </w:rPr>
      </w:pPr>
      <w:r w:rsidRPr="00317F96">
        <w:t>3.</w:t>
      </w:r>
      <w:r w:rsidRPr="00317F96">
        <w:tab/>
        <w:t xml:space="preserve">Europaparlamentet noterar att byrån anslöt sig till kommissionens pilotfas för att ersätta budget- och redovisningssystemet med ett nytt system, SUMMA. Parlamentet noterar i detta sammanhang utifrån revisionsrättens rapport iakttagelserna om de brister och tillkortakommanden som observerats inom byrån, nämligen att ingen riskhanterings- </w:t>
      </w:r>
      <w:r w:rsidRPr="00317F96">
        <w:lastRenderedPageBreak/>
        <w:t>och kontrollstrategi införts för genomförandet av det nya systemet, att ekonomihanteringsprocesserna och strategin för förhands- och efterhandskontroller inte uppdaterats samt att de rättigheter som en användare tilldelas inte kontrolleras. Parlamentet noterar utifrån byråns svar på revisionsrättens iakttagelser att begränsningsåtgärder har vidtagits proaktivt längs den inneboende inlärningskurvan, bland annat genom att man under andra halvåret 2022 började uppdatera byråns ekonomihanteringsprocesser och strategi för förhands- och efterhandskontroller, och att de relevanta dokumenten förväntas uppdateras under 2023. Parlamentet uppmanar byrån att fullt ut beakta revisionsrättens iakttagelser och att hålla den ansvarsfrihetsbeviljande myndigheten informerad om framsteg i detta avseende.</w:t>
      </w:r>
    </w:p>
    <w:p w:rsidR="002D0F1B" w:rsidRPr="00317F96" w:rsidRDefault="002D0F1B" w:rsidP="002D0F1B">
      <w:pPr>
        <w:spacing w:after="240"/>
        <w:ind w:left="567" w:hanging="567"/>
        <w:rPr>
          <w:szCs w:val="24"/>
        </w:rPr>
      </w:pPr>
      <w:r w:rsidRPr="00317F96">
        <w:t>4.</w:t>
      </w:r>
      <w:r w:rsidRPr="00317F96">
        <w:tab/>
        <w:t>Europaparlamentet noterar revisionsrättens iakttagelse om byråns bristande efterlevnad av den tidsfrist för betalningar som fastställs i budgetförordningen, då 12,2 % av betalningarna gjordes med mer än 30 dagars försening 2022. Parlamentet noterar byråns ståndpunkt att dessa förseningar hängde samman med genomförandet av det nya SUMMA-systemet och att åtgärder vidtogs under tiden för att undvika betalningsförseningar.</w:t>
      </w:r>
    </w:p>
    <w:p w:rsidR="002D0F1B" w:rsidRPr="00317F96" w:rsidRDefault="002D0F1B" w:rsidP="002D0F1B">
      <w:pPr>
        <w:spacing w:after="240"/>
        <w:ind w:left="567" w:hanging="567"/>
        <w:rPr>
          <w:szCs w:val="24"/>
        </w:rPr>
      </w:pPr>
      <w:r w:rsidRPr="00317F96">
        <w:t>5.</w:t>
      </w:r>
      <w:r w:rsidRPr="00317F96">
        <w:tab/>
        <w:t>Europaparlamentet noterar vidare att byrån också ådrog sig förseningar i utställandet av fakturor (eller så kallade debetnotor) för tillhörande avgifter, förseningar som enligt byrån också berodde på genomförandet av det nya SUMMA-systemet, och att byrån drabbades av sent mottagna kostnadsredovisningar från de nationella säkerhetsmyndigheterna, vilket innebar att man stred mot de relevanta artiklarna i budgetföro</w:t>
      </w:r>
      <w:r w:rsidR="00CC0E46">
        <w:t>rdningen och förordning (EU</w:t>
      </w:r>
      <w:bookmarkStart w:id="8" w:name="_GoBack"/>
      <w:bookmarkEnd w:id="8"/>
      <w:r w:rsidR="000A25AF">
        <w:t xml:space="preserve">) </w:t>
      </w:r>
      <w:r w:rsidRPr="00317F96">
        <w:t>2018/764 om byråns avgifter. Parlamentet konstaterar utifrån byråns svar på revisionsrättens iakttagelser att det skulle vara möjligt att undvika eller minska sådana förseningar om de nationella säkerhetsmyndigheterna lämnar in kostnadsredovisningarna i god tid till byrån, men att byrån inte har möjlighet att se till att de nationella säkerhetsmyndigheterna respekterar tidsfristerna.</w:t>
      </w:r>
    </w:p>
    <w:p w:rsidR="002D0F1B" w:rsidRPr="00317F96" w:rsidRDefault="002D0F1B" w:rsidP="00234229">
      <w:pPr>
        <w:pStyle w:val="NormalHanging12a"/>
      </w:pPr>
      <w:r w:rsidRPr="00317F96">
        <w:t>6.</w:t>
      </w:r>
      <w:r w:rsidRPr="00317F96">
        <w:tab/>
        <w:t>Europaparlamentet påminner om att byrån har den minsta budgeten bland transportbyråerna, trots miljöfördelarna med järnvägstransporter, som är en av kommissionens prioriteringar. Parlamentet lovordar ökningen av budgeten för budgetåret 2022, vilket åtföljts av andra insatser för att öka konkurrenskraften, förbättra säkerheten och främja gränsöverskridande driftskompatibilitet. Parlamentet efterlyser dock en budgetökning för att säkerställa att byrån har de resurser som krävs för att kunna verka som en effektiv myndighet och på ett ändamålsenligt sätt fullgöra sina uppgifter.</w:t>
      </w:r>
    </w:p>
    <w:p w:rsidR="002D0F1B" w:rsidRPr="00317F96" w:rsidRDefault="002D0F1B" w:rsidP="002D0F1B">
      <w:pPr>
        <w:spacing w:after="240"/>
        <w:ind w:left="567" w:hanging="567"/>
        <w:rPr>
          <w:b/>
          <w:i/>
          <w:szCs w:val="24"/>
        </w:rPr>
      </w:pPr>
      <w:r w:rsidRPr="00317F96">
        <w:rPr>
          <w:b/>
          <w:i/>
        </w:rPr>
        <w:t>Verksamhetsresultat</w:t>
      </w:r>
    </w:p>
    <w:p w:rsidR="002D0F1B" w:rsidRPr="00317F96" w:rsidRDefault="002D0F1B" w:rsidP="002D0F1B">
      <w:pPr>
        <w:spacing w:after="240"/>
        <w:ind w:left="567" w:hanging="567"/>
        <w:rPr>
          <w:szCs w:val="24"/>
        </w:rPr>
      </w:pPr>
      <w:r w:rsidRPr="00317F96">
        <w:t>7.</w:t>
      </w:r>
      <w:r w:rsidRPr="00317F96">
        <w:tab/>
        <w:t xml:space="preserve">Europaparlamentet noterar att byrån genomförde 81,13 % av sitt årliga arbetsprogram för 2022, jämfört med 76,41 % 2021, vilket är en välkommen ökning för andra året i rad. Parlamentet noterar att byrån under 2022 antog en ny struktur för sitt arbetsprogram genom att gå från ett verksamhetsbaserat till ett strategiskt arbetsprogram, och att byrån lanserade en ny plattform för månatlig rapportering av alla projekt och tjänster samt en ny resultattavla för övervakning. Parlamentet noterar att det årliga arbetsprogrammet omfattar nio strategiska förklaringar som har utformats i enlighet med det genomslag som byrån strävar efter att ha i samhället. Parlamentet konstaterar att byrån på ett framgångsrikt sätt har levt upp till sina strategiska förklaringar genom att i hög grad ha uppnått byråns olika resultatmål och centrala resultatindikatorer under 2022. Parlamentet noterar dock att vissa centrala resultatindikatorer inte har uppnåtts, såsom </w:t>
      </w:r>
      <w:r w:rsidRPr="00317F96">
        <w:lastRenderedPageBreak/>
        <w:t>de som rör lanseringen av ”studiefas 3” för byråns nya byggnad i Valenciennes, genomförandet av ett nytt system (Ares) för dokumenthantering, betalningar som gjorts inom avtalsenliga tidsfrister i samband med antagandet av ett nytt ekonomisystem (SUMMA) i pilotfasen och initiativet ”Kvinnor inom transportsektorn”.</w:t>
      </w:r>
    </w:p>
    <w:p w:rsidR="002D0F1B" w:rsidRPr="00317F96" w:rsidRDefault="002D0F1B" w:rsidP="002D0F1B">
      <w:pPr>
        <w:spacing w:after="240"/>
        <w:ind w:left="567" w:hanging="567"/>
      </w:pPr>
      <w:r w:rsidRPr="00317F96">
        <w:t>8.</w:t>
      </w:r>
      <w:r w:rsidRPr="00317F96">
        <w:tab/>
        <w:t>Europaparlamentet noterar vissa av byråns viktigaste resultat under 2022, såsom antagandet av den förstärkta handlingsplanen för 2023–2027, ett snabbt tillhandahållande av betydligt fler fordonstillstånd (1 861) och gemensamma säkerhetsintyg (66), slutförandet av byråns rekommendation om TSD-översynspaketet 2022, som kommer att bidra till att förbättra järnvägens driftskompatibilitet i hela unionen, lanseringen av den andra granskningscykeln för övervakning av nationella säkerhetsmyndigheter som omfattar alla uppgifter som tilldelats de nationella säkerhetsmyndigheterna enligt unionslagstiftningen, exceptionellt många rapporter (åtta i stället för de tre förväntade) på området övervakning av anmälda organ och arbetet med byråns första rapport på grundval av resultaten från undersökningen av säkerhetsklimatet (som inleddes 2021 och har gett 46 500 svar). Parlamentet berömmer byrån för framtagandet av säkerhetsutbildningsmoduler om rättvisekultur, som ska bidra till att öka säkerheten inom hela sektorn, samt för de resultat som uppnåtts (verktygslåda, väglednings- och utbildningsmaterial, insatser för att öka medvetenheten, utbildningsmoduler) när det gäller att integrera mänskliga och organisatoriska faktorer, vilket kommer att bidra till att förbättra järnvägssäkerheten och effektiviteten på detta område.</w:t>
      </w:r>
    </w:p>
    <w:p w:rsidR="002D0F1B" w:rsidRPr="00317F96" w:rsidRDefault="002D0F1B" w:rsidP="002D0F1B">
      <w:pPr>
        <w:pStyle w:val="NormalHanging12a"/>
      </w:pPr>
      <w:r w:rsidRPr="00317F96">
        <w:t>9.</w:t>
      </w:r>
      <w:r w:rsidRPr="00317F96">
        <w:tab/>
        <w:t>Europaparlamentet betonar vikten av att fortsatt stödja alla initiativ som syftar till att skapa bättre samsyn i fråga om de tekniska specifikationerna för driftskompatibilitet (TSD), vilka bidrar till utvecklingen av en stark och konkurrenskraftig europeisk järnvägsindustri. Parlamentet insisterar på att det krävs mer stöd till innovation inom godstrafiktjänster på järnväg och intermodala transporttjänster för att uppnå en konkurrenskraftig integration i logistikvärdekedjan, med automatisering och digitalisering av godstrafiken.</w:t>
      </w:r>
    </w:p>
    <w:p w:rsidR="002D0F1B" w:rsidRPr="00317F96" w:rsidRDefault="002D0F1B" w:rsidP="002D0F1B">
      <w:pPr>
        <w:spacing w:after="240"/>
        <w:ind w:left="567" w:hanging="567"/>
      </w:pPr>
      <w:r w:rsidRPr="00317F96">
        <w:t>10.</w:t>
      </w:r>
      <w:r w:rsidRPr="00317F96">
        <w:tab/>
        <w:t>Europaparlamentet välkomnar rapporten om järnvägssäkerhet och driftskompatibilitet i EU. Parlamentet lyfter fram byråns kontinuerliga engagemang för målet att skapa ett gemensamt europeiskt järnvägsområde och dess fortsatta arbete på centrala områden, såsom när det gäller att minska de nationella reglerna och säkerställa mognadsgraden hos de tekniska specifikationerna för driftskompatibilitet. Parlamentet noterar att detta viktiga arbete kommer att bidra till att stärka järnvägens driftskompatibilitet i hela Europa i linje med kommissionens politiska förväntningar. Parlamentet välkomnar byråns fortsatta bidrag på området för nationella regler och 2022 års rationalisering av de återstående nationella tekniska regler (i fråga om Tjeckien och Nederländerna) som utgjorde hinder för en smidig järnvägsverksamhet.</w:t>
      </w:r>
    </w:p>
    <w:p w:rsidR="002D0F1B" w:rsidRPr="00317F96" w:rsidRDefault="002D0F1B" w:rsidP="00234229">
      <w:pPr>
        <w:pStyle w:val="NormalHanging12a"/>
      </w:pPr>
      <w:r w:rsidRPr="00317F96">
        <w:t>11.</w:t>
      </w:r>
      <w:r w:rsidRPr="00317F96">
        <w:tab/>
        <w:t xml:space="preserve">Europaparlamentet lovordar byråns proaktiva svar på rekommendationerna i föregående års iakttagelse, och uppmanar byrån att införa effektiva kontroller för att fastställa de sökandes status som små och medelstora företag. Parlamentet välkomnar genomförandet av förstärkta kontroller för att fastställa små och medelstora företags status i förbindelse med ansökningar om gemensamma säkerhetsintyg och fordonstillstånd. Parlamentet påpekar att byrån har arbetat med flera initiativ som syftar till att främja järnvägstrafiken (både person- och godstrafik), bland annat åtgärder för samordning av den internationella järnvägstrafiken och utveckling av ny teknik, såsom automatisk tågdrift, vilket bidrar till att främja EU:s ekonomi och den gröna och den </w:t>
      </w:r>
      <w:r w:rsidRPr="00317F96">
        <w:lastRenderedPageBreak/>
        <w:t>digitala omställningen. Parlamentet välkomnar att styrgruppen för järnvägspaketet framgångsrikt fortsatte sin verksamhet med att utvärdera byråns beredskap för det fjärde järnvägspaketet.</w:t>
      </w:r>
    </w:p>
    <w:p w:rsidR="002D0F1B" w:rsidRPr="00317F96" w:rsidRDefault="002D0F1B" w:rsidP="00234229">
      <w:pPr>
        <w:pStyle w:val="NormalHanging12a"/>
      </w:pPr>
      <w:r w:rsidRPr="00317F96">
        <w:t>12.</w:t>
      </w:r>
      <w:r w:rsidRPr="00317F96">
        <w:tab/>
        <w:t>Europaparlamentet betonar att det olagliga och omotiverade ryska anfallskriget mot Ukraina har visat den avgörande roll som järnvägarna kan spela. Parlamentet noterar att järnvägarna sedan invasionen av Ukraina har haft stor betydelse för rörligheten för personer och varor, särskilt efter stängningen av det ukrainska luftrummet för civil luftfart. Parlamentet påpekar att ukrainska järnvägar har transporterat soldater, samhällsviktiga arbetstagare, invånare samt ett stort antal livsnödvändiga varor, såsom jordbruksprodukter. Parlamentet konstaterar att byrån bidrog till EU:s samarbete med Ukraina om resiliens och utveckling av järnvägsförbindelser och att byrån stödde Ukraina och människor runt om i världen genom att hitta nya sätt att öka transportvolymen av ukrainska livsmedelsprodukter på järnväg.</w:t>
      </w:r>
    </w:p>
    <w:p w:rsidR="002D0F1B" w:rsidRPr="00317F96" w:rsidRDefault="002D0F1B" w:rsidP="002D0F1B">
      <w:pPr>
        <w:spacing w:after="240"/>
        <w:ind w:left="567" w:hanging="567"/>
        <w:rPr>
          <w:b/>
          <w:i/>
          <w:szCs w:val="24"/>
        </w:rPr>
      </w:pPr>
      <w:r w:rsidRPr="00317F96">
        <w:rPr>
          <w:b/>
          <w:i/>
        </w:rPr>
        <w:t>Effektivitet och vinster</w:t>
      </w:r>
    </w:p>
    <w:p w:rsidR="002D0F1B" w:rsidRPr="00317F96" w:rsidRDefault="002D0F1B" w:rsidP="002D0F1B">
      <w:pPr>
        <w:spacing w:after="240"/>
        <w:ind w:left="567" w:hanging="567"/>
        <w:rPr>
          <w:szCs w:val="24"/>
        </w:rPr>
      </w:pPr>
      <w:r w:rsidRPr="00317F96">
        <w:t>13.</w:t>
      </w:r>
      <w:r w:rsidRPr="00317F96">
        <w:tab/>
        <w:t>Europaparlamentet noterar med tillfredsställelse att byrån 2022 antog förstärkningsplanen och den förstärkta handlingsplanen för 2023–2027. Parlamentet noterar att den förstärkta handlingsplanen är uppbyggd kring komponenter och mål och att den utgör kärnan i byråns strategi för att uppnå effektivitetsvinster under de kommande fem åren. Parlamentet noterar att det inom byrån har inrättats en intern arbetsgrupp för den förstärkta handlingsplanen och dess milstolpar och att en föredragande kommer att utses som ska stödja, vägleda och övervaka genomförandet av handlingsplanen.</w:t>
      </w:r>
    </w:p>
    <w:p w:rsidR="002D0F1B" w:rsidRPr="00317F96" w:rsidRDefault="002D0F1B" w:rsidP="002D0F1B">
      <w:pPr>
        <w:spacing w:after="240"/>
        <w:ind w:left="567" w:hanging="567"/>
      </w:pPr>
      <w:r w:rsidRPr="00317F96">
        <w:t>14.</w:t>
      </w:r>
      <w:r w:rsidRPr="00317F96">
        <w:tab/>
        <w:t>Europaparlamentet noterar att byrån tack vare den förstärkta handlingsplanen fick ytterligare 12 tillfälligt anställda under 2022, vilket är en ökning som kan ge byrån goda förutsättningar att gå vidare med genomförandet av planen. Parlamentet beklagar att tilldelningen av tjänster inte åtföljdes av en motsvarande ökning av anslagen, då detta i kombination med den extraordinära löneindexeringen och den allmänna prisökningen för allmännyttiga tjänster ytterligare begränsade byråns arbets- och resursplanering och medförde flera negativa prioriteringar för 2022, såsom i fråga om arbetet med den årliga prestationsöversynen av de nationella säkerhetsmyndigheterna och utvecklingen av systemet för informationsutbyte om säkerhetsrelaterade händelser i Europa.</w:t>
      </w:r>
    </w:p>
    <w:p w:rsidR="002D0F1B" w:rsidRPr="00317F96" w:rsidRDefault="002D0F1B" w:rsidP="002D0F1B">
      <w:pPr>
        <w:spacing w:after="240"/>
        <w:ind w:left="567" w:hanging="567"/>
        <w:rPr>
          <w:szCs w:val="24"/>
        </w:rPr>
      </w:pPr>
      <w:r w:rsidRPr="00317F96">
        <w:t>15.</w:t>
      </w:r>
      <w:r w:rsidRPr="00317F96">
        <w:tab/>
        <w:t xml:space="preserve">Europaparlamentet noterar att man på grundval av den kontinuerliga granskningen av de tjänster som byråerna och kommissionens avdelningar tillhandahåller kartlade möjligheter till utbyten, och att byrån gradvis införde samarbeten i fråga om mötesorganisation, it-säkerhet, personalfrågor (t.ex. löner och hantering av personalens individuella ersättningar, utredningar i samband med trakasserier), upphandling (t.ex. upphandlingar mellan byråer, gemensamma ramavtal), översättning och redovisning. Parlamentet noterar att byrån under 2022 ingick ett samarbetsavtal med Europeiska unionens byrå för luftfartssäkerhet (Easa), genom vilket det inrättas en regelbunden strukturerad dialog mellan de båda byråerna och utbytet av information, kunskap och erfarenheter förbättras på olika samarbetsområden, bland annat när det gäller att undersöka möjligheten att anpassa en av de befintliga it-lösningarna inom luftfartssektorn (Europeiska samordningscentrumet för rapporteringssystem för luftfartsincidenter) till systemet för utbyte av järnvägsinformation för insamling och analys av rapporterade järnvägssäkerhetshändelser. Parlamentet uppmanar byrån att rapportera till den ansvarsfrihetsbeviljande myndigheten om resultatet av denna </w:t>
      </w:r>
      <w:r w:rsidRPr="00317F96">
        <w:lastRenderedPageBreak/>
        <w:t>undersökningsfas.</w:t>
      </w:r>
    </w:p>
    <w:p w:rsidR="002D0F1B" w:rsidRPr="00317F96" w:rsidRDefault="002D0F1B" w:rsidP="002D0F1B">
      <w:pPr>
        <w:spacing w:after="240"/>
        <w:ind w:left="567" w:hanging="567"/>
        <w:rPr>
          <w:szCs w:val="24"/>
        </w:rPr>
      </w:pPr>
      <w:r w:rsidRPr="00317F96">
        <w:t>16.</w:t>
      </w:r>
      <w:r w:rsidRPr="00317F96">
        <w:tab/>
        <w:t>Europaparlamentet noterar att byrån som en del av det samlade programdokumentet för 2023–2025 utarbetade och offentliggjorde sin första miljöledningsstrategi under 2022. Parlamentet berömmer byrån för att man redan i slutet av 2022 hade föregripit och genomfört vissa initiativ och åtgärder, såsom att sänka temperaturen i byggnaden, reparera eller ersätta defekta sensorer för att åtgärda problemet med ständig belysning på vissa kontor, justera inställningarna för automatisk avstängning av belysning och inrätta den frivilliga ERA-miljögruppen för att främja informationsspridning, samla in idéer och driva på framsteg med miljöåtgärder. Parlamentet noterar med tillfredsställelse utifrån revisionsrättens rapport att byrån är en av de byråer som planerar att förbättra energieffektiviteten och klimatneutraliteten i sin verksamhet. Parlamentet uppmuntrar byrån att i denna plan inkludera kvantifierade referensvärden och mål för att minska koldioxidavtrycket och energiförbrukningen, samt att se till att den nya byggnaden i Valenciennes blir Emas-certifierad.</w:t>
      </w:r>
    </w:p>
    <w:p w:rsidR="002D0F1B" w:rsidRPr="00317F96" w:rsidRDefault="002D0F1B" w:rsidP="002D0F1B">
      <w:pPr>
        <w:pStyle w:val="NormalHanging12a"/>
      </w:pPr>
      <w:r w:rsidRPr="00317F96">
        <w:t>17.</w:t>
      </w:r>
      <w:r w:rsidRPr="00317F96">
        <w:tab/>
        <w:t>Europaparlamentet konstaterar att byrån har uppnått en mycket hög grad av digitalisering för att öka sin effektivitet, avskaffat pappersprocesser och infört onlinelösningar såsom e-upphandling, e-fakturering och elektronisk resebokning, bland annat genom införandet av kommissionens personalförvaltningssystem (Sysper) under 2022 samt migreringen till pilotfasen av det nya budget-, redovisnings- och ekonomisystemet SUMMA. Parlamentet välkomnar att byrån i det samlade programdokumentet för 2023–2025 planerar för en ytterligare digitalisering av arbetsflödena.</w:t>
      </w:r>
    </w:p>
    <w:p w:rsidR="002D0F1B" w:rsidRPr="00317F96" w:rsidRDefault="002D0F1B" w:rsidP="002D0F1B">
      <w:pPr>
        <w:pStyle w:val="NormalHanging12a"/>
      </w:pPr>
      <w:r w:rsidRPr="00317F96">
        <w:t>18.</w:t>
      </w:r>
      <w:r w:rsidRPr="00317F96">
        <w:tab/>
        <w:t xml:space="preserve">Europaparlamentet noterar utifrån byråns yttrande om de uppföljningsåtgärder som vidtagits i samband med ansvarsfriheten för genomförandet av byråns budget för budgetåret 2021 (nedan kallat </w:t>
      </w:r>
      <w:r w:rsidRPr="00317F96">
        <w:rPr>
          <w:i/>
        </w:rPr>
        <w:t>byråns yttrande</w:t>
      </w:r>
      <w:r w:rsidRPr="00317F96">
        <w:t>) att byrån har genomfört flera åtgärder för att minska kostnaderna för verksamheten i Lille (dvs. kostnaderna för tjänsteuppdrag och resor för personal och externa intressenter har minskats avsevärt) och sagt upp det nuvarande hyresavtalet för lokalerna i Lille. Parlamentet noterar att byråns avsikt är att endast hålla de obligatoriska mötena i Lille för att därmed följa Europeiska rådets beslut om ett dubbelt säte i Lille och Valenciennes. Parlamentet välkomnar att byrån 2022 godkände personalstrategin (2023–2027) på grundval av parlamentets iakttagelse, med fokus på att förbättra ändamålsenligheten och effektiviteten. Parlamentet noterar i detta avseende de positiva erfarenheterna och utvecklingen inom byrån när det gäller användningen av systemet för distansarbete efter covid-19-pandemin, vilket ledde till att byrån drog slutsatsen att det nya normala är att distansarbete godtas som likvärdigt med arbete på kontoret för merparten av personalen, samtidigt som fysisk närvaro fortfarande är avgörande för vissa specifika jobb.</w:t>
      </w:r>
    </w:p>
    <w:p w:rsidR="002D0F1B" w:rsidRPr="00317F96" w:rsidRDefault="002D0F1B" w:rsidP="002D0F1B">
      <w:pPr>
        <w:spacing w:after="240"/>
        <w:ind w:left="567" w:hanging="567"/>
        <w:rPr>
          <w:b/>
          <w:i/>
          <w:szCs w:val="24"/>
        </w:rPr>
      </w:pPr>
      <w:r w:rsidRPr="00317F96">
        <w:rPr>
          <w:b/>
          <w:i/>
        </w:rPr>
        <w:t>Personalpolitik</w:t>
      </w:r>
    </w:p>
    <w:p w:rsidR="002D0F1B" w:rsidRPr="00317F96" w:rsidRDefault="002D0F1B" w:rsidP="002D0F1B">
      <w:pPr>
        <w:spacing w:after="240"/>
        <w:ind w:left="567" w:hanging="567"/>
        <w:rPr>
          <w:szCs w:val="24"/>
        </w:rPr>
      </w:pPr>
      <w:r w:rsidRPr="00317F96">
        <w:t>19.</w:t>
      </w:r>
      <w:r w:rsidRPr="00317F96">
        <w:tab/>
        <w:t>Europaparlamentet noterar att 97,40 % av tjänsterna i tjänsteförteckningen var tillsatta den 31 december 2022, och att 150 av de 154 tjänster för tillfälligt anställda som får tillsättas enligt unionsbudgeten hade tillsatts (antalet tillåtna tjänster 2021 var 151). Parlamentet noterar dessutom att 36 kontraktsanställda (av 36 tillåtna) och 2 utstationerade nationella experter (av 4 tillåtna) arbetade för byrån 2022.</w:t>
      </w:r>
    </w:p>
    <w:p w:rsidR="002D0F1B" w:rsidRPr="00317F96" w:rsidRDefault="002D0F1B" w:rsidP="002D0F1B">
      <w:pPr>
        <w:pStyle w:val="NormalHanging12a"/>
      </w:pPr>
      <w:r w:rsidRPr="00317F96">
        <w:t>20.</w:t>
      </w:r>
      <w:r w:rsidRPr="00317F96">
        <w:tab/>
        <w:t xml:space="preserve">Europaparlamentet noterar med oro den ojämna könsfördelningen inom byråns högsta ledning, där 8 av 10 chefer (80 %) är män. Parlamentet noterar könsfördelningen bland </w:t>
      </w:r>
      <w:r w:rsidRPr="00317F96">
        <w:lastRenderedPageBreak/>
        <w:t>byråns styrelseledamöter, där 34 av 64 ledamöter (53 %) är män. Parlamentet noterar vidare könsfördelningen bland byråns totala personal, där 120 av 188 anställda (64 %) är män. Parlamentet påminner om vikten av att säkerställa en jämn könsfördelning och uppmanar byrån att ta hänsyn till denna aspekt vid framtida rekryteringar av personal och utnämningar av högre chefer. Parlamentet noterar byråns ständiga arbete för att minska könsklyftan, med särskilda projekt såsom ”Kvinnor inom transportsektorn” för att bidra till att fler kvinnor får arbete och ges lika möjligheter inom transportsektorn. Parlamentet noterar i detta sammanhang byråns ansträngningar för att öka antalet kvinnor inom transportsektorn och de resultat som uppnåtts under 2022, såsom evenemang för s.k. speed networking och webbinarier med fokus på mångfald och inkludering.</w:t>
      </w:r>
    </w:p>
    <w:p w:rsidR="002D0F1B" w:rsidRPr="00317F96" w:rsidRDefault="002D0F1B" w:rsidP="002D0F1B">
      <w:pPr>
        <w:spacing w:after="240"/>
        <w:ind w:left="567" w:hanging="567"/>
        <w:rPr>
          <w:szCs w:val="24"/>
        </w:rPr>
      </w:pPr>
      <w:r w:rsidRPr="00317F96">
        <w:t>21.</w:t>
      </w:r>
      <w:r w:rsidRPr="00317F96">
        <w:tab/>
        <w:t>Europaparlamentet noterar utifrån byråns yttrande att byrån genomförde en deltagarinriktad jämställdhetsrevision under andra halvåret 2022, vars resultat därefter användes för att prioritera mellan målen i byråns personalstrategi för 2023–2027 och som underlag för ett dokument med åtaganden från byråns ledningsgrupp för mångfald och inkludering. Parlamentet noterar vidare att konkreta, kortsiktiga åtgärder har tagits fram för att förbättra mångfalden och inkluderingen inom byrån på samtliga nivåer, t.ex. arbete med rekrytering och anställning (användning av reservlistor, inskolning, mentorskap).</w:t>
      </w:r>
    </w:p>
    <w:p w:rsidR="002D0F1B" w:rsidRPr="00317F96" w:rsidRDefault="002D0F1B" w:rsidP="002D0F1B">
      <w:pPr>
        <w:pStyle w:val="NormalHanging12a"/>
      </w:pPr>
      <w:r w:rsidRPr="00317F96">
        <w:t>22.</w:t>
      </w:r>
      <w:r w:rsidRPr="00317F96">
        <w:tab/>
        <w:t>Europaparlamentet ser positivt på att byrån strävar efter att få till stånd en geografisk balans bland de anställda genom att uppmuntra kandidater från alla medlemsstater att söka dess tjänster. Parlamentet noterar att de tillfälliga tjänsterna offentliggörs på alla EU-språk och att information om ansökningsomgångarna inte bara offentliggörs på byråns webbplats, utan även sprids via medlemsstaternas ständiga representationer.</w:t>
      </w:r>
    </w:p>
    <w:p w:rsidR="002D0F1B" w:rsidRPr="00317F96" w:rsidRDefault="002D0F1B" w:rsidP="002D0F1B">
      <w:pPr>
        <w:spacing w:after="240"/>
        <w:ind w:left="567" w:hanging="567"/>
        <w:rPr>
          <w:szCs w:val="24"/>
        </w:rPr>
      </w:pPr>
      <w:r w:rsidRPr="00317F96">
        <w:t>23.</w:t>
      </w:r>
      <w:r w:rsidRPr="00317F96">
        <w:tab/>
        <w:t>Europaparlamentet noterar utifrån byråns svar på parlamentets skriftliga frågor att, när det gäller rapporterade fall av trakasserier inom byrån som hanteras av de interna konfidentiella rådgivarna, fyra anställda fördes in i registret, varav två togs bort från registret i slutet av 2022 utan att någon utredning hade genomförts eller avslutats. Parlamentet uppmuntrar byrån att vidareutveckla sina rutiner och metoder för att effektivare förhindra sådana fall i framtiden.</w:t>
      </w:r>
    </w:p>
    <w:p w:rsidR="002D0F1B" w:rsidRPr="00317F96" w:rsidRDefault="002D0F1B" w:rsidP="002D0F1B">
      <w:pPr>
        <w:spacing w:after="240"/>
        <w:ind w:left="567" w:hanging="567"/>
        <w:rPr>
          <w:b/>
          <w:i/>
          <w:szCs w:val="24"/>
        </w:rPr>
      </w:pPr>
      <w:r w:rsidRPr="00317F96">
        <w:rPr>
          <w:b/>
          <w:i/>
        </w:rPr>
        <w:t>Upphandling</w:t>
      </w:r>
    </w:p>
    <w:p w:rsidR="002D0F1B" w:rsidRPr="00317F96" w:rsidRDefault="002D0F1B" w:rsidP="002D0F1B">
      <w:pPr>
        <w:spacing w:after="240"/>
        <w:ind w:left="567" w:hanging="567"/>
        <w:rPr>
          <w:szCs w:val="24"/>
        </w:rPr>
      </w:pPr>
      <w:r w:rsidRPr="00317F96">
        <w:t>24.</w:t>
      </w:r>
      <w:r w:rsidRPr="00317F96">
        <w:tab/>
        <w:t>Europaparlamentet noterar att byrån genomförde två öppna anbudsinfordringar, tre förhandlade förfaranden och en förnyad konkurrensutsättning under 2022, samt två öppna anbudsinfordringar och tre förhandlade förfaranden som finansierades genom administrativa anslag.</w:t>
      </w:r>
    </w:p>
    <w:p w:rsidR="002D0F1B" w:rsidRPr="00317F96" w:rsidRDefault="002D0F1B" w:rsidP="002D0F1B">
      <w:pPr>
        <w:widowControl/>
        <w:spacing w:after="240"/>
        <w:ind w:left="567" w:hanging="567"/>
      </w:pPr>
      <w:r w:rsidRPr="00317F96">
        <w:t>25.</w:t>
      </w:r>
      <w:r w:rsidRPr="00317F96">
        <w:tab/>
        <w:t>Europaparlamentet noterar utifrån byråns svar på parlamentets skriftliga frågor att genomförandet av miljöanpassad offentlig upphandling pågår och hör till initiativen/åtgärderna i byråns miljöledningsstrategi.</w:t>
      </w:r>
    </w:p>
    <w:p w:rsidR="002D0F1B" w:rsidRPr="00317F96" w:rsidRDefault="002D0F1B" w:rsidP="002D0F1B">
      <w:pPr>
        <w:spacing w:after="240"/>
        <w:ind w:left="567" w:hanging="567"/>
        <w:rPr>
          <w:szCs w:val="24"/>
        </w:rPr>
      </w:pPr>
      <w:r w:rsidRPr="00317F96">
        <w:t>26.</w:t>
      </w:r>
      <w:r w:rsidRPr="00317F96">
        <w:tab/>
        <w:t>Europaparlamentet noterar utifrån byråns svar på den ansvarsfrihetsbeviljande myndighetens frågor att byråns upphandlingsförfaranden redan var helt digitaliserade 2022. Parlamentet välkomnar att byrån i juli 2023 inledde processen för att införa verktyget för förvaltning av offentlig upphandling.</w:t>
      </w:r>
    </w:p>
    <w:p w:rsidR="002D0F1B" w:rsidRPr="00317F96" w:rsidRDefault="002D0F1B" w:rsidP="002D0F1B">
      <w:pPr>
        <w:spacing w:after="240"/>
        <w:ind w:left="567" w:hanging="567"/>
        <w:rPr>
          <w:b/>
          <w:i/>
          <w:szCs w:val="24"/>
        </w:rPr>
      </w:pPr>
      <w:r w:rsidRPr="00317F96">
        <w:rPr>
          <w:b/>
          <w:i/>
        </w:rPr>
        <w:t>Förebyggande och hantering av intressekonflikter samt transparens</w:t>
      </w:r>
    </w:p>
    <w:p w:rsidR="002D0F1B" w:rsidRPr="00317F96" w:rsidRDefault="002D0F1B" w:rsidP="002D0F1B">
      <w:pPr>
        <w:spacing w:after="240"/>
        <w:ind w:left="567" w:hanging="567"/>
        <w:rPr>
          <w:szCs w:val="24"/>
        </w:rPr>
      </w:pPr>
      <w:r w:rsidRPr="00317F96">
        <w:lastRenderedPageBreak/>
        <w:t>27.</w:t>
      </w:r>
      <w:r w:rsidRPr="00317F96">
        <w:tab/>
        <w:t>Europaparlamentet noterar att byrån har offentliggjort styrelseledamöternas och den högsta ledningens meritförteckningar och intresseförklaringar på byråns webbplats. Parlamentet noterar att byrån inte offentliggör externa och interna experters meritförteckningar.</w:t>
      </w:r>
    </w:p>
    <w:p w:rsidR="002D0F1B" w:rsidRPr="00317F96" w:rsidRDefault="002D0F1B" w:rsidP="002D0F1B">
      <w:pPr>
        <w:spacing w:after="240"/>
        <w:ind w:left="567" w:hanging="567"/>
        <w:rPr>
          <w:bCs/>
          <w:szCs w:val="24"/>
        </w:rPr>
      </w:pPr>
      <w:r w:rsidRPr="00317F96">
        <w:t>28.</w:t>
      </w:r>
      <w:r w:rsidRPr="00317F96">
        <w:tab/>
        <w:t>Europaparlamentet välkomnar byråns insatser för att göra sin verksamhet mer transparent genom att på sin webbplats regelbundet offentliggöra information om alla möten som den verkställande direktören håller med organisationer eller egenföretagare. Parlamentet noterar att byrån använder flera system för att identifiera och undvika intressekonflikter genom att förteckna intressen som tillhör specifika kategorier (t.ex. yrkes- eller familjerelaterade kategorier), se över intresseförklaringar, begära in spontana förklaringar om frånvaro av intressekonflikter och erbjuda regelbunden utbildning.</w:t>
      </w:r>
    </w:p>
    <w:p w:rsidR="002D0F1B" w:rsidRPr="00317F96" w:rsidRDefault="002D0F1B" w:rsidP="002D0F1B">
      <w:pPr>
        <w:spacing w:after="240"/>
        <w:ind w:left="567" w:hanging="567"/>
      </w:pPr>
      <w:r w:rsidRPr="00317F96">
        <w:t>29.</w:t>
      </w:r>
      <w:r w:rsidRPr="00317F96">
        <w:tab/>
        <w:t>Europaparlamentet lovordar byrån för dess visselblåsarförfaranden, som innebär att personalen kan rapportera potentiella konflikter utan risk för repressalier. Parlamentet noterar i detta sammanhang att potentiella intressekonflikter rapporterades bland byråns styrelseledamöter och personal under 2022, och att riskreducerande åtgärder vidtogs och protokollfördes vid styrelsemötena eller dokumenterades i den berörda personalens intresseförklaringar.</w:t>
      </w:r>
    </w:p>
    <w:p w:rsidR="002D0F1B" w:rsidRPr="00317F96" w:rsidRDefault="002D0F1B" w:rsidP="002D0F1B">
      <w:pPr>
        <w:spacing w:after="240"/>
        <w:ind w:left="567" w:hanging="567"/>
      </w:pPr>
      <w:r w:rsidRPr="00317F96">
        <w:t>30.</w:t>
      </w:r>
      <w:r w:rsidRPr="00317F96">
        <w:tab/>
        <w:t>Europaparlamentet noterar utifrån byråns svar på parlamentets skriftliga frågor att byrån har infört förfaranden för att hantera potentiella svängdörrssituationer när det gäller tidigare anställda. Parlamentet beklagar i detta sammanhang att byrån inte på ett systematiskt sätt övervakar efterlevnaden av de tillämpliga reglerna, vilket innebär att svängdörrsproblematik som inte tillkännages kan förbli oupptäckt eller att det kanske inte går att säkerställa att anställda som lämnat byrån följer de anvisningar som de tidigare fått.</w:t>
      </w:r>
    </w:p>
    <w:p w:rsidR="002D0F1B" w:rsidRPr="00317F96" w:rsidRDefault="002D0F1B" w:rsidP="002D0F1B">
      <w:pPr>
        <w:spacing w:after="240"/>
        <w:ind w:left="567" w:hanging="567"/>
        <w:rPr>
          <w:szCs w:val="24"/>
        </w:rPr>
      </w:pPr>
      <w:r w:rsidRPr="00317F96">
        <w:t>31.</w:t>
      </w:r>
      <w:r w:rsidRPr="00317F96">
        <w:tab/>
        <w:t>Europaparlamentet noterar att byrån fortsatte utbildningarna i etik och bedrägeribekämpning, som är obligatoriska för all personal, och att de ingick i en fyraårig löpande utbildningscykel i syfte att nå ett deltagande på 100 % i slutet av cykeln. Parlamentet noterar att det totala deltagandet under 2022 uppgick till 22,1 % i fråga om bedrägeribekämpning och till 31,11 % i fråga om etik, och att båda utbildningarna är särskilt anpassade i linje med byråns riskmiljö.</w:t>
      </w:r>
    </w:p>
    <w:p w:rsidR="002D0F1B" w:rsidRPr="00317F96" w:rsidRDefault="002D0F1B" w:rsidP="002D0F1B">
      <w:pPr>
        <w:keepNext/>
        <w:widowControl/>
        <w:spacing w:after="240"/>
        <w:ind w:left="567" w:hanging="567"/>
        <w:rPr>
          <w:szCs w:val="24"/>
        </w:rPr>
      </w:pPr>
      <w:r w:rsidRPr="00317F96">
        <w:rPr>
          <w:b/>
          <w:i/>
        </w:rPr>
        <w:t>Internkontroll</w:t>
      </w:r>
    </w:p>
    <w:p w:rsidR="002D0F1B" w:rsidRPr="00317F96" w:rsidRDefault="002D0F1B" w:rsidP="002D0F1B">
      <w:pPr>
        <w:widowControl/>
        <w:spacing w:after="240"/>
        <w:ind w:left="567" w:hanging="567"/>
        <w:rPr>
          <w:szCs w:val="24"/>
        </w:rPr>
      </w:pPr>
      <w:r w:rsidRPr="00317F96">
        <w:t>32.</w:t>
      </w:r>
      <w:r w:rsidRPr="00317F96">
        <w:tab/>
        <w:t>Europaparlamentet noterar med oro utifrån revisionsrättens rapport iakttagelserna om vissa brister i byråns förvaltnings- och kontrollsystem, nämligen avsaknaden av riktlinjer för att klassificera och skydda känsliga uppgifter och användningen av icke-giltiga godkännandemetoder i stället för underskrift för hand eller kvalificerad elektronisk underskrift i samband med upphandlingsförfaranden. Parlamentet noterar utifrån byråns svar på revisionsrättens iakttagelser att dessa brister under tiden har hanterats genom olika insatser och åtgärder. Parlamentet uppmanar revisionsrätten att inkludera dessa insatser och åtgärder i sina uppföljningsrevisioner.</w:t>
      </w:r>
    </w:p>
    <w:p w:rsidR="002D0F1B" w:rsidRPr="00317F96" w:rsidRDefault="002D0F1B" w:rsidP="002D0F1B">
      <w:pPr>
        <w:spacing w:after="240"/>
        <w:ind w:left="567" w:hanging="567"/>
      </w:pPr>
      <w:r w:rsidRPr="00317F96">
        <w:t>33.</w:t>
      </w:r>
      <w:r w:rsidRPr="00317F96">
        <w:tab/>
        <w:t xml:space="preserve">Europaparlamentet noterar utifrån byråns yttrande att byrån, när det gäller internrevisionstjänstens (IAS) rekommendationer efter den revision som genomfördes 2019 om informationshantering och informationssäkerhet, har genomfört den mycket viktiga rekommendationen om dataförvaltningsramen och den viktiga </w:t>
      </w:r>
      <w:r w:rsidRPr="00317F96">
        <w:lastRenderedPageBreak/>
        <w:t>rekommendationen om data och it-drift (som redan avslutats av IAS), medan arbetet pågår för att genomföra de återstående tre rekommendationerna under 2023 (om interoperabilitet mellan data och datakvalitet, data- och it-säkerhet samt it-kontinuitet och fysisk säkerhet). Parlamentet uppmanar byrån att rapportera till budgetmyndigheten om de framsteg som görs i detta avseende.</w:t>
      </w:r>
    </w:p>
    <w:p w:rsidR="002D0F1B" w:rsidRPr="00317F96" w:rsidRDefault="002D0F1B" w:rsidP="002D0F1B">
      <w:pPr>
        <w:spacing w:after="240"/>
        <w:ind w:left="567" w:hanging="567"/>
        <w:rPr>
          <w:szCs w:val="24"/>
        </w:rPr>
      </w:pPr>
      <w:r w:rsidRPr="00317F96">
        <w:t>34.</w:t>
      </w:r>
      <w:r w:rsidRPr="00317F96">
        <w:tab/>
        <w:t>Europaparlamentet noterar att alla avvikelser från etablerade processer eller fastställda förfaranden inom byrån dokumenteras, motiveras och godkänns på lämplig ledningsnivå. Parlamentet noterar med tillfredsställelse att antalet registrerade avvikelser minskade från 35 under 2021 till 28 under 2022. Parlamentet konstaterar att 28 avvikelser registrerades under 2022 och att dessa rörde efterlevnaden av exempelvis administrativa regler (avvikelser från reglerna för distansarbete), upphandlingsförfaranden eller upphandlingsregler (felaktig användning av det förhandlade förfarandet), regler för tjänsteresor (tjänsteresor som genomförts utan en godkänd tjänstreseorder) samt regler på områden som kontraktsförvaltning, åtaganden och urval av personal. Parlamentet noterar att 13 av de 28 registrerade avvikelserna var exceptionella (förhandsavvikelser) och dokumenterades och motiverades på ett transparent sätt, t.ex. för att säkerställa driftskontinuitet eller av ekonomiska skäl. Parlamentet välkomnar att byrån har vidtagit begränsnings- och övervakningsåtgärder för att behandla samtliga registrerade avvikelser. Parlamentet uppmanar byrån att fortsätta att göra riskbaserade och regelbundna bedömningar av hur de viktigaste områdena för intern kontroll fungerar till stöd för processen för att uppnå säkerhet.</w:t>
      </w:r>
    </w:p>
    <w:p w:rsidR="002D0F1B" w:rsidRPr="00317F96" w:rsidRDefault="002D0F1B" w:rsidP="002D0F1B">
      <w:pPr>
        <w:spacing w:after="240"/>
        <w:ind w:left="567" w:hanging="567"/>
        <w:rPr>
          <w:szCs w:val="24"/>
        </w:rPr>
      </w:pPr>
      <w:r w:rsidRPr="00317F96">
        <w:t>35.</w:t>
      </w:r>
      <w:r w:rsidRPr="00317F96">
        <w:tab/>
        <w:t>Europaparlamentet noterar att byrån under 2022 genomförde en riskbedömning i linje med den årliga strategiska planeringen samt granskade riskernas relevans och de tillhörande riskreducerande åtgärderna kontinuerligt under året. Parlamentet noterar de stora utmaningar och risker som identifierats i samband med budgetgenomförandet, genomförandet av ett nytt gemensamt finansiellt it-verktyg (SUMMA), personalbegränsningar, it-säkerhetsfrågor och covid-19-följdverkningar.</w:t>
      </w:r>
    </w:p>
    <w:p w:rsidR="002D0F1B" w:rsidRPr="00317F96" w:rsidRDefault="002D0F1B" w:rsidP="002D0F1B">
      <w:pPr>
        <w:spacing w:after="240"/>
        <w:ind w:left="567" w:hanging="567"/>
        <w:rPr>
          <w:szCs w:val="24"/>
        </w:rPr>
      </w:pPr>
      <w:r w:rsidRPr="00317F96">
        <w:t>36.</w:t>
      </w:r>
      <w:r w:rsidRPr="00317F96">
        <w:tab/>
        <w:t>Parlamentet noterar att Olafs utredning avslutades i december 2022 utan några iakttagelser eller ytterligare rekommendationer.</w:t>
      </w:r>
    </w:p>
    <w:p w:rsidR="002D0F1B" w:rsidRPr="00317F96" w:rsidRDefault="002D0F1B" w:rsidP="002D0F1B">
      <w:pPr>
        <w:keepNext/>
        <w:widowControl/>
        <w:spacing w:after="240"/>
        <w:ind w:left="567" w:hanging="567"/>
        <w:rPr>
          <w:szCs w:val="24"/>
        </w:rPr>
      </w:pPr>
      <w:r w:rsidRPr="00317F96">
        <w:rPr>
          <w:b/>
          <w:i/>
        </w:rPr>
        <w:t>Övriga kommentarer</w:t>
      </w:r>
    </w:p>
    <w:p w:rsidR="002D0F1B" w:rsidRPr="00317F96" w:rsidRDefault="002D0F1B" w:rsidP="002D0F1B">
      <w:pPr>
        <w:tabs>
          <w:tab w:val="left" w:pos="567"/>
        </w:tabs>
        <w:spacing w:after="240"/>
        <w:ind w:left="567" w:hanging="567"/>
        <w:rPr>
          <w:szCs w:val="24"/>
        </w:rPr>
      </w:pPr>
      <w:r w:rsidRPr="00317F96">
        <w:t>37.</w:t>
      </w:r>
      <w:r w:rsidRPr="00317F96">
        <w:tab/>
        <w:t>Europaparlamentet noterar att den verkställande direktören, efter de åtgärder som vidtagits med Europaparlamentet och rådet när det gäller byråns nya byggnad, informerade styrelsen om flera möten som hållits med storstadsregionen Valenciennes under 2023. Parlamentet noterar vidare att bygglovet bör vara klart i mars 2024 och att uppförandet skulle kunna inledas sommaren 2024 och byggnaden därmed stå klar 2026.</w:t>
      </w:r>
    </w:p>
    <w:p w:rsidR="002D0F1B" w:rsidRPr="00317F96" w:rsidRDefault="002D0F1B" w:rsidP="002D0F1B">
      <w:pPr>
        <w:pStyle w:val="NormalHanging12a"/>
      </w:pPr>
      <w:r w:rsidRPr="00317F96">
        <w:t>38.</w:t>
      </w:r>
      <w:r w:rsidRPr="00317F96">
        <w:tab/>
        <w:t>Europaparlamentet välkomnar byråns fortsatta insatser för att stärka sin kommunikation, som sker via olika kanaler för att nå ut till en så stor publik som möjligt. Parlamentet noterar utvecklingen och lanseringen av ERA:s nya webbplats i november 2022, som är ett tydligare, effektivare och modernt verktyg för att presentera byråns bidrag till järnvägssektorn och EU-medborgarna i stort. Parlamentet noterar att byrån anordnade nio webbinarier och utarbetade flera publikationer och videor under 2022. Parlamentet ser positivt på att byrån upprätthöll en stark närvaro i medierna och ökade antalet följare på sociala medier under 2022.</w:t>
      </w:r>
    </w:p>
    <w:p w:rsidR="002D0F1B" w:rsidRPr="00317F96" w:rsidRDefault="002D0F1B" w:rsidP="00234229">
      <w:pPr>
        <w:pStyle w:val="NormalHanging12a"/>
      </w:pPr>
      <w:r w:rsidRPr="00317F96">
        <w:t>39.</w:t>
      </w:r>
      <w:r w:rsidRPr="00317F96">
        <w:tab/>
        <w:t xml:space="preserve">Europaparlamentet betonar att de europeiska järnvägsföretagen fortsatte sin </w:t>
      </w:r>
      <w:r w:rsidRPr="00317F96">
        <w:lastRenderedPageBreak/>
        <w:t>återhämtning från covid-19-pandemin under 2022, och att järnvägssektorns fortsatta motståndskraft i kombination med dess låga koldioxidutsläpp är två viktiga bidragande faktorer för att i framtiden kunna återgå till de nivåer som rådde före pandemin.</w:t>
      </w:r>
    </w:p>
    <w:p w:rsidR="002D0F1B" w:rsidRPr="00317F96" w:rsidRDefault="002D0F1B" w:rsidP="00234229">
      <w:pPr>
        <w:pStyle w:val="NormalHanging12a"/>
      </w:pPr>
      <w:r w:rsidRPr="00317F96">
        <w:t>40.</w:t>
      </w:r>
      <w:r w:rsidRPr="00317F96">
        <w:tab/>
        <w:t>Europaparlamentet beklagar att de nuvarande kraven i fråga om rapportering av järnvägsolyckor och -tillbud är fragmenterade över hela Europa, begränsade till en övervakningsfunktion och inte stöds av ett lämpligt effektivt verktyg, och uppmanar därför kommissionen att avhjälpa denna brist och tillhandahålla all nödvändig finansiering för detta ändamål.</w:t>
      </w:r>
    </w:p>
    <w:p w:rsidR="002D0F1B" w:rsidRPr="00317F96" w:rsidRDefault="002D0F1B" w:rsidP="00234229">
      <w:pPr>
        <w:pStyle w:val="NormalHanging12a"/>
      </w:pPr>
      <w:r w:rsidRPr="00317F96">
        <w:t>41.</w:t>
      </w:r>
      <w:r w:rsidRPr="00317F96">
        <w:tab/>
        <w:t>Europaparlamentet noterar att EU:s kandidatländer, när de ansluter sig till unionen, kommer att ha genomfört EU-ramen och EU:s regelverk. Parlamentet påpekar att detta kommer att göra det möjligt för EU-medborgarna att använda järnvägen som miljövänligt och säkert transportsätt och transportera sina varor till och från sydöstra Europa, eftersom godskorridorer på järnväg i dag förbinder västra Balkan med EU. Parlamentet betonar den roll som IPA och projektet på västra Balkan spelar för att stödja genomförandet av direktivet om driftskompatibilitet och säkerhetsdirektivet bland projektets stödmottagare. Parlamentet noterar också att detta kommer att utgöra grunden för en öppning av marknaden för järnvägstjänster och smidiga tågresor till och från denna grannregion.</w:t>
      </w:r>
    </w:p>
    <w:p w:rsidR="002D0F1B" w:rsidRPr="00317F96" w:rsidRDefault="002D0F1B" w:rsidP="002D0F1B">
      <w:pPr>
        <w:pStyle w:val="NormalCenter12a"/>
      </w:pPr>
      <w:r w:rsidRPr="00317F96">
        <w:t>°</w:t>
      </w:r>
    </w:p>
    <w:p w:rsidR="002D0F1B" w:rsidRPr="00317F96" w:rsidRDefault="002D0F1B" w:rsidP="002D0F1B">
      <w:pPr>
        <w:pStyle w:val="NormalCenter12a"/>
      </w:pPr>
      <w:r w:rsidRPr="00317F96">
        <w:t>°</w:t>
      </w:r>
      <w:r w:rsidRPr="00317F96">
        <w:tab/>
        <w:t>°</w:t>
      </w:r>
    </w:p>
    <w:p w:rsidR="002D0F1B" w:rsidRPr="00614082" w:rsidRDefault="002D0F1B" w:rsidP="002D0F1B">
      <w:pPr>
        <w:pStyle w:val="NormalHanging12a"/>
      </w:pPr>
      <w:r w:rsidRPr="00317F96">
        <w:t>42.</w:t>
      </w:r>
      <w:r w:rsidRPr="00317F96">
        <w:tab/>
        <w:t xml:space="preserve">När det gäller andra övergripande iakttagelser som utgör en del av beslutet om ansvarsfrihet hänvisar Europaparlamentet till sin resolution av den </w:t>
      </w:r>
      <w:r w:rsidR="00AE6263" w:rsidRPr="00317F96">
        <w:t>11 april</w:t>
      </w:r>
      <w:r w:rsidRPr="00317F96">
        <w:t xml:space="preserve"> 2024</w:t>
      </w:r>
      <w:r w:rsidRPr="00317F96">
        <w:rPr>
          <w:rStyle w:val="FootnoteReference"/>
        </w:rPr>
        <w:footnoteReference w:id="12"/>
      </w:r>
      <w:r w:rsidRPr="00317F96">
        <w:t xml:space="preserve"> om byråernas verksamhetsresultat, ekonomiska förvaltning och kontroll.</w:t>
      </w:r>
    </w:p>
    <w:p w:rsidR="002D0F1B" w:rsidRPr="00614082" w:rsidRDefault="002D0F1B" w:rsidP="00AA26C1"/>
    <w:sectPr w:rsidR="002D0F1B" w:rsidRPr="00614082" w:rsidSect="0061408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5FE" w:rsidRPr="00614082" w:rsidRDefault="00B205FE">
      <w:r w:rsidRPr="00614082">
        <w:separator/>
      </w:r>
    </w:p>
  </w:endnote>
  <w:endnote w:type="continuationSeparator" w:id="0">
    <w:p w:rsidR="00B205FE" w:rsidRPr="00614082" w:rsidRDefault="00B205FE">
      <w:r w:rsidRPr="006140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F1B" w:rsidRPr="00614082" w:rsidRDefault="002D0F1B" w:rsidP="00C31830">
    <w:pPr>
      <w:pStyle w:val="EPFooter"/>
    </w:pPr>
    <w:r w:rsidRPr="00614082">
      <w:t>PE</w:t>
    </w:r>
    <w:r w:rsidRPr="00614082">
      <w:rPr>
        <w:rStyle w:val="HideTWBExt"/>
      </w:rPr>
      <w:t>&lt;NoPE&gt;</w:t>
    </w:r>
    <w:r w:rsidRPr="00614082">
      <w:t>753.528</w:t>
    </w:r>
    <w:r w:rsidRPr="00614082">
      <w:rPr>
        <w:rStyle w:val="HideTWBExt"/>
      </w:rPr>
      <w:t>&lt;/NoPE&gt;&lt;Version&gt;</w:t>
    </w:r>
    <w:r w:rsidRPr="00614082">
      <w:t>v02-00</w:t>
    </w:r>
    <w:r w:rsidRPr="00614082">
      <w:rPr>
        <w:rStyle w:val="HideTWBExt"/>
      </w:rPr>
      <w:t>&lt;/Version&gt;</w:t>
    </w:r>
    <w:r w:rsidRPr="00614082">
      <w:tab/>
    </w:r>
    <w:r w:rsidRPr="00614082">
      <w:fldChar w:fldCharType="begin"/>
    </w:r>
    <w:r w:rsidRPr="00614082">
      <w:instrText xml:space="preserve"> PAGE  \* MERGEFORMAT </w:instrText>
    </w:r>
    <w:r w:rsidRPr="00614082">
      <w:fldChar w:fldCharType="separate"/>
    </w:r>
    <w:r w:rsidRPr="00614082">
      <w:rPr>
        <w:noProof/>
      </w:rPr>
      <w:t>14</w:t>
    </w:r>
    <w:r w:rsidRPr="00614082">
      <w:fldChar w:fldCharType="end"/>
    </w:r>
    <w:r w:rsidRPr="00614082">
      <w:t>/</w:t>
    </w:r>
    <w:r w:rsidR="00CC0E46">
      <w:fldChar w:fldCharType="begin"/>
    </w:r>
    <w:r w:rsidR="00CC0E46">
      <w:instrText xml:space="preserve"> NUMPAGES  \* MERGEFORMA</w:instrText>
    </w:r>
    <w:r w:rsidR="00CC0E46">
      <w:instrText xml:space="preserve">T </w:instrText>
    </w:r>
    <w:r w:rsidR="00CC0E46">
      <w:fldChar w:fldCharType="separate"/>
    </w:r>
    <w:r w:rsidRPr="00614082">
      <w:rPr>
        <w:noProof/>
      </w:rPr>
      <w:t>14</w:t>
    </w:r>
    <w:r w:rsidR="00CC0E46">
      <w:rPr>
        <w:noProof/>
      </w:rPr>
      <w:fldChar w:fldCharType="end"/>
    </w:r>
    <w:r w:rsidRPr="00614082">
      <w:tab/>
    </w:r>
    <w:r w:rsidRPr="00614082">
      <w:rPr>
        <w:rStyle w:val="HideTWBExt"/>
      </w:rPr>
      <w:t>&lt;PathFdR&gt;</w:t>
    </w:r>
    <w:r w:rsidRPr="00614082">
      <w:t>RR\1298731SV.docx</w:t>
    </w:r>
    <w:r w:rsidRPr="00614082">
      <w:rPr>
        <w:rStyle w:val="HideTWBExt"/>
      </w:rPr>
      <w:t>&lt;/PathFdR&gt;</w:t>
    </w:r>
  </w:p>
  <w:p w:rsidR="002D0F1B" w:rsidRPr="00614082" w:rsidRDefault="002D0F1B" w:rsidP="00C31830">
    <w:pPr>
      <w:pStyle w:val="EPFooter2"/>
    </w:pPr>
    <w:r w:rsidRPr="00614082">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F1B" w:rsidRPr="00614082" w:rsidRDefault="002D0F1B" w:rsidP="00C31830">
    <w:pPr>
      <w:pStyle w:val="EPFooter"/>
    </w:pPr>
    <w:r w:rsidRPr="00614082">
      <w:rPr>
        <w:rStyle w:val="HideTWBExt"/>
      </w:rPr>
      <w:t>&lt;PathFdR&gt;</w:t>
    </w:r>
    <w:r w:rsidRPr="00614082">
      <w:t>RR\1298731SV.docx</w:t>
    </w:r>
    <w:r w:rsidRPr="00614082">
      <w:rPr>
        <w:rStyle w:val="HideTWBExt"/>
      </w:rPr>
      <w:t>&lt;/PathFdR&gt;</w:t>
    </w:r>
    <w:r w:rsidRPr="00614082">
      <w:tab/>
    </w:r>
    <w:r w:rsidRPr="00614082">
      <w:tab/>
      <w:t>PE</w:t>
    </w:r>
    <w:r w:rsidRPr="00614082">
      <w:rPr>
        <w:rStyle w:val="HideTWBExt"/>
      </w:rPr>
      <w:t>&lt;NoPE&gt;</w:t>
    </w:r>
    <w:r w:rsidRPr="00614082">
      <w:t>753.528</w:t>
    </w:r>
    <w:r w:rsidRPr="00614082">
      <w:rPr>
        <w:rStyle w:val="HideTWBExt"/>
      </w:rPr>
      <w:t>&lt;/NoPE&gt;&lt;Version&gt;</w:t>
    </w:r>
    <w:r w:rsidRPr="00614082">
      <w:t>v02-00</w:t>
    </w:r>
    <w:r w:rsidRPr="00614082">
      <w:rPr>
        <w:rStyle w:val="HideTWBExt"/>
      </w:rPr>
      <w:t>&lt;/Version&gt;</w:t>
    </w:r>
  </w:p>
  <w:p w:rsidR="002D0F1B" w:rsidRPr="00614082" w:rsidRDefault="002D0F1B" w:rsidP="00C31830">
    <w:pPr>
      <w:pStyle w:val="EPFooter2"/>
    </w:pPr>
    <w:r w:rsidRPr="00614082">
      <w:t>SV</w:t>
    </w:r>
    <w:r w:rsidRPr="00614082">
      <w:tab/>
    </w:r>
    <w:r w:rsidRPr="00614082">
      <w:rPr>
        <w:b w:val="0"/>
        <w:i/>
        <w:color w:val="C0C0C0"/>
        <w:sz w:val="22"/>
      </w:rPr>
      <w:t>Förenade i mångfalden</w:t>
    </w:r>
    <w:r w:rsidRPr="00614082">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08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08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0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5FE" w:rsidRPr="00614082" w:rsidRDefault="00B205FE">
      <w:r w:rsidRPr="00614082">
        <w:separator/>
      </w:r>
    </w:p>
  </w:footnote>
  <w:footnote w:type="continuationSeparator" w:id="0">
    <w:p w:rsidR="00B205FE" w:rsidRPr="00614082" w:rsidRDefault="00B205FE">
      <w:r w:rsidRPr="00614082">
        <w:continuationSeparator/>
      </w:r>
    </w:p>
  </w:footnote>
  <w:footnote w:id="1">
    <w:p w:rsidR="002D0F1B" w:rsidRPr="00317F96" w:rsidRDefault="002D0F1B" w:rsidP="00614082">
      <w:pPr>
        <w:pStyle w:val="FootnoteText"/>
        <w:ind w:left="567" w:hanging="567"/>
        <w:rPr>
          <w:sz w:val="24"/>
        </w:rPr>
      </w:pPr>
      <w:r w:rsidRPr="00317F96">
        <w:rPr>
          <w:rStyle w:val="FootnoteReference"/>
          <w:sz w:val="24"/>
          <w:lang w:val="sv-SE"/>
        </w:rPr>
        <w:footnoteRef/>
      </w:r>
      <w:r w:rsidR="00614082" w:rsidRPr="00317F96">
        <w:rPr>
          <w:sz w:val="24"/>
        </w:rPr>
        <w:t xml:space="preserve"> </w:t>
      </w:r>
      <w:r w:rsidR="00614082" w:rsidRPr="00317F96">
        <w:rPr>
          <w:sz w:val="24"/>
        </w:rPr>
        <w:tab/>
      </w:r>
      <w:r w:rsidRPr="00317F96">
        <w:rPr>
          <w:sz w:val="24"/>
        </w:rPr>
        <w:t>EUT C, C/2023/594, 27.10.2023.</w:t>
      </w:r>
    </w:p>
  </w:footnote>
  <w:footnote w:id="2">
    <w:p w:rsidR="002D0F1B" w:rsidRPr="00317F96" w:rsidRDefault="002D0F1B" w:rsidP="00614082">
      <w:pPr>
        <w:pStyle w:val="FootnoteText"/>
        <w:ind w:left="567" w:hanging="567"/>
        <w:rPr>
          <w:sz w:val="24"/>
        </w:rPr>
      </w:pPr>
      <w:r w:rsidRPr="00317F96">
        <w:rPr>
          <w:rStyle w:val="FootnoteReference"/>
          <w:sz w:val="24"/>
          <w:lang w:val="sv-SE"/>
        </w:rPr>
        <w:footnoteRef/>
      </w:r>
      <w:r w:rsidR="00614082" w:rsidRPr="00317F96">
        <w:rPr>
          <w:sz w:val="24"/>
        </w:rPr>
        <w:t xml:space="preserve"> </w:t>
      </w:r>
      <w:r w:rsidR="00614082" w:rsidRPr="00317F96">
        <w:rPr>
          <w:sz w:val="24"/>
        </w:rPr>
        <w:tab/>
      </w:r>
      <w:r w:rsidRPr="00317F96">
        <w:rPr>
          <w:sz w:val="24"/>
        </w:rPr>
        <w:t>EUT C, C/2023/112, 12.10.2023.</w:t>
      </w:r>
    </w:p>
  </w:footnote>
  <w:footnote w:id="3">
    <w:p w:rsidR="002D0F1B" w:rsidRPr="00317F96" w:rsidRDefault="002D0F1B" w:rsidP="00614082">
      <w:pPr>
        <w:pStyle w:val="FootnoteText"/>
        <w:ind w:left="567" w:hanging="567"/>
        <w:rPr>
          <w:sz w:val="24"/>
        </w:rPr>
      </w:pPr>
      <w:r w:rsidRPr="00317F96">
        <w:rPr>
          <w:rStyle w:val="FootnoteReference"/>
          <w:sz w:val="24"/>
          <w:lang w:val="sv-SE"/>
        </w:rPr>
        <w:footnoteRef/>
      </w:r>
      <w:r w:rsidR="00614082" w:rsidRPr="00317F96">
        <w:rPr>
          <w:sz w:val="24"/>
        </w:rPr>
        <w:t xml:space="preserve"> </w:t>
      </w:r>
      <w:r w:rsidR="00614082" w:rsidRPr="00317F96">
        <w:rPr>
          <w:sz w:val="24"/>
        </w:rPr>
        <w:tab/>
      </w:r>
      <w:r w:rsidRPr="00317F96">
        <w:rPr>
          <w:sz w:val="24"/>
        </w:rPr>
        <w:t>EUT L 193, 30.7.2018, s. 1.</w:t>
      </w:r>
    </w:p>
  </w:footnote>
  <w:footnote w:id="4">
    <w:p w:rsidR="002D0F1B" w:rsidRPr="00317F96" w:rsidRDefault="002D0F1B" w:rsidP="00614082">
      <w:pPr>
        <w:pStyle w:val="FootnoteText"/>
        <w:ind w:left="567" w:hanging="567"/>
        <w:rPr>
          <w:sz w:val="24"/>
        </w:rPr>
      </w:pPr>
      <w:r w:rsidRPr="00317F96">
        <w:rPr>
          <w:rStyle w:val="FootnoteReference"/>
          <w:sz w:val="24"/>
          <w:lang w:val="sv-SE"/>
        </w:rPr>
        <w:footnoteRef/>
      </w:r>
      <w:r w:rsidR="00614082" w:rsidRPr="00317F96">
        <w:rPr>
          <w:sz w:val="24"/>
        </w:rPr>
        <w:t xml:space="preserve"> </w:t>
      </w:r>
      <w:r w:rsidR="00614082" w:rsidRPr="00317F96">
        <w:rPr>
          <w:sz w:val="24"/>
        </w:rPr>
        <w:tab/>
      </w:r>
      <w:r w:rsidRPr="00317F96">
        <w:rPr>
          <w:sz w:val="24"/>
        </w:rPr>
        <w:t>EUT L 138, 26.5.2016, s. 1.</w:t>
      </w:r>
    </w:p>
  </w:footnote>
  <w:footnote w:id="5">
    <w:p w:rsidR="002D0F1B" w:rsidRPr="00317F96" w:rsidRDefault="002D0F1B" w:rsidP="00614082">
      <w:pPr>
        <w:pStyle w:val="FootnoteText"/>
        <w:ind w:left="567" w:hanging="567"/>
        <w:rPr>
          <w:sz w:val="24"/>
        </w:rPr>
      </w:pPr>
      <w:r w:rsidRPr="00317F96">
        <w:rPr>
          <w:rStyle w:val="FootnoteReference"/>
          <w:sz w:val="24"/>
          <w:lang w:val="sv-SE"/>
        </w:rPr>
        <w:footnoteRef/>
      </w:r>
      <w:r w:rsidR="00614082" w:rsidRPr="00317F96">
        <w:rPr>
          <w:sz w:val="24"/>
        </w:rPr>
        <w:t xml:space="preserve"> </w:t>
      </w:r>
      <w:r w:rsidR="00614082" w:rsidRPr="00317F96">
        <w:rPr>
          <w:sz w:val="24"/>
        </w:rPr>
        <w:tab/>
      </w:r>
      <w:r w:rsidRPr="00317F96">
        <w:rPr>
          <w:sz w:val="24"/>
        </w:rPr>
        <w:t>EUT L 122, 10.5.2019, s. 1.</w:t>
      </w:r>
    </w:p>
  </w:footnote>
  <w:footnote w:id="6">
    <w:p w:rsidR="002D0F1B" w:rsidRPr="00317F96" w:rsidRDefault="002D0F1B" w:rsidP="00614082">
      <w:pPr>
        <w:pStyle w:val="FootnoteText"/>
        <w:ind w:left="567" w:hanging="567"/>
        <w:rPr>
          <w:sz w:val="24"/>
        </w:rPr>
      </w:pPr>
      <w:r w:rsidRPr="00317F96">
        <w:rPr>
          <w:rStyle w:val="FootnoteReference"/>
          <w:sz w:val="24"/>
          <w:lang w:val="sv-SE"/>
        </w:rPr>
        <w:footnoteRef/>
      </w:r>
      <w:r w:rsidR="00614082" w:rsidRPr="00317F96">
        <w:rPr>
          <w:sz w:val="24"/>
        </w:rPr>
        <w:t xml:space="preserve"> </w:t>
      </w:r>
      <w:r w:rsidR="00614082" w:rsidRPr="00317F96">
        <w:rPr>
          <w:sz w:val="24"/>
        </w:rPr>
        <w:tab/>
      </w:r>
      <w:r w:rsidRPr="00317F96">
        <w:rPr>
          <w:sz w:val="24"/>
        </w:rPr>
        <w:t>EUT C, C/2023/594, 27.10.2023.</w:t>
      </w:r>
    </w:p>
  </w:footnote>
  <w:footnote w:id="7">
    <w:p w:rsidR="002D0F1B" w:rsidRPr="00317F96" w:rsidRDefault="002D0F1B" w:rsidP="00614082">
      <w:pPr>
        <w:pStyle w:val="FootnoteText"/>
        <w:ind w:left="567" w:hanging="567"/>
        <w:rPr>
          <w:sz w:val="24"/>
        </w:rPr>
      </w:pPr>
      <w:r w:rsidRPr="00317F96">
        <w:rPr>
          <w:rStyle w:val="FootnoteReference"/>
          <w:sz w:val="24"/>
          <w:lang w:val="sv-SE"/>
        </w:rPr>
        <w:footnoteRef/>
      </w:r>
      <w:r w:rsidR="00614082" w:rsidRPr="00317F96">
        <w:rPr>
          <w:sz w:val="24"/>
        </w:rPr>
        <w:t xml:space="preserve"> </w:t>
      </w:r>
      <w:r w:rsidR="00614082" w:rsidRPr="00317F96">
        <w:rPr>
          <w:sz w:val="24"/>
        </w:rPr>
        <w:tab/>
      </w:r>
      <w:r w:rsidRPr="00317F96">
        <w:rPr>
          <w:sz w:val="24"/>
        </w:rPr>
        <w:t>EUT C, C/2023/112, 12.10.2023.</w:t>
      </w:r>
    </w:p>
  </w:footnote>
  <w:footnote w:id="8">
    <w:p w:rsidR="002D0F1B" w:rsidRPr="00317F96" w:rsidRDefault="002D0F1B" w:rsidP="00614082">
      <w:pPr>
        <w:pStyle w:val="FootnoteText"/>
        <w:ind w:left="567" w:hanging="567"/>
        <w:rPr>
          <w:sz w:val="24"/>
        </w:rPr>
      </w:pPr>
      <w:r w:rsidRPr="00317F96">
        <w:rPr>
          <w:rStyle w:val="FootnoteReference"/>
          <w:sz w:val="24"/>
          <w:lang w:val="sv-SE"/>
        </w:rPr>
        <w:footnoteRef/>
      </w:r>
      <w:r w:rsidR="00614082" w:rsidRPr="00317F96">
        <w:rPr>
          <w:sz w:val="24"/>
        </w:rPr>
        <w:t xml:space="preserve"> </w:t>
      </w:r>
      <w:r w:rsidR="00614082" w:rsidRPr="00317F96">
        <w:rPr>
          <w:sz w:val="24"/>
        </w:rPr>
        <w:tab/>
      </w:r>
      <w:r w:rsidRPr="00317F96">
        <w:rPr>
          <w:sz w:val="24"/>
        </w:rPr>
        <w:t>EUT L 193, 30.7.2018, s. 1.</w:t>
      </w:r>
    </w:p>
  </w:footnote>
  <w:footnote w:id="9">
    <w:p w:rsidR="002D0F1B" w:rsidRPr="00317F96" w:rsidRDefault="002D0F1B" w:rsidP="00614082">
      <w:pPr>
        <w:pStyle w:val="FootnoteText"/>
        <w:ind w:left="567" w:hanging="567"/>
        <w:rPr>
          <w:sz w:val="24"/>
        </w:rPr>
      </w:pPr>
      <w:r w:rsidRPr="00317F96">
        <w:rPr>
          <w:rStyle w:val="FootnoteReference"/>
          <w:sz w:val="24"/>
          <w:lang w:val="sv-SE"/>
        </w:rPr>
        <w:footnoteRef/>
      </w:r>
      <w:r w:rsidR="00614082" w:rsidRPr="00317F96">
        <w:rPr>
          <w:sz w:val="24"/>
        </w:rPr>
        <w:t xml:space="preserve"> </w:t>
      </w:r>
      <w:r w:rsidR="00614082" w:rsidRPr="00317F96">
        <w:rPr>
          <w:sz w:val="24"/>
        </w:rPr>
        <w:tab/>
      </w:r>
      <w:r w:rsidRPr="00317F96">
        <w:rPr>
          <w:sz w:val="24"/>
        </w:rPr>
        <w:t>EUT L 138, 26.5.2016, s. 1.</w:t>
      </w:r>
    </w:p>
  </w:footnote>
  <w:footnote w:id="10">
    <w:p w:rsidR="002D0F1B" w:rsidRPr="00317F96" w:rsidRDefault="002D0F1B" w:rsidP="00614082">
      <w:pPr>
        <w:pStyle w:val="FootnoteText"/>
        <w:ind w:left="567" w:hanging="567"/>
        <w:rPr>
          <w:sz w:val="24"/>
        </w:rPr>
      </w:pPr>
      <w:r w:rsidRPr="00317F96">
        <w:rPr>
          <w:rStyle w:val="FootnoteReference"/>
          <w:sz w:val="24"/>
          <w:lang w:val="sv-SE"/>
        </w:rPr>
        <w:footnoteRef/>
      </w:r>
      <w:r w:rsidR="00614082" w:rsidRPr="00317F96">
        <w:rPr>
          <w:sz w:val="24"/>
        </w:rPr>
        <w:t xml:space="preserve"> </w:t>
      </w:r>
      <w:r w:rsidR="00614082" w:rsidRPr="00317F96">
        <w:rPr>
          <w:sz w:val="24"/>
        </w:rPr>
        <w:tab/>
      </w:r>
      <w:r w:rsidRPr="00317F96">
        <w:rPr>
          <w:sz w:val="24"/>
        </w:rPr>
        <w:t>EUT L 122, 10.5.2019, s. 1.</w:t>
      </w:r>
    </w:p>
  </w:footnote>
  <w:footnote w:id="11">
    <w:p w:rsidR="002D0F1B" w:rsidRPr="00317F96" w:rsidRDefault="002D0F1B" w:rsidP="00614082">
      <w:pPr>
        <w:pStyle w:val="FootnoteText"/>
        <w:ind w:left="567" w:hanging="567"/>
        <w:rPr>
          <w:sz w:val="24"/>
          <w:lang w:val="sv-SE"/>
        </w:rPr>
      </w:pPr>
      <w:r w:rsidRPr="00317F96">
        <w:rPr>
          <w:rStyle w:val="FootnoteReference"/>
          <w:sz w:val="24"/>
          <w:lang w:val="sv-SE"/>
        </w:rPr>
        <w:footnoteRef/>
      </w:r>
      <w:r w:rsidR="00614082" w:rsidRPr="00317F96">
        <w:rPr>
          <w:sz w:val="24"/>
          <w:lang w:val="sv-SE"/>
        </w:rPr>
        <w:t xml:space="preserve"> </w:t>
      </w:r>
      <w:r w:rsidR="00614082" w:rsidRPr="00317F96">
        <w:rPr>
          <w:sz w:val="24"/>
          <w:lang w:val="sv-SE"/>
        </w:rPr>
        <w:tab/>
      </w:r>
      <w:r w:rsidRPr="00317F96">
        <w:rPr>
          <w:sz w:val="24"/>
          <w:lang w:val="sv-SE"/>
        </w:rPr>
        <w:t>EUT C 38, 31.1.2023, s. 51.</w:t>
      </w:r>
    </w:p>
  </w:footnote>
  <w:footnote w:id="12">
    <w:p w:rsidR="002D0F1B" w:rsidRPr="00614082" w:rsidRDefault="002D0F1B" w:rsidP="00614082">
      <w:pPr>
        <w:pStyle w:val="FootnoteText"/>
        <w:ind w:left="567" w:hanging="567"/>
        <w:rPr>
          <w:sz w:val="24"/>
          <w:lang w:val="sv-SE"/>
        </w:rPr>
      </w:pPr>
      <w:r w:rsidRPr="00317F96">
        <w:rPr>
          <w:rStyle w:val="FootnoteReference"/>
          <w:sz w:val="24"/>
          <w:lang w:val="sv-SE"/>
        </w:rPr>
        <w:footnoteRef/>
      </w:r>
      <w:r w:rsidR="00614082" w:rsidRPr="00317F96">
        <w:rPr>
          <w:sz w:val="24"/>
          <w:lang w:val="sv-SE"/>
        </w:rPr>
        <w:t xml:space="preserve"> </w:t>
      </w:r>
      <w:r w:rsidR="00614082" w:rsidRPr="00317F96">
        <w:rPr>
          <w:sz w:val="24"/>
          <w:lang w:val="sv-SE"/>
        </w:rPr>
        <w:tab/>
      </w:r>
      <w:r w:rsidRPr="00317F96">
        <w:rPr>
          <w:sz w:val="24"/>
          <w:lang w:val="sv-SE"/>
        </w:rPr>
        <w:t>Antagna texter, P9_TA(2024)0</w:t>
      </w:r>
      <w:r w:rsidR="005830C8" w:rsidRPr="00317F96">
        <w:rPr>
          <w:sz w:val="24"/>
          <w:lang w:val="sv-SE"/>
        </w:rPr>
        <w:t>280</w:t>
      </w:r>
      <w:r w:rsidRPr="00317F96">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0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0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0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SV"/>
    <w:docVar w:name="dvnumam" w:val="0"/>
    <w:docVar w:name="dvpe" w:val="753.528"/>
    <w:docVar w:name="dvrapporteur" w:val="Föredragande: "/>
    <w:docVar w:name="dvtitre" w:val="Europaparlamentets beslut av den xx xx 2024 om ansvarsfrihet för genomförandet av budgeten för Europeiska unionens järnvägsbyrå för budgetåret 2022(2023/2160(DEC))"/>
  </w:docVars>
  <w:rsids>
    <w:rsidRoot w:val="00B205FE"/>
    <w:rsid w:val="00002272"/>
    <w:rsid w:val="00064002"/>
    <w:rsid w:val="000677B9"/>
    <w:rsid w:val="000831BA"/>
    <w:rsid w:val="000A25AF"/>
    <w:rsid w:val="000A42CC"/>
    <w:rsid w:val="000E7DD9"/>
    <w:rsid w:val="0010095E"/>
    <w:rsid w:val="00125B37"/>
    <w:rsid w:val="00187494"/>
    <w:rsid w:val="001F32AE"/>
    <w:rsid w:val="00234229"/>
    <w:rsid w:val="002767FF"/>
    <w:rsid w:val="002B18FE"/>
    <w:rsid w:val="002B5493"/>
    <w:rsid w:val="002D0F1B"/>
    <w:rsid w:val="002F6EF3"/>
    <w:rsid w:val="00317F96"/>
    <w:rsid w:val="00343214"/>
    <w:rsid w:val="00361C00"/>
    <w:rsid w:val="00395FA1"/>
    <w:rsid w:val="003E15D4"/>
    <w:rsid w:val="00411CCE"/>
    <w:rsid w:val="0041666E"/>
    <w:rsid w:val="00416B50"/>
    <w:rsid w:val="00421060"/>
    <w:rsid w:val="00471C19"/>
    <w:rsid w:val="004867E3"/>
    <w:rsid w:val="00494A28"/>
    <w:rsid w:val="004C0004"/>
    <w:rsid w:val="004C1D2D"/>
    <w:rsid w:val="004C5D52"/>
    <w:rsid w:val="0050519A"/>
    <w:rsid w:val="005072A1"/>
    <w:rsid w:val="00514517"/>
    <w:rsid w:val="00545827"/>
    <w:rsid w:val="00560270"/>
    <w:rsid w:val="005830C8"/>
    <w:rsid w:val="005C2568"/>
    <w:rsid w:val="006037C0"/>
    <w:rsid w:val="00614082"/>
    <w:rsid w:val="006631B6"/>
    <w:rsid w:val="00680577"/>
    <w:rsid w:val="006F74FA"/>
    <w:rsid w:val="00731ADD"/>
    <w:rsid w:val="00734777"/>
    <w:rsid w:val="00747932"/>
    <w:rsid w:val="00751A4A"/>
    <w:rsid w:val="00756632"/>
    <w:rsid w:val="00762C74"/>
    <w:rsid w:val="00786EC0"/>
    <w:rsid w:val="0079742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6C1"/>
    <w:rsid w:val="00AB441E"/>
    <w:rsid w:val="00AB6293"/>
    <w:rsid w:val="00AE0928"/>
    <w:rsid w:val="00AE6263"/>
    <w:rsid w:val="00AF3B82"/>
    <w:rsid w:val="00B12E95"/>
    <w:rsid w:val="00B205FE"/>
    <w:rsid w:val="00B22876"/>
    <w:rsid w:val="00B558F0"/>
    <w:rsid w:val="00BD48FE"/>
    <w:rsid w:val="00BD7BD8"/>
    <w:rsid w:val="00BE6ADC"/>
    <w:rsid w:val="00C05BFE"/>
    <w:rsid w:val="00C23CD4"/>
    <w:rsid w:val="00C61C0C"/>
    <w:rsid w:val="00C941CB"/>
    <w:rsid w:val="00CC0E46"/>
    <w:rsid w:val="00CC2357"/>
    <w:rsid w:val="00CF071A"/>
    <w:rsid w:val="00D058B8"/>
    <w:rsid w:val="00D56C11"/>
    <w:rsid w:val="00D834A0"/>
    <w:rsid w:val="00D872DF"/>
    <w:rsid w:val="00D91E21"/>
    <w:rsid w:val="00D94802"/>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B0A81"/>
  <w15:chartTrackingRefBased/>
  <w15:docId w15:val="{08AC5B78-3EEE-40E0-95D5-CFD32A09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D0F1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D0F1B"/>
    <w:pPr>
      <w:spacing w:before="480" w:after="240"/>
    </w:pPr>
  </w:style>
  <w:style w:type="paragraph" w:customStyle="1" w:styleId="PageHeading">
    <w:name w:val="PageHeading"/>
    <w:basedOn w:val="Normal"/>
    <w:rsid w:val="002D0F1B"/>
    <w:pPr>
      <w:keepNext/>
      <w:spacing w:after="480"/>
      <w:jc w:val="center"/>
    </w:pPr>
    <w:rPr>
      <w:rFonts w:ascii="Arial" w:hAnsi="Arial" w:cs="Arial"/>
      <w:b/>
    </w:rPr>
  </w:style>
  <w:style w:type="paragraph" w:customStyle="1" w:styleId="NormalBold">
    <w:name w:val="NormalBold"/>
    <w:basedOn w:val="Normal"/>
    <w:rsid w:val="002D0F1B"/>
    <w:rPr>
      <w:b/>
    </w:rPr>
  </w:style>
  <w:style w:type="paragraph" w:customStyle="1" w:styleId="NormalHanging12a">
    <w:name w:val="NormalHanging12a"/>
    <w:basedOn w:val="Normal"/>
    <w:link w:val="NormalHanging12aChar"/>
    <w:rsid w:val="002D0F1B"/>
    <w:pPr>
      <w:spacing w:after="240"/>
      <w:ind w:left="567" w:hanging="567"/>
    </w:pPr>
  </w:style>
  <w:style w:type="paragraph" w:customStyle="1" w:styleId="NormalCenter12a">
    <w:name w:val="NormalCenter12a"/>
    <w:basedOn w:val="Normal"/>
    <w:rsid w:val="002D0F1B"/>
    <w:pPr>
      <w:spacing w:after="240"/>
      <w:jc w:val="center"/>
    </w:pPr>
  </w:style>
  <w:style w:type="paragraph" w:styleId="Header">
    <w:name w:val="header"/>
    <w:basedOn w:val="Normal"/>
    <w:link w:val="HeaderChar"/>
    <w:rsid w:val="002D0F1B"/>
    <w:pPr>
      <w:tabs>
        <w:tab w:val="center" w:pos="4513"/>
        <w:tab w:val="right" w:pos="9026"/>
      </w:tabs>
    </w:pPr>
  </w:style>
  <w:style w:type="character" w:customStyle="1" w:styleId="HeaderChar">
    <w:name w:val="Header Char"/>
    <w:basedOn w:val="DefaultParagraphFont"/>
    <w:link w:val="Header"/>
    <w:rsid w:val="002D0F1B"/>
    <w:rPr>
      <w:sz w:val="24"/>
      <w:lang w:val="sv-SE"/>
    </w:rPr>
  </w:style>
  <w:style w:type="paragraph" w:customStyle="1" w:styleId="EPFooter">
    <w:name w:val="EPFooter"/>
    <w:basedOn w:val="Normal"/>
    <w:rsid w:val="002D0F1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2D0F1B"/>
    <w:rPr>
      <w:sz w:val="24"/>
      <w:lang w:val="sv-SE"/>
    </w:rPr>
  </w:style>
  <w:style w:type="paragraph" w:styleId="BalloonText">
    <w:name w:val="Balloon Text"/>
    <w:basedOn w:val="Normal"/>
    <w:link w:val="BalloonTextChar"/>
    <w:rsid w:val="00797427"/>
    <w:rPr>
      <w:rFonts w:ascii="Segoe UI" w:hAnsi="Segoe UI" w:cs="Segoe UI"/>
      <w:sz w:val="18"/>
      <w:szCs w:val="18"/>
    </w:rPr>
  </w:style>
  <w:style w:type="character" w:customStyle="1" w:styleId="BalloonTextChar">
    <w:name w:val="Balloon Text Char"/>
    <w:basedOn w:val="DefaultParagraphFont"/>
    <w:link w:val="BalloonText"/>
    <w:rsid w:val="00797427"/>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99A58-C75B-46C3-9F3E-C0D712DDF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4467</Words>
  <Characters>29756</Characters>
  <Application>Microsoft Office Word</Application>
  <DocSecurity>0</DocSecurity>
  <Lines>247</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2024-05-21T08:21:00Z</dcterms:created>
  <dcterms:modified xsi:type="dcterms:W3CDTF">2024-05-21T08:21:00Z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P9_TA(2024)0253_</vt:lpwstr>
  </property>
  <property fmtid="{D5CDD505-2E9C-101B-9397-08002B2CF9AE}" pid="4" name="&lt;Type&gt;">
    <vt:lpwstr>RR</vt:lpwstr>
  </property>
</Properties>
</file>