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5518" w:rsidTr="0010095E">
        <w:trPr>
          <w:trHeight w:hRule="exact" w:val="1418"/>
        </w:trPr>
        <w:tc>
          <w:tcPr>
            <w:tcW w:w="6804" w:type="dxa"/>
            <w:shd w:val="clear" w:color="auto" w:fill="auto"/>
            <w:vAlign w:val="center"/>
          </w:tcPr>
          <w:p w:rsidR="00751A4A" w:rsidRPr="00FB5518" w:rsidRDefault="006405CD" w:rsidP="0010095E">
            <w:pPr>
              <w:pStyle w:val="EPName"/>
            </w:pPr>
            <w:r w:rsidRPr="00FB5518">
              <w:t>Европейски</w:t>
            </w:r>
            <w:r w:rsidR="00DC1711" w:rsidRPr="00FB5518">
              <w:t xml:space="preserve"> парламент</w:t>
            </w:r>
          </w:p>
          <w:p w:rsidR="00751A4A" w:rsidRPr="00FB5518" w:rsidRDefault="00817416" w:rsidP="00756632">
            <w:pPr>
              <w:pStyle w:val="EPTerm"/>
              <w:rPr>
                <w:rStyle w:val="HideTWBExt"/>
                <w:noProof w:val="0"/>
                <w:vanish w:val="0"/>
                <w:color w:val="auto"/>
              </w:rPr>
            </w:pPr>
            <w:r w:rsidRPr="00FB5518">
              <w:t>2019</w:t>
            </w:r>
            <w:r w:rsidR="006405CD">
              <w:rPr>
                <w:lang w:val="en-GB"/>
              </w:rPr>
              <w:t> – </w:t>
            </w:r>
            <w:r w:rsidRPr="00FB5518">
              <w:t>2024</w:t>
            </w:r>
          </w:p>
        </w:tc>
        <w:tc>
          <w:tcPr>
            <w:tcW w:w="2268" w:type="dxa"/>
            <w:shd w:val="clear" w:color="auto" w:fill="auto"/>
          </w:tcPr>
          <w:p w:rsidR="00751A4A" w:rsidRPr="00FB5518" w:rsidRDefault="00187494" w:rsidP="0010095E">
            <w:pPr>
              <w:pStyle w:val="EPLogo"/>
            </w:pPr>
            <w:r w:rsidRPr="00FB55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5518" w:rsidRDefault="00D058B8" w:rsidP="004C5D52">
      <w:pPr>
        <w:pStyle w:val="LineTop"/>
      </w:pPr>
    </w:p>
    <w:p w:rsidR="00680577" w:rsidRPr="00FB5518" w:rsidRDefault="00DC1711" w:rsidP="00680577">
      <w:pPr>
        <w:pStyle w:val="EPBodyTA1"/>
      </w:pPr>
      <w:r w:rsidRPr="00FB5518">
        <w:t>ПРИЕТИ ТЕКСТОВЕ</w:t>
      </w:r>
    </w:p>
    <w:p w:rsidR="00D058B8" w:rsidRPr="00FB5518" w:rsidRDefault="00D058B8" w:rsidP="00D058B8">
      <w:pPr>
        <w:pStyle w:val="LineBottom"/>
      </w:pPr>
    </w:p>
    <w:p w:rsidR="00DC1711" w:rsidRPr="00FB5518" w:rsidRDefault="00DC1711" w:rsidP="00DC1711">
      <w:pPr>
        <w:pStyle w:val="ATHeading1"/>
      </w:pPr>
      <w:bookmarkStart w:id="0" w:name="TANumber"/>
      <w:r w:rsidRPr="00FB5518">
        <w:t>P9_TA(2024)0</w:t>
      </w:r>
      <w:r w:rsidR="00396962">
        <w:rPr>
          <w:lang w:val="en-GB"/>
        </w:rPr>
        <w:t>254</w:t>
      </w:r>
      <w:bookmarkStart w:id="1" w:name="_GoBack"/>
      <w:bookmarkEnd w:id="0"/>
      <w:bookmarkEnd w:id="1"/>
    </w:p>
    <w:p w:rsidR="00DC1711" w:rsidRPr="00FB5518" w:rsidRDefault="00DC1711" w:rsidP="00DC1711">
      <w:pPr>
        <w:pStyle w:val="ATHeading2"/>
      </w:pPr>
      <w:bookmarkStart w:id="2" w:name="title"/>
      <w:r w:rsidRPr="00FB5518">
        <w:t>Освобождаване от отговорност във връзка с изпълнението на бюджета за 2022 г.: Агенция на Европейския съюз за обучение в областта на правоприлагането (CEPOL)</w:t>
      </w:r>
      <w:bookmarkEnd w:id="2"/>
    </w:p>
    <w:p w:rsidR="00DC1711" w:rsidRPr="00FB5518" w:rsidRDefault="00DC1711" w:rsidP="00DC1711">
      <w:pPr>
        <w:rPr>
          <w:i/>
          <w:vanish/>
        </w:rPr>
      </w:pPr>
      <w:r w:rsidRPr="00FB5518">
        <w:rPr>
          <w:i/>
        </w:rPr>
        <w:fldChar w:fldCharType="begin"/>
      </w:r>
      <w:r w:rsidRPr="00FB5518">
        <w:rPr>
          <w:i/>
        </w:rPr>
        <w:instrText xml:space="preserve"> TC"(</w:instrText>
      </w:r>
      <w:bookmarkStart w:id="3" w:name="DocNumber"/>
      <w:r w:rsidRPr="00FB5518">
        <w:rPr>
          <w:i/>
        </w:rPr>
        <w:instrText>A9-0098/2024</w:instrText>
      </w:r>
      <w:bookmarkEnd w:id="3"/>
      <w:r w:rsidRPr="00FB5518">
        <w:rPr>
          <w:i/>
        </w:rPr>
        <w:instrText xml:space="preserve"> - Докладчик: Петри Сарвама)"\l3 \n&gt; \* MERGEFORMAT </w:instrText>
      </w:r>
      <w:r w:rsidRPr="00FB5518">
        <w:rPr>
          <w:i/>
        </w:rPr>
        <w:fldChar w:fldCharType="end"/>
      </w:r>
    </w:p>
    <w:p w:rsidR="00DC1711" w:rsidRPr="00FB5518" w:rsidRDefault="00DC1711" w:rsidP="00DC1711">
      <w:pPr>
        <w:rPr>
          <w:vanish/>
        </w:rPr>
      </w:pPr>
      <w:bookmarkStart w:id="4" w:name="Commission"/>
      <w:r w:rsidRPr="00FB5518">
        <w:rPr>
          <w:vanish/>
        </w:rPr>
        <w:t>Комисия по бюджетен контрол</w:t>
      </w:r>
      <w:bookmarkEnd w:id="4"/>
    </w:p>
    <w:p w:rsidR="00DC1711" w:rsidRPr="00FB5518" w:rsidRDefault="00DC1711" w:rsidP="00DC1711">
      <w:pPr>
        <w:rPr>
          <w:vanish/>
        </w:rPr>
      </w:pPr>
      <w:bookmarkStart w:id="5" w:name="PE"/>
      <w:r w:rsidRPr="00FB5518">
        <w:rPr>
          <w:vanish/>
        </w:rPr>
        <w:t>PE753.510</w:t>
      </w:r>
      <w:bookmarkEnd w:id="5"/>
    </w:p>
    <w:p w:rsidR="00DC1711" w:rsidRPr="00FB5518" w:rsidRDefault="006405CD" w:rsidP="006405CD">
      <w:pPr>
        <w:pStyle w:val="ATHeading3"/>
      </w:pPr>
      <w:bookmarkStart w:id="6" w:name="Sujet"/>
      <w:r>
        <w:rPr>
          <w:lang w:val="en-GB"/>
        </w:rPr>
        <w:t xml:space="preserve">1. </w:t>
      </w:r>
      <w:r w:rsidR="00DC1711" w:rsidRPr="00FB5518">
        <w:t xml:space="preserve">Решение на Европейския парламент от </w:t>
      </w:r>
      <w:r>
        <w:rPr>
          <w:lang w:val="en-GB"/>
        </w:rPr>
        <w:t xml:space="preserve">11 </w:t>
      </w:r>
      <w:r>
        <w:t>април</w:t>
      </w:r>
      <w:r w:rsidR="00DC1711" w:rsidRPr="00FB5518">
        <w:t xml:space="preserve"> 2024 г. относно освобождаването от отговорност във връзка с изпълнението на бюджета на Агенцията на Европейския съюз за обучение в областта на правоприлагането (CEPOL) за финансовата 2022 година</w:t>
      </w:r>
      <w:bookmarkEnd w:id="6"/>
      <w:r w:rsidR="00DC1711" w:rsidRPr="00FB5518">
        <w:t xml:space="preserve"> </w:t>
      </w:r>
      <w:bookmarkStart w:id="7" w:name="References"/>
      <w:r w:rsidR="00DC1711" w:rsidRPr="00FB5518">
        <w:t>(2023/2144(DEC))</w:t>
      </w:r>
      <w:bookmarkEnd w:id="7"/>
    </w:p>
    <w:p w:rsidR="007F1238" w:rsidRPr="00FB5518" w:rsidRDefault="007F1238" w:rsidP="007F1238">
      <w:pPr>
        <w:pStyle w:val="EPComma"/>
        <w:widowControl/>
      </w:pPr>
      <w:bookmarkStart w:id="8" w:name="TextBodyBegin"/>
      <w:bookmarkEnd w:id="8"/>
      <w:r w:rsidRPr="00FB5518">
        <w:rPr>
          <w:i/>
        </w:rPr>
        <w:t>Европейският парламент</w:t>
      </w:r>
      <w:r w:rsidRPr="00FB5518">
        <w:t>,</w:t>
      </w:r>
    </w:p>
    <w:p w:rsidR="007F1238" w:rsidRPr="00FB5518" w:rsidRDefault="007F1238" w:rsidP="007F1238">
      <w:pPr>
        <w:pStyle w:val="NormalHanging12a"/>
        <w:widowControl/>
      </w:pPr>
      <w:r w:rsidRPr="00FB5518">
        <w:t>—</w:t>
      </w:r>
      <w:r w:rsidRPr="00FB5518">
        <w:tab/>
        <w:t>като взе предвид окончателните годишни отчети на Агенцията на Европейския съюз за обучение в областта на правоприлагането (CEPOL) за финансовата 2022 година,</w:t>
      </w:r>
    </w:p>
    <w:p w:rsidR="007F1238" w:rsidRPr="00FB5518" w:rsidRDefault="007F1238" w:rsidP="007F1238">
      <w:pPr>
        <w:pStyle w:val="NormalHanging12a"/>
        <w:widowControl/>
      </w:pPr>
      <w:r w:rsidRPr="00FB5518">
        <w:t>—</w:t>
      </w:r>
      <w:r w:rsidRPr="00FB5518">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FB5518">
        <w:rPr>
          <w:rStyle w:val="FootnoteReference"/>
        </w:rPr>
        <w:footnoteReference w:id="1"/>
      </w:r>
      <w:r w:rsidRPr="00FB5518">
        <w:t>,</w:t>
      </w:r>
    </w:p>
    <w:p w:rsidR="007F1238" w:rsidRPr="00FB5518" w:rsidRDefault="007F1238" w:rsidP="007F1238">
      <w:pPr>
        <w:pStyle w:val="NormalHanging12a"/>
        <w:widowControl/>
      </w:pPr>
      <w:r w:rsidRPr="00FB5518">
        <w:t>—</w:t>
      </w:r>
      <w:r w:rsidRPr="00FB5518">
        <w:tab/>
        <w:t>като взе предвид декларацията за достоверност</w:t>
      </w:r>
      <w:r w:rsidRPr="00FB5518">
        <w:rPr>
          <w:rStyle w:val="FootnoteReference"/>
        </w:rPr>
        <w:footnoteReference w:id="2"/>
      </w:r>
      <w:r w:rsidRPr="00FB551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7F1238" w:rsidRPr="00FB5518" w:rsidRDefault="007F1238" w:rsidP="00E14898">
      <w:pPr>
        <w:pStyle w:val="NormalHanging12a"/>
        <w:widowControl/>
      </w:pPr>
      <w:r w:rsidRPr="00FB5518">
        <w:t>—</w:t>
      </w:r>
      <w:r w:rsidRPr="00FB5518">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E14898" w:rsidRPr="00E14898">
        <w:rPr>
          <w:lang w:val="en-GB"/>
        </w:rPr>
        <w:t>06180</w:t>
      </w:r>
      <w:r w:rsidRPr="00FB5518">
        <w:t>/2024 – C9</w:t>
      </w:r>
      <w:r w:rsidRPr="00FB5518">
        <w:noBreakHyphen/>
      </w:r>
      <w:r w:rsidR="00E14898" w:rsidRPr="00E14898">
        <w:rPr>
          <w:lang w:val="en-GB"/>
        </w:rPr>
        <w:t>0082</w:t>
      </w:r>
      <w:r w:rsidRPr="00FB5518">
        <w:t>/2024),</w:t>
      </w:r>
    </w:p>
    <w:p w:rsidR="007F1238" w:rsidRPr="00FB5518" w:rsidRDefault="007F1238" w:rsidP="007F1238">
      <w:pPr>
        <w:pStyle w:val="NormalHanging12a"/>
        <w:widowControl/>
      </w:pPr>
      <w:r w:rsidRPr="00FB5518">
        <w:t>—</w:t>
      </w:r>
      <w:r w:rsidRPr="00FB5518">
        <w:tab/>
        <w:t>като взе предвид член 319 от Договора за функционирането на Европейския съюз,</w:t>
      </w:r>
    </w:p>
    <w:p w:rsidR="007F1238" w:rsidRPr="00FB5518" w:rsidRDefault="007F1238" w:rsidP="007F1238">
      <w:pPr>
        <w:pStyle w:val="NormalHanging12a"/>
        <w:widowControl/>
      </w:pPr>
      <w:r w:rsidRPr="00FB5518">
        <w:t>—</w:t>
      </w:r>
      <w:r w:rsidRPr="00FB5518">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w:t>
      </w:r>
      <w:r w:rsidRPr="00FB5518">
        <w:lastRenderedPageBreak/>
        <w:t>№ 1316/2013, (ЕС) № 223/2014 и (ЕС) № 283/2014 и на Решение № 541/2014/ЕС и за отмяна на Регламент (ЕС, Евратом) № 966/2012</w:t>
      </w:r>
      <w:r w:rsidRPr="00FB5518">
        <w:rPr>
          <w:rStyle w:val="FootnoteReference"/>
        </w:rPr>
        <w:footnoteReference w:id="3"/>
      </w:r>
      <w:r w:rsidRPr="00FB5518">
        <w:t>, и по-специално член 70 от него,</w:t>
      </w:r>
    </w:p>
    <w:p w:rsidR="007F1238" w:rsidRPr="00FB5518" w:rsidRDefault="007F1238" w:rsidP="007F1238">
      <w:pPr>
        <w:pStyle w:val="NormalHanging12a"/>
        <w:widowControl/>
      </w:pPr>
      <w:r w:rsidRPr="00FB5518">
        <w:t>—</w:t>
      </w:r>
      <w:r w:rsidRPr="00FB5518">
        <w:tab/>
        <w:t>като взе предвид Регламент (ЕС) 2015/2219 на Европейския парламент и на Съвета от 25 ноември 2015 г. относно Агенцията на Европейския съюз за обучение в областта на правоприлагането (CEPOL) и за замяна и отмяна на Решение 2005/681/ПВР на Съвета</w:t>
      </w:r>
      <w:r w:rsidRPr="00FB5518">
        <w:rPr>
          <w:rStyle w:val="FootnoteReference"/>
        </w:rPr>
        <w:footnoteReference w:id="4"/>
      </w:r>
      <w:r w:rsidRPr="00FB5518">
        <w:t>, и по-специално член 20 от него,</w:t>
      </w:r>
    </w:p>
    <w:p w:rsidR="007F1238" w:rsidRPr="00FB5518" w:rsidRDefault="007F1238" w:rsidP="007F1238">
      <w:pPr>
        <w:pStyle w:val="NormalHanging12a"/>
        <w:widowControl/>
      </w:pPr>
      <w:r w:rsidRPr="00FB5518">
        <w:t>—</w:t>
      </w:r>
      <w:r w:rsidRPr="00FB5518">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FB5518">
        <w:rPr>
          <w:rStyle w:val="FootnoteReference"/>
        </w:rPr>
        <w:footnoteReference w:id="5"/>
      </w:r>
      <w:r w:rsidRPr="00FB5518">
        <w:t>, и по-специално член 105 от него,</w:t>
      </w:r>
    </w:p>
    <w:p w:rsidR="007F1238" w:rsidRPr="00FB5518" w:rsidRDefault="007F1238" w:rsidP="007F1238">
      <w:pPr>
        <w:pStyle w:val="NormalHanging12a"/>
        <w:widowControl/>
      </w:pPr>
      <w:r w:rsidRPr="00FB5518">
        <w:t>—</w:t>
      </w:r>
      <w:r w:rsidRPr="00FB5518">
        <w:tab/>
        <w:t>като взе предвид член 100 и приложение V към своя Правилник за дейността,</w:t>
      </w:r>
    </w:p>
    <w:p w:rsidR="007F1238" w:rsidRPr="00FB5518" w:rsidRDefault="007F1238" w:rsidP="007F1238">
      <w:pPr>
        <w:pStyle w:val="NormalHanging12a"/>
        <w:widowControl/>
      </w:pPr>
      <w:r w:rsidRPr="00FB5518">
        <w:t>—</w:t>
      </w:r>
      <w:r w:rsidRPr="00FB5518">
        <w:tab/>
        <w:t>като взе предвид становището на комисията по граждански свободи, правосъдие и вътрешни работи,</w:t>
      </w:r>
    </w:p>
    <w:p w:rsidR="007F1238" w:rsidRPr="00FB5518" w:rsidRDefault="007F1238" w:rsidP="007F1238">
      <w:pPr>
        <w:pStyle w:val="NormalHanging12a"/>
        <w:widowControl/>
      </w:pPr>
      <w:r w:rsidRPr="00FB5518">
        <w:t>—</w:t>
      </w:r>
      <w:r w:rsidRPr="00FB5518">
        <w:tab/>
        <w:t>като взе предвид доклада на комисията по бюджетен контрол (A9-00</w:t>
      </w:r>
      <w:r w:rsidR="00E14898">
        <w:t>98</w:t>
      </w:r>
      <w:r w:rsidRPr="00FB5518">
        <w:t>/2024),</w:t>
      </w:r>
    </w:p>
    <w:p w:rsidR="007F1238" w:rsidRPr="00FB5518" w:rsidRDefault="007F1238" w:rsidP="007F1238">
      <w:pPr>
        <w:pStyle w:val="NormalHanging12a"/>
        <w:widowControl/>
      </w:pPr>
      <w:r w:rsidRPr="00FB5518">
        <w:t>1.</w:t>
      </w:r>
      <w:r w:rsidRPr="00FB5518">
        <w:tab/>
        <w:t>освобождава от отговорност изпълнителния директор на Агенцията на Европейския съюз за обучение в областта на правоприлагането (CEPOL) във връзка с изпълнението на бюджета на Агенцията за финансовата 2022 година;</w:t>
      </w:r>
    </w:p>
    <w:p w:rsidR="007F1238" w:rsidRPr="00FB5518" w:rsidRDefault="007F1238" w:rsidP="007F1238">
      <w:pPr>
        <w:pStyle w:val="NormalHanging12a"/>
        <w:widowControl/>
      </w:pPr>
      <w:r w:rsidRPr="00FB5518">
        <w:t>2.</w:t>
      </w:r>
      <w:r w:rsidRPr="00FB5518">
        <w:tab/>
        <w:t>представя своите забележки в резолюцията по-долу;</w:t>
      </w:r>
    </w:p>
    <w:p w:rsidR="007F1238" w:rsidRPr="00FB5518" w:rsidRDefault="007F1238" w:rsidP="007F1238">
      <w:pPr>
        <w:pStyle w:val="NormalHanging12a"/>
        <w:widowControl/>
      </w:pPr>
      <w:r w:rsidRPr="00FB5518">
        <w:t>3.</w:t>
      </w:r>
      <w:r w:rsidRPr="00FB5518">
        <w:tab/>
        <w:t xml:space="preserve">възлага на своя председател да предаде настоящото решение, както и резолюцията, която е неразделна част от него, съответно на изпълнителния директор на Агенцията на Европейския съюз за обучение в областта на правоприлагането (CEPOL), на Съвета, Комисията и Сметната палата и да осигури публикуването им в </w:t>
      </w:r>
      <w:r w:rsidRPr="00FB5518">
        <w:rPr>
          <w:i/>
        </w:rPr>
        <w:t>Официален вестник на Европейския съюз</w:t>
      </w:r>
      <w:r w:rsidRPr="00FB5518">
        <w:t xml:space="preserve"> (серия L).</w:t>
      </w:r>
    </w:p>
    <w:p w:rsidR="007F1238" w:rsidRPr="00FB5518" w:rsidRDefault="007F1238" w:rsidP="007F1238">
      <w:pPr>
        <w:widowControl/>
      </w:pPr>
    </w:p>
    <w:p w:rsidR="007F1238" w:rsidRPr="00FB5518" w:rsidRDefault="007F1238" w:rsidP="007F1238">
      <w:pPr>
        <w:widowControl/>
        <w:rPr>
          <w:rFonts w:ascii="Arial" w:hAnsi="Arial" w:cs="Arial"/>
          <w:b/>
        </w:rPr>
        <w:sectPr w:rsidR="007F1238" w:rsidRPr="00FB5518" w:rsidSect="00FB55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7F1238" w:rsidRPr="00FB5518" w:rsidRDefault="007F1238" w:rsidP="00E14898">
      <w:pPr>
        <w:pStyle w:val="ATHeading3"/>
      </w:pPr>
      <w:bookmarkStart w:id="9" w:name="_Toc146722410"/>
      <w:bookmarkStart w:id="10" w:name="_Toc161759331"/>
      <w:r w:rsidRPr="00FB5518">
        <w:lastRenderedPageBreak/>
        <w:t xml:space="preserve">2. </w:t>
      </w:r>
      <w:bookmarkEnd w:id="9"/>
      <w:bookmarkEnd w:id="10"/>
      <w:r w:rsidR="00E14898">
        <w:t xml:space="preserve">Решение на Европейския парламент от 11 април 2024 г. </w:t>
      </w:r>
      <w:r w:rsidRPr="00FB5518">
        <w:t>относно приключването на сметките на Агенцията на Европейския съюз за обучение в областта на правоприлагането (CEPOL) за финансовата 2022 година</w:t>
      </w:r>
      <w:r w:rsidR="00E14898">
        <w:t xml:space="preserve"> (2023</w:t>
      </w:r>
      <w:r w:rsidRPr="00FB5518">
        <w:t>/2144(DEC))</w:t>
      </w:r>
    </w:p>
    <w:p w:rsidR="007F1238" w:rsidRPr="00FB5518" w:rsidRDefault="007F1238" w:rsidP="007F1238">
      <w:pPr>
        <w:pStyle w:val="EPComma"/>
        <w:widowControl/>
      </w:pPr>
      <w:r w:rsidRPr="00FB5518">
        <w:rPr>
          <w:i/>
        </w:rPr>
        <w:t>Европейският парламент</w:t>
      </w:r>
      <w:r w:rsidRPr="00FB5518">
        <w:t>,</w:t>
      </w:r>
    </w:p>
    <w:p w:rsidR="007F1238" w:rsidRPr="00FB5518" w:rsidRDefault="007F1238" w:rsidP="007F1238">
      <w:pPr>
        <w:pStyle w:val="NormalHanging12a"/>
        <w:widowControl/>
      </w:pPr>
      <w:r w:rsidRPr="00FB5518">
        <w:t>—</w:t>
      </w:r>
      <w:r w:rsidRPr="00FB5518">
        <w:tab/>
        <w:t>като взе предвид окончателните годишни отчети на Агенцията на Европейския съюз за обучение в областта на правоприлагането (CEPOL) за финансовата 2022 година,</w:t>
      </w:r>
    </w:p>
    <w:p w:rsidR="007F1238" w:rsidRPr="00FB5518" w:rsidRDefault="007F1238" w:rsidP="007F1238">
      <w:pPr>
        <w:pStyle w:val="NormalHanging12a"/>
        <w:widowControl/>
      </w:pPr>
      <w:r w:rsidRPr="00FB5518">
        <w:t>—</w:t>
      </w:r>
      <w:r w:rsidRPr="00FB5518">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FB5518">
        <w:rPr>
          <w:rStyle w:val="FootnoteReference"/>
        </w:rPr>
        <w:footnoteReference w:id="6"/>
      </w:r>
      <w:r w:rsidRPr="00FB5518">
        <w:t>,</w:t>
      </w:r>
    </w:p>
    <w:p w:rsidR="007F1238" w:rsidRPr="00FB5518" w:rsidRDefault="007F1238" w:rsidP="007F1238">
      <w:pPr>
        <w:pStyle w:val="NormalHanging12a"/>
        <w:widowControl/>
      </w:pPr>
      <w:r w:rsidRPr="00FB5518">
        <w:t>—</w:t>
      </w:r>
      <w:r w:rsidRPr="00FB5518">
        <w:tab/>
        <w:t>като взе предвид декларацията за достоверност</w:t>
      </w:r>
      <w:r w:rsidRPr="00FB5518">
        <w:rPr>
          <w:rStyle w:val="FootnoteReference"/>
        </w:rPr>
        <w:footnoteReference w:id="7"/>
      </w:r>
      <w:r w:rsidRPr="00FB551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7F1238" w:rsidRPr="00FB5518" w:rsidRDefault="007F1238" w:rsidP="00E14898">
      <w:pPr>
        <w:pStyle w:val="NormalHanging12a"/>
        <w:widowControl/>
      </w:pPr>
      <w:r w:rsidRPr="00FB5518">
        <w:t>—</w:t>
      </w:r>
      <w:r w:rsidRPr="00FB5518">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E14898" w:rsidRPr="00E14898">
        <w:rPr>
          <w:lang w:val="en-GB"/>
        </w:rPr>
        <w:t>06180</w:t>
      </w:r>
      <w:r w:rsidRPr="00FB5518">
        <w:t>/2024 – C9</w:t>
      </w:r>
      <w:r w:rsidRPr="00FB5518">
        <w:noBreakHyphen/>
      </w:r>
      <w:r w:rsidR="00E14898" w:rsidRPr="00E14898">
        <w:rPr>
          <w:lang w:val="en-GB"/>
        </w:rPr>
        <w:t>0082</w:t>
      </w:r>
      <w:r w:rsidRPr="00FB5518">
        <w:t>/2024),</w:t>
      </w:r>
    </w:p>
    <w:p w:rsidR="007F1238" w:rsidRPr="00FB5518" w:rsidRDefault="007F1238" w:rsidP="007F1238">
      <w:pPr>
        <w:pStyle w:val="NormalHanging12a"/>
        <w:widowControl/>
      </w:pPr>
      <w:r w:rsidRPr="00FB5518">
        <w:t>—</w:t>
      </w:r>
      <w:r w:rsidRPr="00FB5518">
        <w:tab/>
        <w:t>като взе предвид член 319 от Договора за функционирането на Европейския съюз,</w:t>
      </w:r>
    </w:p>
    <w:p w:rsidR="007F1238" w:rsidRPr="00FB5518" w:rsidRDefault="007F1238" w:rsidP="007F1238">
      <w:pPr>
        <w:pStyle w:val="NormalHanging12a"/>
        <w:widowControl/>
      </w:pPr>
      <w:r w:rsidRPr="00FB5518">
        <w:t>—</w:t>
      </w:r>
      <w:r w:rsidRPr="00FB5518">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FB5518">
        <w:rPr>
          <w:rStyle w:val="FootnoteReference"/>
        </w:rPr>
        <w:footnoteReference w:id="8"/>
      </w:r>
      <w:r w:rsidRPr="00FB5518">
        <w:t>, и по-специално член 70 от него,</w:t>
      </w:r>
    </w:p>
    <w:p w:rsidR="007F1238" w:rsidRPr="00FB5518" w:rsidRDefault="007F1238" w:rsidP="007F1238">
      <w:pPr>
        <w:pStyle w:val="NormalHanging12a"/>
        <w:widowControl/>
      </w:pPr>
      <w:r w:rsidRPr="00FB5518">
        <w:t>—</w:t>
      </w:r>
      <w:r w:rsidRPr="00FB5518">
        <w:tab/>
        <w:t>като взе предвид Регламент (ЕС) 2015/2219 на Европейския парламент и на Съвета от 25 ноември 2015 г. относно Агенцията на Европейския съюз за обучение в областта на правоприлагането (CEPOL) и за замяна и отмяна на Решение 2005/681/ПВР на Съвета</w:t>
      </w:r>
      <w:r w:rsidRPr="00FB5518">
        <w:rPr>
          <w:rStyle w:val="FootnoteReference"/>
        </w:rPr>
        <w:footnoteReference w:id="9"/>
      </w:r>
      <w:r w:rsidRPr="00FB5518">
        <w:t>, и по-специално член 20 от него,</w:t>
      </w:r>
    </w:p>
    <w:p w:rsidR="007F1238" w:rsidRPr="00FB5518" w:rsidRDefault="007F1238" w:rsidP="007F1238">
      <w:pPr>
        <w:pStyle w:val="NormalHanging12a"/>
        <w:widowControl/>
      </w:pPr>
      <w:r w:rsidRPr="00FB5518">
        <w:t>—</w:t>
      </w:r>
      <w:r w:rsidRPr="00FB5518">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FB5518">
        <w:rPr>
          <w:rStyle w:val="FootnoteReference"/>
        </w:rPr>
        <w:footnoteReference w:id="10"/>
      </w:r>
      <w:r w:rsidRPr="00FB5518">
        <w:t>, и по-специално член 105 от него,</w:t>
      </w:r>
    </w:p>
    <w:p w:rsidR="007F1238" w:rsidRPr="00FB5518" w:rsidRDefault="007F1238" w:rsidP="007F1238">
      <w:pPr>
        <w:pStyle w:val="NormalHanging12a"/>
        <w:widowControl/>
      </w:pPr>
      <w:r w:rsidRPr="00FB5518">
        <w:t>—</w:t>
      </w:r>
      <w:r w:rsidRPr="00FB5518">
        <w:tab/>
        <w:t>като взе предвид член 100 и приложение V към своя Правилник за дейността,</w:t>
      </w:r>
    </w:p>
    <w:p w:rsidR="007F1238" w:rsidRPr="00FB5518" w:rsidRDefault="007F1238" w:rsidP="007F1238">
      <w:pPr>
        <w:pStyle w:val="NormalHanging12a"/>
        <w:widowControl/>
      </w:pPr>
      <w:r w:rsidRPr="00FB5518">
        <w:lastRenderedPageBreak/>
        <w:t>—</w:t>
      </w:r>
      <w:r w:rsidRPr="00FB5518">
        <w:tab/>
        <w:t>като взе предвид становището на комисията по граждански свободи, правосъдие и вътрешни работи,</w:t>
      </w:r>
    </w:p>
    <w:p w:rsidR="007F1238" w:rsidRPr="00FB5518" w:rsidRDefault="007F1238" w:rsidP="007F1238">
      <w:pPr>
        <w:pStyle w:val="NormalHanging12a"/>
        <w:widowControl/>
      </w:pPr>
      <w:r w:rsidRPr="00FB5518">
        <w:t>—</w:t>
      </w:r>
      <w:r w:rsidRPr="00FB5518">
        <w:tab/>
        <w:t>като взе предвид доклада на комисията по бюджетен контрол (A9-00</w:t>
      </w:r>
      <w:r w:rsidR="00E14898">
        <w:t>98</w:t>
      </w:r>
      <w:r w:rsidRPr="00FB5518">
        <w:t>/2024),</w:t>
      </w:r>
    </w:p>
    <w:p w:rsidR="007F1238" w:rsidRPr="00FB5518" w:rsidRDefault="007F1238" w:rsidP="007F1238">
      <w:pPr>
        <w:pStyle w:val="NormalHanging12a"/>
        <w:widowControl/>
      </w:pPr>
      <w:r w:rsidRPr="00FB5518">
        <w:t>1.</w:t>
      </w:r>
      <w:r w:rsidRPr="00FB5518">
        <w:tab/>
        <w:t>одобрява приключването на сметките на Агенцията на Европейския съюз за обучение в областта на правоприлагането (CEPOL) за финансовата 2022 година;</w:t>
      </w:r>
    </w:p>
    <w:p w:rsidR="007F1238" w:rsidRPr="00FB5518" w:rsidRDefault="007F1238" w:rsidP="007F1238">
      <w:pPr>
        <w:pStyle w:val="NormalHanging12a"/>
        <w:widowControl/>
      </w:pPr>
      <w:r w:rsidRPr="00FB5518">
        <w:t>2.</w:t>
      </w:r>
      <w:r w:rsidRPr="00FB5518">
        <w:tab/>
        <w:t xml:space="preserve">възлага на своя председател да предаде настоящото решение съответно на изпълнителния директор на Агенцията на Европейския съюз за обучение в областта на правоприлагането (CEPOL), на Съвета, Комисията и Сметната палата и да осигури публикуването му в </w:t>
      </w:r>
      <w:r w:rsidRPr="00FB5518">
        <w:rPr>
          <w:i/>
        </w:rPr>
        <w:t>Официален вестник на Европейския съюз</w:t>
      </w:r>
      <w:r w:rsidRPr="00FB5518">
        <w:t xml:space="preserve"> (серия L).</w:t>
      </w:r>
    </w:p>
    <w:p w:rsidR="007F1238" w:rsidRPr="00FB5518" w:rsidRDefault="007F1238" w:rsidP="007F1238">
      <w:pPr>
        <w:widowControl/>
      </w:pPr>
    </w:p>
    <w:p w:rsidR="007F1238" w:rsidRPr="00FB5518" w:rsidRDefault="007F1238" w:rsidP="007F1238">
      <w:pPr>
        <w:widowControl/>
        <w:rPr>
          <w:rFonts w:ascii="Arial" w:hAnsi="Arial" w:cs="Arial"/>
          <w:b/>
        </w:rPr>
        <w:sectPr w:rsidR="007F1238" w:rsidRPr="00FB5518" w:rsidSect="00FB5518">
          <w:footnotePr>
            <w:numRestart w:val="eachPage"/>
          </w:footnotePr>
          <w:endnotePr>
            <w:numFmt w:val="decimal"/>
          </w:endnotePr>
          <w:pgSz w:w="11906" w:h="16838"/>
          <w:pgMar w:top="1134" w:right="1418" w:bottom="1418" w:left="1418" w:header="567" w:footer="567" w:gutter="0"/>
          <w:cols w:space="720"/>
          <w:docGrid w:linePitch="326"/>
        </w:sectPr>
      </w:pPr>
    </w:p>
    <w:p w:rsidR="007F1238" w:rsidRPr="00FB5518" w:rsidRDefault="007F1238" w:rsidP="00E14898">
      <w:pPr>
        <w:pStyle w:val="ATHeading3"/>
      </w:pPr>
      <w:bookmarkStart w:id="11" w:name="_Toc146722411"/>
      <w:bookmarkStart w:id="12" w:name="_Toc161759332"/>
      <w:r w:rsidRPr="00FB5518">
        <w:lastRenderedPageBreak/>
        <w:t xml:space="preserve">3. </w:t>
      </w:r>
      <w:bookmarkEnd w:id="11"/>
      <w:bookmarkEnd w:id="12"/>
      <w:r w:rsidR="00E14898">
        <w:t>Резолюция на Европейския парламент от 11 април 2024 г., съдържаща</w:t>
      </w:r>
      <w:r w:rsidRPr="00FB5518">
        <w:t xml:space="preserve"> забележките, които са неразделна част от решението за освобождаване от отговорност във връзка с изпълнението на бюджета на Агенцията на Европейския съюз за обучение в областта на правоприлагането (CEPOL) за финансовата 2022 година</w:t>
      </w:r>
      <w:r w:rsidR="00E14898">
        <w:t xml:space="preserve"> (2023</w:t>
      </w:r>
      <w:r w:rsidRPr="00FB5518">
        <w:t>/2144(DEC))</w:t>
      </w:r>
    </w:p>
    <w:p w:rsidR="007F1238" w:rsidRPr="00FB5518" w:rsidRDefault="007F1238" w:rsidP="007F1238">
      <w:pPr>
        <w:pStyle w:val="EPComma"/>
        <w:widowControl/>
      </w:pPr>
      <w:r w:rsidRPr="00FB5518">
        <w:rPr>
          <w:i/>
        </w:rPr>
        <w:t>Европейският парламент</w:t>
      </w:r>
      <w:r w:rsidRPr="00FB5518">
        <w:t>,</w:t>
      </w:r>
    </w:p>
    <w:p w:rsidR="007F1238" w:rsidRPr="00FB5518" w:rsidRDefault="007F1238" w:rsidP="007F1238">
      <w:pPr>
        <w:pStyle w:val="NormalHanging12a"/>
        <w:widowControl/>
      </w:pPr>
      <w:r w:rsidRPr="00FB5518">
        <w:t>—</w:t>
      </w:r>
      <w:r w:rsidRPr="00FB5518">
        <w:tab/>
        <w:t>като взе предвид своето решение за освобождаване от отговорност във връзка с изпълнението на бюджета на Агенцията на Европейския съюз за обучение в областта на правоприлагането (CEPOL) за финансовата 2022 година,</w:t>
      </w:r>
    </w:p>
    <w:p w:rsidR="007F1238" w:rsidRPr="00FB5518" w:rsidRDefault="007F1238" w:rsidP="007F1238">
      <w:pPr>
        <w:pStyle w:val="NormalHanging12a"/>
        <w:widowControl/>
      </w:pPr>
      <w:r w:rsidRPr="00FB5518">
        <w:t>—</w:t>
      </w:r>
      <w:r w:rsidRPr="00FB5518">
        <w:tab/>
        <w:t>като взе предвид член 100 и приложение V към своя Правилник за дейността,</w:t>
      </w:r>
    </w:p>
    <w:p w:rsidR="007F1238" w:rsidRPr="00FB5518" w:rsidRDefault="007F1238" w:rsidP="007F1238">
      <w:pPr>
        <w:pStyle w:val="NormalHanging12a"/>
        <w:widowControl/>
      </w:pPr>
      <w:r w:rsidRPr="00FB5518">
        <w:t>—</w:t>
      </w:r>
      <w:r w:rsidRPr="00FB5518">
        <w:tab/>
        <w:t>като взе предвид становището на комисията по граждански свободи, правосъдие и вътрешни работи,</w:t>
      </w:r>
    </w:p>
    <w:p w:rsidR="007F1238" w:rsidRPr="00FB5518" w:rsidRDefault="007F1238" w:rsidP="007F1238">
      <w:pPr>
        <w:pStyle w:val="NormalHanging12a"/>
        <w:widowControl/>
      </w:pPr>
      <w:r w:rsidRPr="00FB5518">
        <w:t>—</w:t>
      </w:r>
      <w:r w:rsidRPr="00FB5518">
        <w:tab/>
        <w:t>като взе предвид доклада на комисията по бюджетен контрол (A9-00</w:t>
      </w:r>
      <w:r w:rsidR="00E14898">
        <w:t>98</w:t>
      </w:r>
      <w:r w:rsidRPr="00FB5518">
        <w:t>/2024),</w:t>
      </w:r>
    </w:p>
    <w:p w:rsidR="007F1238" w:rsidRPr="00FB5518" w:rsidRDefault="007F1238" w:rsidP="007F1238">
      <w:pPr>
        <w:pStyle w:val="ListParagraph"/>
        <w:spacing w:after="240"/>
        <w:ind w:left="567" w:hanging="567"/>
        <w:contextualSpacing w:val="0"/>
        <w:jc w:val="left"/>
        <w:rPr>
          <w:rFonts w:eastAsia="Times New Roman"/>
        </w:rPr>
      </w:pPr>
      <w:r w:rsidRPr="00FB5518">
        <w:t>А.</w:t>
      </w:r>
      <w:r w:rsidRPr="00FB5518">
        <w:tab/>
        <w:t>като има предвид, че според отчета за приходите и разходите</w:t>
      </w:r>
      <w:r w:rsidRPr="00FB5518">
        <w:rPr>
          <w:rStyle w:val="FootnoteReference"/>
          <w:rFonts w:eastAsia="Times New Roman"/>
          <w:lang w:eastAsia="en-GB"/>
        </w:rPr>
        <w:footnoteReference w:id="11"/>
      </w:r>
      <w:r w:rsidRPr="00FB5518">
        <w:t xml:space="preserve"> на Агенцията на Европейския съюз за обучение в областта на правоприлагането (CEPOL) („Агенцията“) нейният окончателен бюджет за финансовата 2022 година възлиза на 28 295 362 EUR, което представлява увеличение с 5,82% спрямо 2021 г.; като има предвид, че Агенцията се финансира с вноска от Съюза и външни целеви приходи за конкретни проекти;</w:t>
      </w:r>
    </w:p>
    <w:p w:rsidR="007F1238" w:rsidRPr="00FB5518" w:rsidRDefault="007F1238" w:rsidP="007F1238">
      <w:pPr>
        <w:widowControl/>
        <w:spacing w:after="240"/>
        <w:ind w:left="567" w:hanging="567"/>
        <w:rPr>
          <w:szCs w:val="24"/>
        </w:rPr>
      </w:pPr>
      <w:r w:rsidRPr="00FB5518">
        <w:t>Б.</w:t>
      </w:r>
      <w:r w:rsidRPr="00FB5518">
        <w:tab/>
        <w:t>като има предвид, че Сметната палата („Палатата“) в своя доклад относно годишните отчети на Агенцията за финансовата 2022 година („доклада на Палатата“), заявява, че е получила достатъчна увереност, че годишните отчети на Агенцията са надеждни и че свързаните с тях операции по отношение на приходите са законосъобразни и редовни във всички съществени аспекти; като има предвид, че Палатата установи неправомерни плащания в размер на общо 4,2 милиона евро, от които 4,1 милиона евро във връзка с 359 плащания, извършени по два рамкови договора, изпълнени чрез искания за услуги, изпратени от служители, които не са имали правомощия да поемат правни задължения от името на Агенцията, и 152 655 EUR като плащания, извършени през 2022 г. по рамков договор, по отношение на който някои от изплатените суми не могат да бъдат съгласувани с предоставените услуги, което представлява общо 13,5% от бюджетните кредити за плащания, налични през 2022 г., като по този начин се превишава прагът на същественост, определен за одита, и следователно води до становище с резерви относно законосъобразността и редовността на свързаните с отчетите плащания; като има предвид, че с изключение на тези неотговарящи на изискванията плащания Палатата заключава, че свързаните с отчетите операции по отношение на плащанията за годината, приключила на 31 декември 2022 г., са законосъобразни и редовни във всички съществени аспекти;</w:t>
      </w:r>
    </w:p>
    <w:p w:rsidR="007F1238" w:rsidRPr="00FB5518" w:rsidRDefault="007F1238" w:rsidP="007F1238">
      <w:pPr>
        <w:widowControl/>
        <w:spacing w:after="240"/>
        <w:ind w:left="567" w:hanging="567"/>
        <w:rPr>
          <w:b/>
          <w:i/>
          <w:szCs w:val="24"/>
        </w:rPr>
      </w:pPr>
      <w:r w:rsidRPr="00FB5518">
        <w:rPr>
          <w:b/>
          <w:i/>
        </w:rPr>
        <w:t>Бюджетно и финансово управление</w:t>
      </w:r>
    </w:p>
    <w:p w:rsidR="007F1238" w:rsidRPr="00FB5518" w:rsidRDefault="007F1238" w:rsidP="007F1238">
      <w:pPr>
        <w:widowControl/>
        <w:spacing w:after="240"/>
        <w:ind w:left="567" w:hanging="567"/>
        <w:rPr>
          <w:szCs w:val="24"/>
        </w:rPr>
      </w:pPr>
      <w:r w:rsidRPr="00FB5518">
        <w:lastRenderedPageBreak/>
        <w:t>1.</w:t>
      </w:r>
      <w:r w:rsidRPr="00FB5518">
        <w:rPr>
          <w:color w:val="FFFFFF" w:themeColor="background1"/>
        </w:rPr>
        <w:tab/>
      </w:r>
      <w:r w:rsidRPr="00FB5518">
        <w:t>отбелязва със задоволство, че усилията за контрол на бюджета през финансовата 2022 година са довели до степен на изпълнение на бюджета от 100%, което представлява увеличение с 3,21% спрямо 2021 г.; отбелязва, че степента на изпълнение на бюджетните кредити за плащания е била 84,66%, което представлява увеличение с 12,93% спрямо 2021 г.; отбелязва освен това, че 1,6 милиона евро, представляващи 15% от бюджетните кредити за поети задължения през 2022 г., са пренесени към 2023 г.; отбелязва, че степента на изпълнение на бюджета по отношение на средствата на Съюза за външна помощ, предназначени за подпомагане на трети държави при изграждането на техния капацитет в съответните области на политиката в областта на правоприлагането, е достигнала 48,5% до края на 2022 г.;</w:t>
      </w:r>
    </w:p>
    <w:p w:rsidR="007F1238" w:rsidRPr="00FB5518" w:rsidRDefault="007F1238" w:rsidP="007F1238">
      <w:pPr>
        <w:widowControl/>
        <w:spacing w:after="240"/>
        <w:ind w:left="567" w:hanging="567"/>
        <w:rPr>
          <w:b/>
          <w:i/>
          <w:szCs w:val="24"/>
        </w:rPr>
      </w:pPr>
      <w:r w:rsidRPr="00FB5518">
        <w:rPr>
          <w:b/>
          <w:i/>
        </w:rPr>
        <w:t>Резултати от дейността</w:t>
      </w:r>
    </w:p>
    <w:p w:rsidR="007F1238" w:rsidRPr="00FB5518" w:rsidRDefault="007F1238" w:rsidP="007F1238">
      <w:pPr>
        <w:widowControl/>
        <w:spacing w:after="240"/>
        <w:ind w:left="567" w:hanging="567"/>
        <w:rPr>
          <w:szCs w:val="24"/>
        </w:rPr>
      </w:pPr>
      <w:r w:rsidRPr="00FB5518">
        <w:t>2.</w:t>
      </w:r>
      <w:r w:rsidRPr="00FB5518">
        <w:tab/>
        <w:t>приветства Агенцията за степента на изпълнение на работната програма за 2022 г. от 100% въз основа на факта, че са изпълнени 418 обучителни дейности спрямо 417 планирани; отбелязва, че през 2022 г. Агенцията е продължила да предоставя обучение на правоприлагащите органи, като се е върнала към онлайн средата във възможно най-голяма степен; отбелязва със задоволство степента на удовлетвореност на клиентите през 2022 г., като 97% от участниците в обучителните дейности на Агенцията са заявили, че са удовлетворени или много удовлетворени;</w:t>
      </w:r>
    </w:p>
    <w:p w:rsidR="007F1238" w:rsidRPr="00FB5518" w:rsidRDefault="007F1238" w:rsidP="007F1238">
      <w:pPr>
        <w:widowControl/>
        <w:spacing w:after="240"/>
        <w:ind w:left="567" w:hanging="567"/>
        <w:rPr>
          <w:szCs w:val="24"/>
        </w:rPr>
      </w:pPr>
      <w:r w:rsidRPr="00FB5518">
        <w:t>3.</w:t>
      </w:r>
      <w:r w:rsidRPr="00FB5518">
        <w:tab/>
        <w:t>отбелязва със задоволство, че Агенцията използва някои мерки като ключови показатели за ефективност (КПЕ), за да прави оценка на добавената стойност, предоставяна от нейната дейност, и други мерки, за да подобри управлението на бюджета си; отбелязва, че през 2022 г. почти всички КПЕ са били постигнати и само един е останал в процес на изпълнение с краен срок до края на 2023 г., тоест КПЕ, отнасящ се до процента препоръки от одита, чието изпълнение е приключено в съответствие с договорения план за действие;</w:t>
      </w:r>
    </w:p>
    <w:p w:rsidR="007F1238" w:rsidRPr="00FB5518" w:rsidRDefault="007F1238" w:rsidP="007F1238">
      <w:pPr>
        <w:widowControl/>
        <w:spacing w:after="240"/>
        <w:ind w:left="567" w:hanging="567"/>
        <w:rPr>
          <w:szCs w:val="24"/>
        </w:rPr>
      </w:pPr>
      <w:r w:rsidRPr="00FB5518">
        <w:t>4.</w:t>
      </w:r>
      <w:r w:rsidRPr="00FB5518">
        <w:tab/>
        <w:t>отбелязва със задоволство, че през 2022 г. обученията на Агенцията са били посетени от 43 838 участници, което представлява значителен обхват в сравнение със 27 800 планирани участници; приветства Агенцията за публикуването на втората стратегическа оценка на потребностите от обучение на ЕС, в която се определят стратегическите потребности и потребностите от обучение на служителите на правоприлагащите органи за следващия цикъл на Европейската мултидисциплинарна платформа за борба с криминални заплахи за периода 2022—2025 г. и за стартирането на нейното прилагане; отбелязва освен това, че новоназначеният изпълнителен директор на Агенцията е започнал през 2022 г. разработването на нова стратегия, определяща посоката на работа на Агенцията за периода 2023—2027 г.; освен това оценява стратегическия документ на експертната група по основните права, който има за цел включването на аспектите на основните права във всички дейности по обучение; отбелязва със задоволство, че през 2022 г. беше организирано ad hoc обучение относно защитата на разследващите журналисти; приветства специфичните дейности по обучение на теми, свързани с престъпленията от омраза и с разпространяването на знания за ефективни решения по отношение на подкрепата на жертвите;</w:t>
      </w:r>
    </w:p>
    <w:p w:rsidR="007F1238" w:rsidRPr="00FB5518" w:rsidRDefault="007F1238" w:rsidP="007F1238">
      <w:pPr>
        <w:pStyle w:val="NormalHanging12a"/>
        <w:widowControl/>
      </w:pPr>
      <w:r w:rsidRPr="00FB5518">
        <w:t>5.</w:t>
      </w:r>
      <w:r w:rsidRPr="00FB5518">
        <w:tab/>
        <w:t xml:space="preserve">приветства Агенцията за нейната бърза реакция на необоснованата война в Украйна и за предоставянето на специално разработен курс за разузнаване от </w:t>
      </w:r>
      <w:r w:rsidRPr="00FB5518">
        <w:lastRenderedPageBreak/>
        <w:t>открити източници за украинската главна прокуратура в сътрудничество със Съвета на Европа;</w:t>
      </w:r>
    </w:p>
    <w:p w:rsidR="007F1238" w:rsidRPr="00FB5518" w:rsidRDefault="007F1238" w:rsidP="007F1238">
      <w:pPr>
        <w:widowControl/>
        <w:spacing w:after="240"/>
        <w:ind w:left="567" w:hanging="567"/>
        <w:rPr>
          <w:szCs w:val="24"/>
        </w:rPr>
      </w:pPr>
      <w:r w:rsidRPr="00FB5518">
        <w:t>6.</w:t>
      </w:r>
      <w:r w:rsidRPr="00FB5518">
        <w:tab/>
        <w:t>отбелязва въз основа на консолидирания годишен отчет за дейността на Агенцията за 2022 г., че експоненциалното увеличение на предлаганите обучения през последните години (от 18 000 през 2016 г. на почти 44 000 през 2022 г.) отразява нарастващото търсене на обучителни дейности, които Агенцията трябва да предостави; отбелязва в този контекст, че през 2022 г., поради недостатъчните ресурси, това търсене е могло да бъде посрещнато само чрез увеличаване на компонента за онлайн обучение, който не отговаря напълно на потребностите на заинтересованите страни; подкрепя целта на Агенцията да продължи да предоставя мултидисциплинарни дейности, които привличат като участници както служители на полицията, така и митнически служители и служители на органите за граничен контрол;</w:t>
      </w:r>
    </w:p>
    <w:p w:rsidR="007F1238" w:rsidRPr="00FB5518" w:rsidRDefault="007F1238" w:rsidP="007F1238">
      <w:pPr>
        <w:widowControl/>
        <w:spacing w:after="240"/>
        <w:ind w:left="567" w:hanging="567"/>
        <w:rPr>
          <w:szCs w:val="24"/>
        </w:rPr>
      </w:pPr>
      <w:r w:rsidRPr="00FB5518">
        <w:t>7.</w:t>
      </w:r>
      <w:r w:rsidRPr="00FB5518">
        <w:tab/>
        <w:t xml:space="preserve">отбелязва, че през 2022 г. Агенцията е продължила успешно да изпълнява четирите проекта за изграждане на капацитет в трети държави, като пряко допринася за укрепването на вътрешната сигурност на Съюза, както и дейности за обучение под егидата на Центъра на CEPOL за знания в областта на борбата с тероризма и Центъра на CEPOL за знания в областта на сътрудничеството в областта на правоприлагането, обмена на информация и оперативната съвместимост; приветства успешното провеждане на научно-изследователската конференция на CEPOL в сътрудничество с университета </w:t>
      </w:r>
      <w:proofErr w:type="spellStart"/>
      <w:r w:rsidRPr="00FB5518">
        <w:t>Mykolas</w:t>
      </w:r>
      <w:proofErr w:type="spellEnd"/>
      <w:r w:rsidRPr="00FB5518">
        <w:t xml:space="preserve"> </w:t>
      </w:r>
      <w:proofErr w:type="spellStart"/>
      <w:r w:rsidRPr="00FB5518">
        <w:t>Romeris</w:t>
      </w:r>
      <w:proofErr w:type="spellEnd"/>
      <w:r w:rsidRPr="00FB5518">
        <w:t xml:space="preserve"> във Вилнюс, Литва, която засили сътрудничеството между секторите на правоприлагането и научните изследвания, като присъстваха близо 200 участници;</w:t>
      </w:r>
    </w:p>
    <w:p w:rsidR="007F1238" w:rsidRPr="00FB5518" w:rsidRDefault="007F1238" w:rsidP="00E14898">
      <w:pPr>
        <w:pStyle w:val="NormalHanging12a"/>
        <w:widowControl/>
      </w:pPr>
      <w:r w:rsidRPr="00FB5518">
        <w:t>8.</w:t>
      </w:r>
      <w:r w:rsidRPr="00FB5518">
        <w:tab/>
        <w:t xml:space="preserve">припомня, че обучението в областта на правоприлагането на равнището на Съюза трябва да отразява приоритетите на Съюза в съответствие с потребностите на държавите членки от обучение и да подкрепя реакцията на Съюза на тежката и организираната престъпност и на други заплахи за вътрешната сигурност, а защитата на основните права следва да бъде централен стълб в дейностите на Агенцията по обучение; отбелязва дейностите по обучение в областта на борбата срещу тероризма, включително относно финансирането на тероризма, тероризма и огнестрелните оръжия, чуждестранните бойци терористи и дейностите, насочени срещу екстремизма и </w:t>
      </w:r>
      <w:proofErr w:type="spellStart"/>
      <w:r w:rsidRPr="00FB5518">
        <w:t>радикализацията</w:t>
      </w:r>
      <w:proofErr w:type="spellEnd"/>
      <w:r w:rsidRPr="00FB5518">
        <w:t xml:space="preserve">; призовава за повече обучения в областта на </w:t>
      </w:r>
      <w:proofErr w:type="spellStart"/>
      <w:r w:rsidRPr="00FB5518">
        <w:t>киберпрестъпността</w:t>
      </w:r>
      <w:proofErr w:type="spellEnd"/>
      <w:r w:rsidRPr="00FB5518">
        <w:t xml:space="preserve">, </w:t>
      </w:r>
      <w:proofErr w:type="spellStart"/>
      <w:r w:rsidRPr="00FB5518">
        <w:t>киберкриминалистиката</w:t>
      </w:r>
      <w:proofErr w:type="spellEnd"/>
      <w:r w:rsidRPr="00FB5518">
        <w:t>, изкуствения интелект, защитата на данните, основните права и борбата срещу расизма на равнището на Съюза; призовава Агенцията да гарантира във всички свои дейности, по-специално в дейностите си с трети държави, пълна прозрачност и пълно зачитане на основните права и на международното право;</w:t>
      </w:r>
    </w:p>
    <w:p w:rsidR="007F1238" w:rsidRPr="00FB5518" w:rsidRDefault="007F1238" w:rsidP="007F1238">
      <w:pPr>
        <w:widowControl/>
        <w:spacing w:after="240"/>
        <w:ind w:left="567" w:hanging="567"/>
        <w:rPr>
          <w:szCs w:val="24"/>
        </w:rPr>
      </w:pPr>
      <w:r w:rsidRPr="00FB5518">
        <w:t>9.</w:t>
      </w:r>
      <w:r w:rsidRPr="00FB5518">
        <w:tab/>
        <w:t>отбелязва, че Агенцията успешно е поддържала сертифицирането си в съответствие с ISO 9001:2015 Система за управление на качеството и е извършила подготовка за по-нататъшно разширяване на използването на стандарта ISO 29993:2017 за учебни услуги, което продължава да показва, че Агенцията гарантира ефективното функциониране на системата за качество;</w:t>
      </w:r>
    </w:p>
    <w:p w:rsidR="007F1238" w:rsidRPr="00FB5518" w:rsidRDefault="007F1238" w:rsidP="007F1238">
      <w:pPr>
        <w:widowControl/>
        <w:spacing w:after="240"/>
        <w:ind w:left="567" w:hanging="567"/>
        <w:rPr>
          <w:b/>
          <w:i/>
          <w:szCs w:val="24"/>
        </w:rPr>
      </w:pPr>
      <w:r w:rsidRPr="00FB5518">
        <w:rPr>
          <w:b/>
          <w:i/>
        </w:rPr>
        <w:t>Ефикасност и успехи</w:t>
      </w:r>
    </w:p>
    <w:p w:rsidR="007F1238" w:rsidRPr="00FB5518" w:rsidRDefault="007F1238" w:rsidP="007F1238">
      <w:pPr>
        <w:widowControl/>
        <w:spacing w:after="240"/>
        <w:ind w:left="567" w:hanging="567"/>
        <w:rPr>
          <w:szCs w:val="24"/>
        </w:rPr>
      </w:pPr>
      <w:r w:rsidRPr="00FB5518">
        <w:lastRenderedPageBreak/>
        <w:t>10.</w:t>
      </w:r>
      <w:r w:rsidRPr="00FB5518">
        <w:tab/>
        <w:t xml:space="preserve">отбелязва, че Агенцията продължава да си сътрудничи тясно с мрежата на агенциите в областта на правосъдието и вътрешните работи и с агенциите, които я съставляват, включително по-специално </w:t>
      </w:r>
      <w:r w:rsidRPr="00FB5518">
        <w:rPr>
          <w:rStyle w:val="pointer"/>
        </w:rPr>
        <w:t>Агенцията на Европейския съюз за сътрудничество в областта на правоприлагането</w:t>
      </w:r>
      <w:r w:rsidRPr="00FB5518">
        <w:t xml:space="preserve"> (Европол) и Европейската агенция за гранична и брегова охрана, чрез споделяне на обучителни дейности и организиране на съвместни курсове; отбелязва, че в този контекст Агенцията е председателствала мрежата на агенциите в областта на правосъдието и вътрешните работи през 2022 г.; отбелязва освен това, че Агенцията има действащо от 2023 г. споразумение с Европейския център за мониторинг на наркотици и наркомании (ЕЦМНН) за осигуряване на наем в учебната платформа на Агенцията </w:t>
      </w:r>
      <w:proofErr w:type="spellStart"/>
      <w:r w:rsidRPr="00FB5518">
        <w:t>LEEd</w:t>
      </w:r>
      <w:proofErr w:type="spellEnd"/>
      <w:r w:rsidRPr="00FB5518">
        <w:t>, като по този начин на ЕЦМНН се предоставя безплатно модерна платформа за обучение за неговата общност; призовава Агенцията да продължи сътрудничеството си с други агенции, така че да могат да бъдат използвани всички налични ресурси;</w:t>
      </w:r>
    </w:p>
    <w:p w:rsidR="007F1238" w:rsidRPr="00FB5518" w:rsidRDefault="007F1238" w:rsidP="007F1238">
      <w:pPr>
        <w:widowControl/>
        <w:spacing w:after="240"/>
        <w:ind w:left="567" w:hanging="567"/>
        <w:rPr>
          <w:szCs w:val="24"/>
        </w:rPr>
      </w:pPr>
      <w:r w:rsidRPr="00FB5518">
        <w:t>11.</w:t>
      </w:r>
      <w:r w:rsidRPr="00FB5518">
        <w:tab/>
        <w:t xml:space="preserve">приветства Агенцията за постигането на относително високо равнище на цифровизация на много от нейните процеси, които са били превърнати в </w:t>
      </w:r>
      <w:proofErr w:type="spellStart"/>
      <w:r w:rsidRPr="00FB5518">
        <w:t>безхартиени</w:t>
      </w:r>
      <w:proofErr w:type="spellEnd"/>
      <w:r w:rsidRPr="00FB5518">
        <w:t xml:space="preserve"> или в електронен формат, например системата за електронно подаване на оферти за открити процедури и електронни тръжни процедури, електронно набиране на персонал, електронно управление на човешките ресурси (SYSPER), електронно фактуриране, електронна резервация за пътуване, често в тясно сътрудничество с Генерална дирекция „Цифрови услуги“ на Комисията;</w:t>
      </w:r>
    </w:p>
    <w:p w:rsidR="007F1238" w:rsidRPr="00FB5518" w:rsidRDefault="007F1238" w:rsidP="007F1238">
      <w:pPr>
        <w:widowControl/>
        <w:spacing w:after="240"/>
        <w:ind w:left="567" w:hanging="567"/>
        <w:rPr>
          <w:szCs w:val="24"/>
        </w:rPr>
      </w:pPr>
      <w:r w:rsidRPr="00FB5518">
        <w:t>12.</w:t>
      </w:r>
      <w:r w:rsidRPr="00FB5518">
        <w:tab/>
        <w:t>отбелязва, че Агенцията има вътрешни правила, съгласно които за кратки разстояния служителите (и участниците в обучителни дейности) трябва да използват алтернативи на пътуването със самолет, като например пътуване с влак или автобус; отбелязва със задоволство, че от 2022 г. насам Агенцията предлага на своите служители възстановяване на разходите за използване на обществен транспорт; отбелязва освен това, че много заседания на експертни групи, провеждани преди това на място, вече се провеждат онлайн; изразява съжаление, че Агенцията не разполага със система за обективен и подробен мониторинг на развитието в сравнение със съответната предходна година във връзка с ползите и икономиите, и приканва Агенцията да създаде такава система;</w:t>
      </w:r>
    </w:p>
    <w:p w:rsidR="007F1238" w:rsidRPr="00FB5518" w:rsidRDefault="007F1238" w:rsidP="007F1238">
      <w:pPr>
        <w:widowControl/>
        <w:spacing w:after="240"/>
        <w:ind w:left="567" w:hanging="567"/>
        <w:rPr>
          <w:szCs w:val="24"/>
        </w:rPr>
      </w:pPr>
      <w:r w:rsidRPr="00FB5518">
        <w:t>13.</w:t>
      </w:r>
      <w:r w:rsidRPr="00FB5518">
        <w:tab/>
        <w:t>отбелязва въз основа на доклада на Палата, че Агенцията не разполага с корпоративен план за подобряване на енергийната ефективност и неутралността по отношение на климата на своите операции; изразява съжаление, че Агенцията все още не е започнала процеса на сертифициране по Схемата за управление по околна среда и одит (EMAS); отбелязва обаче, че Агенцията е посочила във връзка с изискванията, на които трябва да отговаря сградата на нейното ново седалище, че тя ще премине към сертифициране по EMAS в близко бъдеще; отбелязва в същия контекст, че Агенцията следва насоките на Комисията, съгласно които в по-голямата част от процедурите за възлагане на обществени поръчки следва да бъдат включени и критерии за възлагане, свързани с екологични съображения; призовава Агенцията да следва примери в областта на екологосъобразните обществени поръчки от други агенции;</w:t>
      </w:r>
    </w:p>
    <w:p w:rsidR="007F1238" w:rsidRPr="00FB5518" w:rsidRDefault="007F1238" w:rsidP="007F1238">
      <w:pPr>
        <w:widowControl/>
        <w:spacing w:after="240"/>
        <w:ind w:left="567" w:hanging="567"/>
        <w:rPr>
          <w:b/>
          <w:i/>
          <w:szCs w:val="24"/>
        </w:rPr>
      </w:pPr>
      <w:r w:rsidRPr="00FB5518">
        <w:rPr>
          <w:b/>
          <w:i/>
        </w:rPr>
        <w:t>Политика относно персонала</w:t>
      </w:r>
    </w:p>
    <w:p w:rsidR="007F1238" w:rsidRPr="00FB5518" w:rsidRDefault="007F1238" w:rsidP="007F1238">
      <w:pPr>
        <w:widowControl/>
        <w:spacing w:after="240"/>
        <w:ind w:left="567" w:hanging="567"/>
        <w:rPr>
          <w:szCs w:val="24"/>
        </w:rPr>
      </w:pPr>
      <w:r w:rsidRPr="00FB5518">
        <w:t>14.</w:t>
      </w:r>
      <w:r w:rsidRPr="00FB5518">
        <w:tab/>
        <w:t xml:space="preserve">отбелязва, че към 31 декември 2022 г. щатното разписание е било запълнено на 79%, като са били назначени 26 временно наети служители на общо 33-те щатни </w:t>
      </w:r>
      <w:r w:rsidRPr="00FB5518">
        <w:lastRenderedPageBreak/>
        <w:t>бройки за тази категория служители, разрешени съгласно бюджета на Съюза (същият брой разрешени длъжности като през 2021 г.); отбелязва, че освен това през 2022 г. за Агенцията са работили 59 договорно наети служители (от които 20 за редовни дейности и 39 за външно финансирани проекти за изграждане на капацитет) и шест командировани национални експерти; отбелязва освен това, че към 31 декември 2022 г. 24 временни служители са били наети за изпълнението на задачи, свързани с основната дейност, като например електронно обучение, ИКТ, правна и управленска подкрепа;</w:t>
      </w:r>
    </w:p>
    <w:p w:rsidR="007F1238" w:rsidRPr="00FB5518" w:rsidRDefault="007F1238" w:rsidP="007F1238">
      <w:pPr>
        <w:widowControl/>
        <w:tabs>
          <w:tab w:val="left" w:pos="720"/>
          <w:tab w:val="left" w:pos="1665"/>
        </w:tabs>
        <w:spacing w:after="240"/>
        <w:ind w:left="567" w:hanging="567"/>
        <w:rPr>
          <w:szCs w:val="24"/>
        </w:rPr>
      </w:pPr>
      <w:r w:rsidRPr="00FB5518">
        <w:t>15.</w:t>
      </w:r>
      <w:r w:rsidRPr="00FB5518">
        <w:tab/>
        <w:t>отбелязва, че текучеството на персонала е продължило да бъде относително високо през 2022 г. и е оказало значително въздействие върху Агенцията; отбелязва в този контекст, че през 2022 г. е имало 4 оставки поради нови възможности за работа във и извън Агенцията, 3 напускания поради пенсиониране, а към 31 декември 2022 г. 4 служители са били в неплатен отпуск;</w:t>
      </w:r>
    </w:p>
    <w:p w:rsidR="007F1238" w:rsidRPr="00FB5518" w:rsidRDefault="007F1238" w:rsidP="007F1238">
      <w:pPr>
        <w:widowControl/>
        <w:tabs>
          <w:tab w:val="left" w:pos="720"/>
          <w:tab w:val="left" w:pos="1665"/>
        </w:tabs>
        <w:spacing w:after="240"/>
        <w:ind w:left="567" w:hanging="567"/>
        <w:rPr>
          <w:szCs w:val="24"/>
        </w:rPr>
      </w:pPr>
      <w:r w:rsidRPr="00FB5518">
        <w:t>16.</w:t>
      </w:r>
      <w:r w:rsidRPr="00FB5518">
        <w:tab/>
        <w:t>отново изразява подкрепата си за увеличаването на броя на служителите на Агенцията, съизмерим със задачите и амбициите, определени в настоящия мандат на Агенцията; отбелязва със задоволство въз основа на доклада за последващите действия на Агенцията, озаглавен „План за действие на CEPOL в отговор на решението на ЕП за освобождаване от отговорност във връзка с изпълнението на бюджета за финансовата 2021 година“ (наричан по-долу „доклад за последващите действия на Агенцията“), че за да обоснове бъдещото искане за ресурси, изпълнителният директор на Агенцията е създал работна група, която систематично да документира и обосновава потребностите от допълнителни бюджетни и човешки ресурси в контекста на новата стратегия за периода 2023—2027 г.;</w:t>
      </w:r>
    </w:p>
    <w:p w:rsidR="007F1238" w:rsidRPr="00FB5518" w:rsidRDefault="007F1238" w:rsidP="007F1238">
      <w:pPr>
        <w:widowControl/>
        <w:spacing w:after="240"/>
        <w:ind w:left="567" w:hanging="567"/>
        <w:rPr>
          <w:szCs w:val="24"/>
        </w:rPr>
      </w:pPr>
      <w:r w:rsidRPr="00FB5518">
        <w:t>17.</w:t>
      </w:r>
      <w:r w:rsidRPr="00FB5518">
        <w:tab/>
        <w:t xml:space="preserve">отбелязва, че текучеството на персонала е останало високо през 2022 г. — 11,8%, което е оказало значително въздействие върху организацията; отбелязва въз основа на доклада за последващите действия на Агенцията, че процентът на текучество е извън контрола на Агенцията, тъй като основната причина за него е ниският корекционен коефициент по държави и относително ниските нива на длъжностите за ключови спомагателни функции в Агенцията; отбелязва, че през 2022 г. Агенцията е продължила да прилага мерки за запазване на персонала и непрекъснатост на дейността, като е използвала редица временни служители и командировани национални експерти, за да запълнят отсъствието на служители, до приключването на набирането на щатен персонал, като същевременно продължава </w:t>
      </w:r>
      <w:proofErr w:type="spellStart"/>
      <w:r w:rsidRPr="00FB5518">
        <w:t>прекласифицирането</w:t>
      </w:r>
      <w:proofErr w:type="spellEnd"/>
      <w:r w:rsidRPr="00FB5518">
        <w:t xml:space="preserve"> на служителите и функциите, поддържането на социалните придобивки (напр. училищно обучение за децата на служителите), дистанционната работа и схемите за гъвкаво работно време; отново призовава Комисията да преразгледа корекционния коефициент, за да отрази по-добре икономическите реалности във връзка с преместването и живота в града домакин на Агенцията;</w:t>
      </w:r>
    </w:p>
    <w:p w:rsidR="007F1238" w:rsidRPr="00FB5518" w:rsidRDefault="007F1238" w:rsidP="007F1238">
      <w:pPr>
        <w:widowControl/>
        <w:spacing w:after="240"/>
        <w:ind w:left="567" w:hanging="567"/>
        <w:rPr>
          <w:szCs w:val="24"/>
        </w:rPr>
      </w:pPr>
      <w:r w:rsidRPr="00FB5518">
        <w:t>18.</w:t>
      </w:r>
      <w:r w:rsidRPr="00FB5518">
        <w:tab/>
        <w:t xml:space="preserve">отбелязва със задоволство, по отношение на инструмента SYSPER, че Агенцията е въвела модули, като например REPORTING, ETHICS и STAGE, и работи по въвеждането на други модули на </w:t>
      </w:r>
      <w:proofErr w:type="spellStart"/>
      <w:r w:rsidRPr="00FB5518">
        <w:t>Sysper</w:t>
      </w:r>
      <w:proofErr w:type="spellEnd"/>
      <w:r w:rsidRPr="00FB5518">
        <w:t xml:space="preserve"> (напр. EVAL/PROMO);</w:t>
      </w:r>
    </w:p>
    <w:p w:rsidR="007F1238" w:rsidRPr="00FB5518" w:rsidRDefault="007F1238" w:rsidP="007F1238">
      <w:pPr>
        <w:pStyle w:val="ListParagraph"/>
        <w:spacing w:after="240"/>
        <w:ind w:left="567" w:hanging="567"/>
        <w:contextualSpacing w:val="0"/>
        <w:jc w:val="left"/>
      </w:pPr>
      <w:r w:rsidRPr="00FB5518">
        <w:t>19.</w:t>
      </w:r>
      <w:r w:rsidRPr="00FB5518">
        <w:tab/>
        <w:t xml:space="preserve">приветства докладваната от Агенцията разбивка по пол за 2022 г. – 3 мъже и 3 жени на ръководни длъжности (1 висш ръководител и 5 ръководители на средно равнище), 15 мъже (56%) и 12 жени (44%) в управителния съвет, като персоналът </w:t>
      </w:r>
      <w:r w:rsidRPr="00FB5518">
        <w:lastRenderedPageBreak/>
        <w:t>като цяло се състои от 37 мъже (44%) и 48 жени (56%); приветства Агенцията за баланса между половете, постигнат през 2022 г.;</w:t>
      </w:r>
    </w:p>
    <w:p w:rsidR="007F1238" w:rsidRPr="00FB5518" w:rsidRDefault="007F1238" w:rsidP="007F1238">
      <w:pPr>
        <w:pStyle w:val="NormalHanging12a"/>
        <w:widowControl/>
      </w:pPr>
      <w:r w:rsidRPr="00FB5518">
        <w:t>20.</w:t>
      </w:r>
      <w:r w:rsidRPr="00FB5518">
        <w:tab/>
        <w:t>отбелязва въз основа на консолидирания годишен отчет за дейността на Агенцията за 2022 г., че 17 държави членки са били представени сред служителите на Агенцията през 2022 г.; отбелязва, че 39% от служителите са граждани на държавата членка, в която се намира Агенцията; припомня значението на географския баланс и призовава Агенцията да предприеме необходимите мерки за постигане на балансирано и справедливо географско представителство;</w:t>
      </w:r>
    </w:p>
    <w:p w:rsidR="007F1238" w:rsidRPr="00FB5518" w:rsidRDefault="007F1238" w:rsidP="007F1238">
      <w:pPr>
        <w:pStyle w:val="ListParagraph"/>
        <w:spacing w:after="240"/>
        <w:ind w:left="567" w:hanging="567"/>
        <w:contextualSpacing w:val="0"/>
        <w:jc w:val="left"/>
      </w:pPr>
      <w:r w:rsidRPr="00FB5518">
        <w:t>21.</w:t>
      </w:r>
      <w:r w:rsidRPr="00FB5518">
        <w:tab/>
        <w:t>приветства факта, че през 2022 г. Агенцията е приела ново решение, основано на принципите на управление, ориентирано към цели и резултати и към култура на доверие; отбелязва, че с това решение се въвежда по-голяма гъвкавост за служителите както по отношение на работното време, така и по отношение на дистанционната работа, като се предоставя право на откъсване от работната среда и ясно се посочва период на изключване, който следва да допринесе за по-добро равновесие между професионалния и личния живот и да защити служителите от цифрово претоварване на работното място;</w:t>
      </w:r>
    </w:p>
    <w:p w:rsidR="007F1238" w:rsidRPr="00FB5518" w:rsidRDefault="007F1238" w:rsidP="007F1238">
      <w:pPr>
        <w:widowControl/>
        <w:spacing w:after="240"/>
        <w:ind w:left="567" w:hanging="567"/>
        <w:rPr>
          <w:color w:val="000000"/>
          <w:szCs w:val="24"/>
        </w:rPr>
      </w:pPr>
      <w:r w:rsidRPr="00FB5518">
        <w:rPr>
          <w:color w:val="000000"/>
        </w:rPr>
        <w:t>22.</w:t>
      </w:r>
      <w:r w:rsidRPr="00FB5518">
        <w:rPr>
          <w:color w:val="000000"/>
        </w:rPr>
        <w:tab/>
        <w:t>приветства въз основа на доклада за последващите действия на Агенцията във връзка със забележката относно служителите, работещи по процедури за възлагане на обществени поръчки, че щатното разписание за 2023 г. предвижда преобразуването на съответната длъжност AST-5 (степен на назначаване AST-3) в длъжност AD-5;</w:t>
      </w:r>
    </w:p>
    <w:p w:rsidR="007F1238" w:rsidRPr="00FB5518" w:rsidRDefault="007F1238" w:rsidP="007F1238">
      <w:pPr>
        <w:widowControl/>
        <w:spacing w:after="240"/>
        <w:ind w:left="567" w:hanging="567"/>
        <w:rPr>
          <w:rFonts w:eastAsiaTheme="minorHAnsi"/>
          <w:b/>
          <w:i/>
          <w:szCs w:val="24"/>
        </w:rPr>
      </w:pPr>
      <w:r w:rsidRPr="00FB5518">
        <w:rPr>
          <w:b/>
          <w:i/>
        </w:rPr>
        <w:t>Обществени поръчки</w:t>
      </w:r>
    </w:p>
    <w:p w:rsidR="007F1238" w:rsidRPr="00FB5518" w:rsidRDefault="007F1238" w:rsidP="007F1238">
      <w:pPr>
        <w:pStyle w:val="NormalHanging12a"/>
        <w:widowControl/>
      </w:pPr>
      <w:r w:rsidRPr="00FB5518">
        <w:t>23.</w:t>
      </w:r>
      <w:r w:rsidRPr="00FB5518">
        <w:tab/>
        <w:t xml:space="preserve">отбелязва със загриженост въз основа на доклада на Палатата, че от финансовата 2020 година насам Палатата прави ежегодно нови констатации, свързани с възлагането на обществени поръчки в Агенцията; подчертава въз основа на доклада на Палатата констатацията, която е в основата на изразеното от Палатата становище с резерви относно законосъобразността и редовността на 359 плащания на обща стойност 4,1 милиона евро, извършени през 2022 г. по два рамкови договора, изпълнявани пряко чрез формуляри за поръчка (искания за услуги), изпратени от служители на Агенцията, които не са разполагали с делегирани правомощия да поемат правни задължения от името на Агенцията, или от временни служители, които не са могли по закон да имат такива делегирани правомощия поради временния им статут; отбелязва отговора на Агенцията на констатацията на Палатата, че дори да е имало слабост във формализирането на правното задължение, услугите са били поръчани в съответствие с потребностите на Агенцията и са били приложени изцяло проверки, за да се гарантира, че средствата са били използвани по предназначение и че не са възникнали действителни загуби; отбелязва въз основа на отговорите на Агенцията на въпросите на Парламента с искане за писмен отговор, че тези договори не са били засегнати от други нередности и че Агенцията е предприела мерки във връзка със забележката на Палатата чрез изменение на вътрешните процедури на Агенцията, за да се гарантира, че заповедите ще бъдат съобщавани на туристическия агент само от щатни служители, на които е възложено от разпоредител с бюджетни кредити да поемат правно задължение; отбелязва отговора на Агенцията, че Агенцията незабавно е въвела корективни мерки, дори </w:t>
      </w:r>
      <w:r w:rsidRPr="00FB5518">
        <w:lastRenderedPageBreak/>
        <w:t>още преди края на одитния процес; призовава Агенцията да разгледа изцяло тези забележки и да подобри своите процедури за възлагане на обществени поръчки, за да се избегнат подобни ситуации в бъдеще;</w:t>
      </w:r>
    </w:p>
    <w:p w:rsidR="007F1238" w:rsidRPr="00FB5518" w:rsidRDefault="007F1238" w:rsidP="007F1238">
      <w:pPr>
        <w:pStyle w:val="NormalHanging12a"/>
        <w:widowControl/>
      </w:pPr>
      <w:r w:rsidRPr="00FB5518">
        <w:t>24.</w:t>
      </w:r>
      <w:r w:rsidRPr="00FB5518">
        <w:tab/>
        <w:t>подчертава освен това въз основа на доклада на Палатата становището с резерви, според което всички суми, платени през 2022 г. (152 655 EUR) за изпълнението на рамков договор (за образователни редакционни услуги), не могат да бъдат съгласувани с предоставените услуги, като някои категории задачи не отразяват естеството на действително извършената работа, а за някои категории дейности обемът на платения труд не съответства на действително изразходваната сума, което прави тези суми неправомерни; отбелязва обяснението на Агенцията, че няма пълно съответствие между броя на поръчаните, доставените и платени страници, тъй като поради естеството на работата, а именно редактиране и разработване на обучително съдържание, количеството на работата невинаги е могло да бъде прецизно определено предварително; отбелязва освен това, че според отговора на Агенцията са извършени проверки на резултатите и че категориите задачи се основават на тези, изброени в предишен договор със Службата за публикации; призовава Агенцията да въведе мерки, които да ѝ позволят да определя по-добре резултатите в количествено отношение предварително и да избягва подобни ситуации в бъдеще;</w:t>
      </w:r>
    </w:p>
    <w:p w:rsidR="007F1238" w:rsidRPr="00FB5518" w:rsidRDefault="007F1238" w:rsidP="007F1238">
      <w:pPr>
        <w:widowControl/>
        <w:spacing w:after="240"/>
        <w:ind w:left="567" w:hanging="567"/>
        <w:rPr>
          <w:color w:val="000000"/>
          <w:szCs w:val="24"/>
        </w:rPr>
      </w:pPr>
      <w:r w:rsidRPr="00FB5518">
        <w:rPr>
          <w:color w:val="000000"/>
        </w:rPr>
        <w:t>25.</w:t>
      </w:r>
      <w:r w:rsidRPr="00FB5518">
        <w:rPr>
          <w:color w:val="000000"/>
        </w:rPr>
        <w:tab/>
        <w:t>отбелязва въз основа на доклада на Палатата за финансовата 2021 година, че една забележка е останала неизпълнена по отношение на процеса на оценка на процедура за възлагане на обществена поръчка, при която Агенцията е поставила акцент върху критерий, който не е бил ясно представен в спецификациите на поръчката, като по този начин се създава риск оферентите да бъдат третирани неравноправно; отбелязва, че договорът е бил в сила до септември 2023 г. и че към момента на прегледа от страна на Палатата на статуса на тази забележка Агенцията не е възнамерявала да поднови договора за още 12 месеца;</w:t>
      </w:r>
    </w:p>
    <w:p w:rsidR="007F1238" w:rsidRPr="00FB5518" w:rsidRDefault="007F1238" w:rsidP="007F1238">
      <w:pPr>
        <w:widowControl/>
        <w:spacing w:after="240"/>
        <w:ind w:left="567" w:hanging="567"/>
        <w:rPr>
          <w:color w:val="000000"/>
          <w:szCs w:val="24"/>
        </w:rPr>
      </w:pPr>
      <w:r w:rsidRPr="00FB5518">
        <w:rPr>
          <w:color w:val="000000"/>
        </w:rPr>
        <w:t>26.</w:t>
      </w:r>
      <w:r w:rsidRPr="00FB5518">
        <w:rPr>
          <w:color w:val="000000"/>
        </w:rPr>
        <w:tab/>
        <w:t>приветства Агенцията за това, че е въвела инструмента за управление на обществените поръчки, който от октомври 2022 г. се използва за всички видове процедури за възлагане на обществени поръчки; призовава Агенцията да ускори приемането и прилагането на инструменти, които дават възможност за използването на електронен подпис, за да получават одобрения и подписи от вътрешни и външни контрагенти в документацията, свързана с обществени поръчки и договори;</w:t>
      </w:r>
    </w:p>
    <w:p w:rsidR="007F1238" w:rsidRPr="00FB5518" w:rsidRDefault="007F1238" w:rsidP="007F1238">
      <w:pPr>
        <w:pStyle w:val="ListParagraph"/>
        <w:spacing w:after="240"/>
        <w:ind w:left="567" w:hanging="567"/>
        <w:contextualSpacing w:val="0"/>
        <w:jc w:val="left"/>
        <w:rPr>
          <w:rFonts w:eastAsia="Times New Roman"/>
        </w:rPr>
      </w:pPr>
      <w:r w:rsidRPr="00FB5518">
        <w:rPr>
          <w:b/>
          <w:i/>
        </w:rPr>
        <w:t>Предотвратяване и управление на конфликти на интереси и прозрачност</w:t>
      </w:r>
    </w:p>
    <w:p w:rsidR="007F1238" w:rsidRPr="00FB5518" w:rsidRDefault="007F1238" w:rsidP="007F1238">
      <w:pPr>
        <w:widowControl/>
        <w:spacing w:after="240"/>
        <w:ind w:left="567" w:hanging="567"/>
        <w:rPr>
          <w:szCs w:val="24"/>
        </w:rPr>
      </w:pPr>
      <w:r w:rsidRPr="00FB5518">
        <w:t>27.</w:t>
      </w:r>
      <w:r w:rsidRPr="00FB5518">
        <w:tab/>
        <w:t xml:space="preserve">отбелязва със задоволство съществуващите мерки и продължаващите усилия на Агенцията за осигуряване на прозрачност и за предотвратяване и управление на конфликти на интереси; отбелязва със задоволство, че декларациите за интереси и автобиографиите на членовете на управителния съвет и висшето ръководство са публикувани на уебсайта на Агенцията и форматът на декларациите позволява да се изброят професионалните, финансовите, личните и други интереси, които биха могли да бъдат свързани с дейностите на Агенцията; отбелязва въз основа на доклада за последващите действия на Агенцията във връзка със забележката на органа по освобождаване от отговорност, че декларациите за конфликти на интереси и поверителността за експертите, получаващи възнаграждение, не са публикувани на уебсайта на Агенцията, че Агенцията е преценила, че поради </w:t>
      </w:r>
      <w:r w:rsidRPr="00FB5518">
        <w:lastRenderedPageBreak/>
        <w:t>съображения, свързани със защитата на данните, публикуването на заявленията и автобиографиите на експертите би довело до значително намаляване на броя на заявленията от експерти, като се има предвид, че повечето експерти, работещи за Агенцията, имат опит в областта на правоприлагането;</w:t>
      </w:r>
    </w:p>
    <w:p w:rsidR="007F1238" w:rsidRPr="00FB5518" w:rsidRDefault="007F1238" w:rsidP="007F1238">
      <w:pPr>
        <w:widowControl/>
        <w:spacing w:after="240"/>
        <w:ind w:left="567" w:hanging="567"/>
        <w:rPr>
          <w:szCs w:val="24"/>
        </w:rPr>
      </w:pPr>
      <w:r w:rsidRPr="00FB5518">
        <w:t>28.</w:t>
      </w:r>
      <w:r w:rsidRPr="00FB5518">
        <w:tab/>
        <w:t>отбелязва със задоволство въз основа на доклада за последващите действия на Агенцията, че със стартирането на новия си уебсайт през 2022 г. Агенцията е подобрила своя публичен регистър на документите и въведените технически промени позволяват на гражданите да търсят официални документи на Агенцията по категории или да искат достъп до документ чрез уеб формуляр, когато не е предоставен пряк достъп чрез публичния регистър на документите; отбелязва, че през 2022 г. Агенцията е получила пет заявления за публичен достъп до документи и е разгледала 920 публични запитвания от граждани;</w:t>
      </w:r>
    </w:p>
    <w:p w:rsidR="007F1238" w:rsidRPr="00FB5518" w:rsidRDefault="007F1238" w:rsidP="007F1238">
      <w:pPr>
        <w:widowControl/>
        <w:spacing w:after="240"/>
        <w:ind w:left="567" w:hanging="567"/>
        <w:rPr>
          <w:b/>
          <w:i/>
          <w:szCs w:val="24"/>
        </w:rPr>
      </w:pPr>
      <w:r w:rsidRPr="00FB5518">
        <w:rPr>
          <w:b/>
          <w:i/>
        </w:rPr>
        <w:t>Вътрешен контрол</w:t>
      </w:r>
    </w:p>
    <w:p w:rsidR="007F1238" w:rsidRPr="00FB5518" w:rsidRDefault="007F1238" w:rsidP="007F1238">
      <w:pPr>
        <w:widowControl/>
        <w:spacing w:after="240"/>
        <w:ind w:left="567" w:hanging="567"/>
        <w:rPr>
          <w:szCs w:val="24"/>
        </w:rPr>
      </w:pPr>
      <w:r w:rsidRPr="00FB5518">
        <w:t>29.</w:t>
      </w:r>
      <w:r w:rsidRPr="00FB5518">
        <w:tab/>
        <w:t>отбелязва въз основа на доклада за последващите действия на Агенцията, че по отношение на няколко слабости в системата за вътрешен контрол на Агенцията, по-специално във връзка с процедурите за възлагане на обществени поръчки и управлението на бюджетните задължения, Агенцията е предприела стъпки, включително обучение и семинари, за повишаване на осведомеността и намаляване на случаите на административни грешки; отбелязва в този контекст въз основа на доклада на Палатата, че нейните забележки (за финансовата 2021 година), отнасящи се до тези слабости, са със статус „приключени“;</w:t>
      </w:r>
    </w:p>
    <w:p w:rsidR="007F1238" w:rsidRPr="00FB5518" w:rsidRDefault="007F1238" w:rsidP="007F1238">
      <w:pPr>
        <w:widowControl/>
        <w:spacing w:after="240"/>
        <w:ind w:left="567" w:hanging="567"/>
        <w:rPr>
          <w:szCs w:val="24"/>
        </w:rPr>
      </w:pPr>
      <w:r w:rsidRPr="00FB5518">
        <w:t>30.</w:t>
      </w:r>
      <w:r w:rsidRPr="00FB5518">
        <w:tab/>
        <w:t>отбелязва оценката на Агенцията на нейната система за вътрешен контрол през 2022 г. и нейното заключение, че тя е ефективна, налична и функционира добре и че са необходими само незначителни подобрения; призовава Агенцията да отстрани установените недостатъци по отношение на компонентите за вътрешен контрол „Контролни дейности“ и „Информация и комуникация“ и да информира органа по освобождаване от отговорност за напредъка по този въпрос; отбелязва със задоволство въз основа на доклада за последващите действия на Агенцията, че при оценката на компонента „Дейности по мониторинг“ – принцип 17 „оценяване и съобщаване на недостатъци“, Агенцията е взела предвид съответните констатации и оценки на Палатата от предходни години; приканва Агенцията да продължи да предприема действия по всички забележки от одита на Агенцията на тема „Управление на човешките ресурси и етика в CEPOL“, извършен през 2021 г. от службата за вътрешен одит;</w:t>
      </w:r>
    </w:p>
    <w:p w:rsidR="007F1238" w:rsidRPr="00FB5518" w:rsidRDefault="007F1238" w:rsidP="007F1238">
      <w:pPr>
        <w:widowControl/>
        <w:spacing w:after="240"/>
        <w:ind w:left="567" w:hanging="567"/>
        <w:rPr>
          <w:szCs w:val="24"/>
        </w:rPr>
      </w:pPr>
      <w:r w:rsidRPr="00FB5518">
        <w:t>31.</w:t>
      </w:r>
      <w:r w:rsidRPr="00FB5518">
        <w:tab/>
        <w:t>отбелязва, че Агенцията прилага процес за регистрация и разрешаване на изключения, които се анализират, за да се определят конкретни проблемни области и съответни действия за подобряване; отбелязва, че докладът за 2022 г. относно изключенията потвърждава, че системата за вътрешен контрол на Агенцията функционира добре и че случаите на несъответствие се откриват и смекчават чрез корективни и превантивни действия; отбелязва освен това, че през 2022 г. са били приложени общо 46 изключения (в сравнение с 27 изключения през 2021 г.) на стойност 51 697 EUR (в сравнение с 257 825 EUR през 2021 г.), като 13 от тези изключения са имали финансово отражение в размер над 1 000 EUR (вариращо от 1 053 EUR до 12 240 EUR);</w:t>
      </w:r>
    </w:p>
    <w:p w:rsidR="007F1238" w:rsidRPr="00FB5518" w:rsidRDefault="007F1238" w:rsidP="007F1238">
      <w:pPr>
        <w:widowControl/>
        <w:spacing w:after="240"/>
        <w:ind w:left="567" w:hanging="567"/>
        <w:rPr>
          <w:b/>
          <w:i/>
          <w:szCs w:val="24"/>
        </w:rPr>
      </w:pPr>
      <w:r w:rsidRPr="00FB5518">
        <w:rPr>
          <w:b/>
          <w:i/>
        </w:rPr>
        <w:t>Други коментари</w:t>
      </w:r>
    </w:p>
    <w:p w:rsidR="007F1238" w:rsidRPr="00FB5518" w:rsidRDefault="007F1238" w:rsidP="007F1238">
      <w:pPr>
        <w:widowControl/>
        <w:spacing w:after="240"/>
        <w:ind w:left="567" w:hanging="567"/>
        <w:rPr>
          <w:szCs w:val="24"/>
        </w:rPr>
      </w:pPr>
      <w:r w:rsidRPr="00FB5518">
        <w:lastRenderedPageBreak/>
        <w:t>32.</w:t>
      </w:r>
      <w:r w:rsidRPr="00FB5518">
        <w:tab/>
        <w:t xml:space="preserve">отбелязва въз основа на доклада за последващите действия на Агенцията, във връзка с проблема, че Агенцията не разполага с достатъчно офис пространство и с пространство за оперативни дейности, че унгарското правителство е поело ангажимент да осигури непрекъснатост на дейността и да предостави на Агенцията подходящи съоръжения чрез приемане на решение за осигуряване на ново седалище (6 000 </w:t>
      </w:r>
      <w:proofErr w:type="spellStart"/>
      <w:r w:rsidRPr="00FB5518">
        <w:t>кв.м</w:t>
      </w:r>
      <w:proofErr w:type="spellEnd"/>
      <w:r w:rsidRPr="00FB5518">
        <w:t>.) под формата на наем; отбелязва освен това, че преместването в нови помещения може да се осъществи до края на 2024 г., успоредно с подписването на ново споразумение за седалището;</w:t>
      </w:r>
    </w:p>
    <w:p w:rsidR="007F1238" w:rsidRPr="00FB5518" w:rsidRDefault="007F1238" w:rsidP="007F1238">
      <w:pPr>
        <w:pStyle w:val="NormalHanging12a"/>
        <w:widowControl/>
      </w:pPr>
      <w:r w:rsidRPr="00FB5518">
        <w:t>33.</w:t>
      </w:r>
      <w:r w:rsidRPr="00FB5518">
        <w:tab/>
        <w:t xml:space="preserve">поздравява Агенцията за усилията ѝ да увеличи обществената си видимост и присъствието си онлайн; приветства в този контекст стартирането на новия уебсайт на Агенцията през 2022 г., който включва ключови подобрения, като например по-ясно представяне и структура, подобрен външен вид и способност за реагиране в интернет; отбелязва освен това, че през 2022 г. дейността на Агенцията в социалните медии е била значителна с 1 590 качвания на съдържание, което представлява 54% повече публикации в сравнение с предходната година; отбелязва във връзка с това възходящата тенденция при ползвателите на мрежата на Агенцията с над 200 000 регистрирани посещения и с нейната база от привърженици в социалните медии с 38 500 последователи в </w:t>
      </w:r>
      <w:proofErr w:type="spellStart"/>
      <w:r w:rsidRPr="00FB5518">
        <w:t>LinkedIn</w:t>
      </w:r>
      <w:proofErr w:type="spellEnd"/>
      <w:r w:rsidRPr="00FB5518">
        <w:t xml:space="preserve">, Х (предишна </w:t>
      </w:r>
      <w:proofErr w:type="spellStart"/>
      <w:r w:rsidRPr="00FB5518">
        <w:t>Twitter</w:t>
      </w:r>
      <w:proofErr w:type="spellEnd"/>
      <w:r w:rsidRPr="00FB5518">
        <w:t xml:space="preserve">) и </w:t>
      </w:r>
      <w:proofErr w:type="spellStart"/>
      <w:r w:rsidRPr="00FB5518">
        <w:t>Facebook</w:t>
      </w:r>
      <w:proofErr w:type="spellEnd"/>
      <w:r w:rsidRPr="00FB5518">
        <w:t>;</w:t>
      </w:r>
    </w:p>
    <w:p w:rsidR="007F1238" w:rsidRPr="00FB5518" w:rsidRDefault="007F1238" w:rsidP="007F1238">
      <w:pPr>
        <w:pStyle w:val="NormalCenter12a"/>
        <w:widowControl/>
      </w:pPr>
      <w:r w:rsidRPr="00FB5518">
        <w:t>°</w:t>
      </w:r>
    </w:p>
    <w:p w:rsidR="007F1238" w:rsidRPr="00FB5518" w:rsidRDefault="007F1238" w:rsidP="007F1238">
      <w:pPr>
        <w:pStyle w:val="NormalCenter12a"/>
        <w:widowControl/>
      </w:pPr>
      <w:r w:rsidRPr="00FB5518">
        <w:t>°</w:t>
      </w:r>
      <w:r w:rsidRPr="00FB5518">
        <w:tab/>
        <w:t>°</w:t>
      </w:r>
    </w:p>
    <w:p w:rsidR="007F1238" w:rsidRPr="00FB5518" w:rsidRDefault="007F1238" w:rsidP="007F1238">
      <w:pPr>
        <w:pStyle w:val="NormalHanging12a"/>
        <w:widowControl/>
      </w:pPr>
      <w:r w:rsidRPr="00FB5518">
        <w:t>34.</w:t>
      </w:r>
      <w:r w:rsidRPr="00FB5518">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E14898">
        <w:t>11 април 2024 г.</w:t>
      </w:r>
      <w:r w:rsidRPr="00FB5518">
        <w:rPr>
          <w:rStyle w:val="FootnoteReference"/>
        </w:rPr>
        <w:footnoteReference w:id="12"/>
      </w:r>
      <w:r w:rsidRPr="00FB5518">
        <w:t xml:space="preserve"> относно резултатите от дейността, финансовото управление и контрола на агенциите.</w:t>
      </w:r>
    </w:p>
    <w:p w:rsidR="007F1238" w:rsidRPr="00FB5518" w:rsidRDefault="007F1238" w:rsidP="007F1238"/>
    <w:p w:rsidR="00E365E1" w:rsidRPr="00FB5518" w:rsidRDefault="00E365E1" w:rsidP="007F1238">
      <w:bookmarkStart w:id="13" w:name="TextBodyEnd"/>
      <w:bookmarkEnd w:id="13"/>
    </w:p>
    <w:sectPr w:rsidR="00E365E1" w:rsidRPr="00FB5518" w:rsidSect="00FB551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711" w:rsidRPr="00FB5518" w:rsidRDefault="00DC1711">
      <w:r w:rsidRPr="00FB5518">
        <w:separator/>
      </w:r>
    </w:p>
  </w:endnote>
  <w:endnote w:type="continuationSeparator" w:id="0">
    <w:p w:rsidR="00DC1711" w:rsidRPr="00FB5518" w:rsidRDefault="00DC1711">
      <w:r w:rsidRPr="00FB55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238" w:rsidRPr="00FB5518" w:rsidRDefault="007F1238" w:rsidP="0033448B">
    <w:pPr>
      <w:pStyle w:val="EPFooter"/>
    </w:pPr>
    <w:r w:rsidRPr="00FB5518">
      <w:t>PE</w:t>
    </w:r>
    <w:r w:rsidRPr="00FB5518">
      <w:rPr>
        <w:rStyle w:val="HideTWBExt"/>
      </w:rPr>
      <w:t>&lt;NoPE&gt;</w:t>
    </w:r>
    <w:r w:rsidRPr="00FB5518">
      <w:t>753.510</w:t>
    </w:r>
    <w:r w:rsidRPr="00FB5518">
      <w:rPr>
        <w:rStyle w:val="HideTWBExt"/>
      </w:rPr>
      <w:t>&lt;/NoPE&gt;&lt;Version&gt;</w:t>
    </w:r>
    <w:r w:rsidRPr="00FB5518">
      <w:t>v02-00</w:t>
    </w:r>
    <w:r w:rsidRPr="00FB5518">
      <w:rPr>
        <w:rStyle w:val="HideTWBExt"/>
      </w:rPr>
      <w:t>&lt;/Version&gt;</w:t>
    </w:r>
    <w:r w:rsidRPr="00FB5518">
      <w:tab/>
    </w:r>
    <w:r w:rsidRPr="00FB5518">
      <w:fldChar w:fldCharType="begin"/>
    </w:r>
    <w:r w:rsidRPr="00FB5518">
      <w:instrText xml:space="preserve"> PAGE  \* MERGEFORMAT </w:instrText>
    </w:r>
    <w:r w:rsidRPr="00FB5518">
      <w:fldChar w:fldCharType="separate"/>
    </w:r>
    <w:r w:rsidR="00FB5518" w:rsidRPr="00FB5518">
      <w:rPr>
        <w:noProof/>
      </w:rPr>
      <w:t>2</w:t>
    </w:r>
    <w:r w:rsidRPr="00FB5518">
      <w:fldChar w:fldCharType="end"/>
    </w:r>
    <w:r w:rsidRPr="00FB5518">
      <w:t>/</w:t>
    </w:r>
    <w:r w:rsidR="00396962">
      <w:fldChar w:fldCharType="begin"/>
    </w:r>
    <w:r w:rsidR="00396962">
      <w:instrText xml:space="preserve"> NUMPAGES  \* MERGEFORMAT </w:instrText>
    </w:r>
    <w:r w:rsidR="00396962">
      <w:fldChar w:fldCharType="separate"/>
    </w:r>
    <w:r w:rsidR="00FB5518" w:rsidRPr="00FB5518">
      <w:rPr>
        <w:noProof/>
      </w:rPr>
      <w:t>4</w:t>
    </w:r>
    <w:r w:rsidR="00396962">
      <w:rPr>
        <w:noProof/>
      </w:rPr>
      <w:fldChar w:fldCharType="end"/>
    </w:r>
    <w:r w:rsidRPr="00FB5518">
      <w:tab/>
    </w:r>
    <w:r w:rsidRPr="00FB5518">
      <w:rPr>
        <w:rStyle w:val="HideTWBExt"/>
      </w:rPr>
      <w:t>&lt;PathFdR&gt;</w:t>
    </w:r>
    <w:r w:rsidRPr="00FB5518">
      <w:t>RR\1298754BG.docx</w:t>
    </w:r>
    <w:r w:rsidRPr="00FB5518">
      <w:rPr>
        <w:rStyle w:val="HideTWBExt"/>
      </w:rPr>
      <w:t>&lt;/PathFdR&gt;</w:t>
    </w:r>
  </w:p>
  <w:p w:rsidR="007F1238" w:rsidRPr="00FB5518" w:rsidRDefault="007F1238" w:rsidP="0033448B">
    <w:pPr>
      <w:pStyle w:val="EPFooter2"/>
    </w:pPr>
    <w:r w:rsidRPr="00FB5518">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238" w:rsidRPr="00FB5518" w:rsidRDefault="007F1238" w:rsidP="0033448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238" w:rsidRPr="00FB5518" w:rsidRDefault="007F1238" w:rsidP="0033448B">
    <w:pPr>
      <w:pStyle w:val="EPFooter"/>
    </w:pPr>
    <w:r w:rsidRPr="00FB5518">
      <w:rPr>
        <w:rStyle w:val="HideTWBExt"/>
      </w:rPr>
      <w:t>&lt;PathFdR&gt;</w:t>
    </w:r>
    <w:r w:rsidRPr="00FB5518">
      <w:t>RR\1298754BG.docx</w:t>
    </w:r>
    <w:r w:rsidRPr="00FB5518">
      <w:rPr>
        <w:rStyle w:val="HideTWBExt"/>
      </w:rPr>
      <w:t>&lt;/PathFdR&gt;</w:t>
    </w:r>
    <w:r w:rsidRPr="00FB5518">
      <w:tab/>
    </w:r>
    <w:r w:rsidRPr="00FB5518">
      <w:tab/>
      <w:t>PE</w:t>
    </w:r>
    <w:r w:rsidRPr="00FB5518">
      <w:rPr>
        <w:rStyle w:val="HideTWBExt"/>
      </w:rPr>
      <w:t>&lt;NoPE&gt;</w:t>
    </w:r>
    <w:r w:rsidRPr="00FB5518">
      <w:t>753.510</w:t>
    </w:r>
    <w:r w:rsidRPr="00FB5518">
      <w:rPr>
        <w:rStyle w:val="HideTWBExt"/>
      </w:rPr>
      <w:t>&lt;/NoPE&gt;&lt;Version&gt;</w:t>
    </w:r>
    <w:r w:rsidRPr="00FB5518">
      <w:t>v02-00</w:t>
    </w:r>
    <w:r w:rsidRPr="00FB5518">
      <w:rPr>
        <w:rStyle w:val="HideTWBExt"/>
      </w:rPr>
      <w:t>&lt;/Version&gt;</w:t>
    </w:r>
  </w:p>
  <w:p w:rsidR="007F1238" w:rsidRPr="00FB5518" w:rsidRDefault="007F1238" w:rsidP="0033448B">
    <w:pPr>
      <w:pStyle w:val="EPFooter2"/>
    </w:pPr>
    <w:r w:rsidRPr="00FB5518">
      <w:t>BG</w:t>
    </w:r>
    <w:r w:rsidRPr="00FB5518">
      <w:tab/>
    </w:r>
    <w:r w:rsidRPr="00FB5518">
      <w:rPr>
        <w:b w:val="0"/>
        <w:i/>
        <w:color w:val="C0C0C0"/>
        <w:sz w:val="22"/>
      </w:rPr>
      <w:t>Единство в многообразието</w:t>
    </w:r>
    <w:r w:rsidRPr="00FB5518">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51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51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5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711" w:rsidRPr="00FB5518" w:rsidRDefault="00DC1711">
      <w:r w:rsidRPr="00FB5518">
        <w:separator/>
      </w:r>
    </w:p>
  </w:footnote>
  <w:footnote w:type="continuationSeparator" w:id="0">
    <w:p w:rsidR="00DC1711" w:rsidRPr="00FB5518" w:rsidRDefault="00DC1711">
      <w:r w:rsidRPr="00FB5518">
        <w:continuationSeparator/>
      </w:r>
    </w:p>
  </w:footnote>
  <w:footnote w:id="1">
    <w:p w:rsidR="007F1238" w:rsidRPr="00FB5518" w:rsidRDefault="007F1238" w:rsidP="00FB5518">
      <w:pPr>
        <w:pStyle w:val="FootnoteText"/>
        <w:ind w:left="567" w:hanging="567"/>
        <w:rPr>
          <w:sz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ОВ C, C/2023/594, 27.10.2023 г.</w:t>
      </w:r>
    </w:p>
  </w:footnote>
  <w:footnote w:id="2">
    <w:p w:rsidR="007F1238" w:rsidRPr="00FB5518" w:rsidRDefault="007F1238" w:rsidP="00FB5518">
      <w:pPr>
        <w:pStyle w:val="FootnoteText"/>
        <w:ind w:left="567" w:hanging="567"/>
        <w:rPr>
          <w:sz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ОВ C, C/2023/112, 12.10.2023 г.</w:t>
      </w:r>
    </w:p>
  </w:footnote>
  <w:footnote w:id="3">
    <w:p w:rsidR="007F1238" w:rsidRPr="00FB5518" w:rsidRDefault="007F1238" w:rsidP="00FB5518">
      <w:pPr>
        <w:pStyle w:val="FootnoteText"/>
        <w:ind w:left="567" w:hanging="567"/>
        <w:rPr>
          <w:sz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OВ L 193, 30.7.2018 г., стр. 1.</w:t>
      </w:r>
    </w:p>
  </w:footnote>
  <w:footnote w:id="4">
    <w:p w:rsidR="007F1238" w:rsidRPr="00FB5518" w:rsidRDefault="007F1238" w:rsidP="00FB5518">
      <w:pPr>
        <w:pStyle w:val="FootnoteText"/>
        <w:ind w:left="567" w:hanging="567"/>
        <w:rPr>
          <w:sz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ОВ L 319, 4.12.2015 г., стр. 1.</w:t>
      </w:r>
    </w:p>
  </w:footnote>
  <w:footnote w:id="5">
    <w:p w:rsidR="007F1238" w:rsidRPr="00FB5518" w:rsidRDefault="007F1238" w:rsidP="00FB5518">
      <w:pPr>
        <w:pStyle w:val="FootnoteText"/>
        <w:ind w:left="567" w:hanging="567"/>
        <w:rPr>
          <w:sz w:val="24"/>
          <w:szCs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ОВ L 122, 10.5.2019 г., стр. 1.</w:t>
      </w:r>
    </w:p>
  </w:footnote>
  <w:footnote w:id="6">
    <w:p w:rsidR="007F1238" w:rsidRPr="00FB5518" w:rsidRDefault="007F1238" w:rsidP="00FB5518">
      <w:pPr>
        <w:pStyle w:val="FootnoteText"/>
        <w:ind w:left="567" w:hanging="567"/>
        <w:rPr>
          <w:sz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ОВ C, C/2023/594, 27.10.2023 г.</w:t>
      </w:r>
    </w:p>
  </w:footnote>
  <w:footnote w:id="7">
    <w:p w:rsidR="007F1238" w:rsidRPr="00FB5518" w:rsidRDefault="007F1238" w:rsidP="00FB5518">
      <w:pPr>
        <w:pStyle w:val="FootnoteText"/>
        <w:ind w:left="567" w:hanging="567"/>
        <w:rPr>
          <w:sz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ОВ C, C/2023/112, 12.10.2023 г.</w:t>
      </w:r>
    </w:p>
  </w:footnote>
  <w:footnote w:id="8">
    <w:p w:rsidR="007F1238" w:rsidRPr="00FB5518" w:rsidRDefault="007F1238" w:rsidP="00FB5518">
      <w:pPr>
        <w:pStyle w:val="FootnoteText"/>
        <w:ind w:left="567" w:hanging="567"/>
        <w:rPr>
          <w:sz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OВ L 193, 30.7.2018 г., стр. 1.</w:t>
      </w:r>
    </w:p>
  </w:footnote>
  <w:footnote w:id="9">
    <w:p w:rsidR="007F1238" w:rsidRPr="00FB5518" w:rsidRDefault="007F1238" w:rsidP="00FB5518">
      <w:pPr>
        <w:pStyle w:val="FootnoteText"/>
        <w:ind w:left="567" w:hanging="567"/>
        <w:rPr>
          <w:sz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ОВ L 319, 4.12.2015 г., стр. 1.</w:t>
      </w:r>
    </w:p>
  </w:footnote>
  <w:footnote w:id="10">
    <w:p w:rsidR="007F1238" w:rsidRPr="00FB5518" w:rsidRDefault="007F1238" w:rsidP="00FB5518">
      <w:pPr>
        <w:pStyle w:val="FootnoteText"/>
        <w:ind w:left="567" w:hanging="567"/>
        <w:rPr>
          <w:sz w:val="24"/>
          <w:szCs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ОВ L 122, 10.5.2019 г., стр. 1.</w:t>
      </w:r>
    </w:p>
  </w:footnote>
  <w:footnote w:id="11">
    <w:p w:rsidR="007F1238" w:rsidRPr="00FB5518" w:rsidRDefault="007F1238" w:rsidP="00FB5518">
      <w:pPr>
        <w:pStyle w:val="FootnoteText"/>
        <w:ind w:left="567" w:hanging="567"/>
        <w:rPr>
          <w:sz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OВ C 73, 28.2.2023 г., стр. 44.</w:t>
      </w:r>
    </w:p>
  </w:footnote>
  <w:footnote w:id="12">
    <w:p w:rsidR="007F1238" w:rsidRPr="00FB5518" w:rsidRDefault="007F1238" w:rsidP="00FB5518">
      <w:pPr>
        <w:pStyle w:val="FootnoteText"/>
        <w:ind w:left="567" w:hanging="567"/>
        <w:rPr>
          <w:sz w:val="24"/>
          <w:lang w:val="bg-BG"/>
        </w:rPr>
      </w:pPr>
      <w:r w:rsidRPr="00FB5518">
        <w:rPr>
          <w:rStyle w:val="FootnoteReference"/>
          <w:sz w:val="24"/>
          <w:lang w:val="bg-BG"/>
        </w:rPr>
        <w:footnoteRef/>
      </w:r>
      <w:r w:rsidR="00FB5518" w:rsidRPr="00FB5518">
        <w:rPr>
          <w:sz w:val="24"/>
          <w:lang w:val="bg-BG"/>
        </w:rPr>
        <w:t xml:space="preserve"> </w:t>
      </w:r>
      <w:r w:rsidR="00FB5518" w:rsidRPr="00FB5518">
        <w:rPr>
          <w:sz w:val="24"/>
          <w:lang w:val="bg-BG"/>
        </w:rPr>
        <w:tab/>
      </w:r>
      <w:r w:rsidRPr="00FB5518">
        <w:rPr>
          <w:sz w:val="24"/>
          <w:lang w:val="bg-BG"/>
        </w:rPr>
        <w:t>Приети текстове, P9_TA(2024)</w:t>
      </w:r>
      <w:r w:rsidR="00624ED1" w:rsidRPr="00635445">
        <w:rPr>
          <w:sz w:val="24"/>
          <w:lang w:val="bg-BG"/>
        </w:rPr>
        <w:t>0</w:t>
      </w:r>
      <w:r w:rsidR="00624ED1">
        <w:rPr>
          <w:sz w:val="24"/>
          <w:lang w:val="en-GB"/>
        </w:rPr>
        <w:t>28</w:t>
      </w:r>
      <w:r w:rsidR="00624ED1" w:rsidRPr="00635445">
        <w:rPr>
          <w:sz w:val="24"/>
          <w:lang w:val="bg-BG"/>
        </w:rPr>
        <w:t>0</w:t>
      </w:r>
      <w:r w:rsidRPr="00FB5518">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238" w:rsidRPr="00FB5518" w:rsidRDefault="007F12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238" w:rsidRPr="00FB5518" w:rsidRDefault="007F12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238" w:rsidRPr="00FB5518" w:rsidRDefault="007F12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51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51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5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BG"/>
    <w:docVar w:name="dvnumam" w:val="0"/>
    <w:docVar w:name="dvpe" w:val="753.510"/>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на Европейския съюз за обучение в областта на правоприлагането (CEPOL) за финансовата 2022 година(2023/2144(DEC))"/>
  </w:docVars>
  <w:rsids>
    <w:rsidRoot w:val="00DC171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696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4ED1"/>
    <w:rsid w:val="006405CD"/>
    <w:rsid w:val="006631B6"/>
    <w:rsid w:val="00680577"/>
    <w:rsid w:val="006F74FA"/>
    <w:rsid w:val="00731ADD"/>
    <w:rsid w:val="00734777"/>
    <w:rsid w:val="00747932"/>
    <w:rsid w:val="00751A4A"/>
    <w:rsid w:val="00756632"/>
    <w:rsid w:val="00762C74"/>
    <w:rsid w:val="00786EC0"/>
    <w:rsid w:val="007D1690"/>
    <w:rsid w:val="007E22AD"/>
    <w:rsid w:val="007F123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711"/>
    <w:rsid w:val="00E14898"/>
    <w:rsid w:val="00E365E1"/>
    <w:rsid w:val="00E820A4"/>
    <w:rsid w:val="00EB006A"/>
    <w:rsid w:val="00EB4772"/>
    <w:rsid w:val="00ED169E"/>
    <w:rsid w:val="00ED4235"/>
    <w:rsid w:val="00F04346"/>
    <w:rsid w:val="00F075DC"/>
    <w:rsid w:val="00F149E9"/>
    <w:rsid w:val="00F5134D"/>
    <w:rsid w:val="00F74202"/>
    <w:rsid w:val="00F87713"/>
    <w:rsid w:val="00FB4360"/>
    <w:rsid w:val="00FB551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AE115"/>
  <w15:chartTrackingRefBased/>
  <w15:docId w15:val="{9BDAA80F-AA77-412C-AABD-CF5587A3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F123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F1238"/>
    <w:pPr>
      <w:spacing w:before="480" w:after="240"/>
    </w:pPr>
  </w:style>
  <w:style w:type="paragraph" w:customStyle="1" w:styleId="PageHeading">
    <w:name w:val="PageHeading"/>
    <w:basedOn w:val="Normal"/>
    <w:rsid w:val="007F1238"/>
    <w:pPr>
      <w:keepNext/>
      <w:spacing w:after="480"/>
      <w:jc w:val="center"/>
    </w:pPr>
    <w:rPr>
      <w:rFonts w:ascii="Arial" w:hAnsi="Arial" w:cs="Arial"/>
      <w:b/>
    </w:rPr>
  </w:style>
  <w:style w:type="paragraph" w:customStyle="1" w:styleId="NormalBold">
    <w:name w:val="NormalBold"/>
    <w:basedOn w:val="Normal"/>
    <w:rsid w:val="007F1238"/>
    <w:rPr>
      <w:b/>
    </w:rPr>
  </w:style>
  <w:style w:type="paragraph" w:customStyle="1" w:styleId="NormalHanging12a">
    <w:name w:val="NormalHanging12a"/>
    <w:basedOn w:val="Normal"/>
    <w:link w:val="NormalHanging12aChar"/>
    <w:rsid w:val="007F1238"/>
    <w:pPr>
      <w:spacing w:after="240"/>
      <w:ind w:left="567" w:hanging="567"/>
    </w:pPr>
  </w:style>
  <w:style w:type="paragraph" w:customStyle="1" w:styleId="NormalCenter12a">
    <w:name w:val="NormalCenter12a"/>
    <w:basedOn w:val="Normal"/>
    <w:rsid w:val="007F1238"/>
    <w:pPr>
      <w:spacing w:after="240"/>
      <w:jc w:val="center"/>
    </w:pPr>
  </w:style>
  <w:style w:type="paragraph" w:styleId="Header">
    <w:name w:val="header"/>
    <w:basedOn w:val="Normal"/>
    <w:link w:val="HeaderChar"/>
    <w:rsid w:val="007F1238"/>
    <w:pPr>
      <w:tabs>
        <w:tab w:val="center" w:pos="4513"/>
        <w:tab w:val="right" w:pos="9026"/>
      </w:tabs>
    </w:pPr>
  </w:style>
  <w:style w:type="character" w:customStyle="1" w:styleId="HeaderChar">
    <w:name w:val="Header Char"/>
    <w:basedOn w:val="DefaultParagraphFont"/>
    <w:link w:val="Header"/>
    <w:rsid w:val="007F1238"/>
    <w:rPr>
      <w:sz w:val="24"/>
      <w:lang w:val="bg-BG"/>
    </w:rPr>
  </w:style>
  <w:style w:type="paragraph" w:customStyle="1" w:styleId="EPFooter">
    <w:name w:val="EPFooter"/>
    <w:basedOn w:val="Normal"/>
    <w:rsid w:val="007F1238"/>
    <w:pPr>
      <w:tabs>
        <w:tab w:val="center" w:pos="4535"/>
        <w:tab w:val="right" w:pos="9071"/>
      </w:tabs>
      <w:spacing w:before="240" w:after="240"/>
    </w:pPr>
    <w:rPr>
      <w:color w:val="010000"/>
      <w:sz w:val="22"/>
    </w:rPr>
  </w:style>
  <w:style w:type="paragraph" w:styleId="ListParagraph">
    <w:name w:val="List Paragraph"/>
    <w:basedOn w:val="Normal"/>
    <w:uiPriority w:val="34"/>
    <w:qFormat/>
    <w:rsid w:val="007F1238"/>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7F1238"/>
    <w:rPr>
      <w:sz w:val="24"/>
      <w:lang w:val="bg-BG"/>
    </w:rPr>
  </w:style>
  <w:style w:type="character" w:customStyle="1" w:styleId="pointer">
    <w:name w:val="pointer"/>
    <w:basedOn w:val="DefaultParagraphFont"/>
    <w:rsid w:val="007F1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45BB8-0475-407A-87D4-275FE7B03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4888</Words>
  <Characters>28234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2024-04-11T10:57:00Z</dcterms:created>
  <dcterms:modified xsi:type="dcterms:W3CDTF">2024-04-11T10:57:00Z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A9-0098/2024</vt:lpwstr>
  </property>
  <property fmtid="{D5CDD505-2E9C-101B-9397-08002B2CF9AE}" pid="4" name="&lt;Type&gt;">
    <vt:lpwstr>RR</vt:lpwstr>
  </property>
</Properties>
</file>