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5F57" w:rsidTr="0010095E">
        <w:trPr>
          <w:trHeight w:hRule="exact" w:val="1418"/>
        </w:trPr>
        <w:tc>
          <w:tcPr>
            <w:tcW w:w="6804" w:type="dxa"/>
            <w:shd w:val="clear" w:color="auto" w:fill="auto"/>
            <w:vAlign w:val="center"/>
          </w:tcPr>
          <w:p w:rsidR="00751A4A" w:rsidRPr="00F35F57" w:rsidRDefault="004F2A46" w:rsidP="0010095E">
            <w:pPr>
              <w:pStyle w:val="EPName"/>
            </w:pPr>
            <w:r w:rsidRPr="00F35F57">
              <w:t>Evropský parlament</w:t>
            </w:r>
          </w:p>
          <w:p w:rsidR="00751A4A" w:rsidRPr="00F35F57" w:rsidRDefault="00817416" w:rsidP="00756632">
            <w:pPr>
              <w:pStyle w:val="EPTerm"/>
              <w:rPr>
                <w:rStyle w:val="HideTWBExt"/>
                <w:noProof w:val="0"/>
                <w:vanish w:val="0"/>
                <w:color w:val="auto"/>
              </w:rPr>
            </w:pPr>
            <w:r w:rsidRPr="00F35F57">
              <w:t>2019-2024</w:t>
            </w:r>
          </w:p>
        </w:tc>
        <w:tc>
          <w:tcPr>
            <w:tcW w:w="2268" w:type="dxa"/>
            <w:shd w:val="clear" w:color="auto" w:fill="auto"/>
          </w:tcPr>
          <w:p w:rsidR="00751A4A" w:rsidRPr="00F35F57" w:rsidRDefault="00187494" w:rsidP="0010095E">
            <w:pPr>
              <w:pStyle w:val="EPLogo"/>
            </w:pPr>
            <w:r w:rsidRPr="00F35F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5F57" w:rsidRDefault="00D058B8" w:rsidP="004C5D52">
      <w:pPr>
        <w:pStyle w:val="LineTop"/>
      </w:pPr>
    </w:p>
    <w:p w:rsidR="00680577" w:rsidRPr="00F35F57" w:rsidRDefault="004F2A46" w:rsidP="00680577">
      <w:pPr>
        <w:pStyle w:val="EPBodyTA1"/>
      </w:pPr>
      <w:r w:rsidRPr="00F35F57">
        <w:t>PŘIJATÉ TEXTY</w:t>
      </w:r>
    </w:p>
    <w:p w:rsidR="00D058B8" w:rsidRPr="00F35F57" w:rsidRDefault="00D058B8" w:rsidP="00D058B8">
      <w:pPr>
        <w:pStyle w:val="LineBottom"/>
      </w:pPr>
    </w:p>
    <w:p w:rsidR="004F2A46" w:rsidRPr="00F35F57" w:rsidRDefault="004F2A46" w:rsidP="004F2A46">
      <w:pPr>
        <w:pStyle w:val="ATHeading1"/>
      </w:pPr>
      <w:bookmarkStart w:id="0" w:name="TANumber"/>
      <w:r w:rsidRPr="00F35F57">
        <w:t>P9_TA(2024)0</w:t>
      </w:r>
      <w:r w:rsidR="009815E4">
        <w:t>254</w:t>
      </w:r>
      <w:bookmarkEnd w:id="0"/>
    </w:p>
    <w:p w:rsidR="004F2A46" w:rsidRPr="00F35F57" w:rsidRDefault="004F2A46" w:rsidP="004F2A46">
      <w:pPr>
        <w:pStyle w:val="ATHeading2"/>
      </w:pPr>
      <w:bookmarkStart w:id="1" w:name="title"/>
      <w:r w:rsidRPr="00F35F57">
        <w:t>Udělení absolutoria na rok 2022: Agentura Evropské unie pro vzdělávání a výcvik v oblasti prosazování práva (CEPOL)</w:t>
      </w:r>
      <w:bookmarkEnd w:id="1"/>
    </w:p>
    <w:p w:rsidR="004F2A46" w:rsidRPr="00F35F57" w:rsidRDefault="004F2A46" w:rsidP="004F2A46">
      <w:pPr>
        <w:rPr>
          <w:i/>
          <w:vanish/>
        </w:rPr>
      </w:pPr>
      <w:r w:rsidRPr="00F35F57">
        <w:rPr>
          <w:i/>
        </w:rPr>
        <w:fldChar w:fldCharType="begin"/>
      </w:r>
      <w:r w:rsidRPr="00F35F57">
        <w:rPr>
          <w:i/>
        </w:rPr>
        <w:instrText xml:space="preserve"> TC"(</w:instrText>
      </w:r>
      <w:bookmarkStart w:id="2" w:name="DocNumber"/>
      <w:r w:rsidRPr="00F35F57">
        <w:rPr>
          <w:i/>
        </w:rPr>
        <w:instrText>A9-0098/2024</w:instrText>
      </w:r>
      <w:bookmarkEnd w:id="2"/>
      <w:r w:rsidRPr="00F35F57">
        <w:rPr>
          <w:i/>
        </w:rPr>
        <w:instrText xml:space="preserve"> - Zpravodaj: </w:instrText>
      </w:r>
      <w:proofErr w:type="spellStart"/>
      <w:r w:rsidRPr="00F35F57">
        <w:rPr>
          <w:i/>
        </w:rPr>
        <w:instrText>Petri</w:instrText>
      </w:r>
      <w:proofErr w:type="spellEnd"/>
      <w:r w:rsidRPr="00F35F57">
        <w:rPr>
          <w:i/>
        </w:rPr>
        <w:instrText xml:space="preserve"> </w:instrText>
      </w:r>
      <w:proofErr w:type="spellStart"/>
      <w:r w:rsidRPr="00F35F57">
        <w:rPr>
          <w:i/>
        </w:rPr>
        <w:instrText>Sarvamaa</w:instrText>
      </w:r>
      <w:proofErr w:type="spellEnd"/>
      <w:r w:rsidRPr="00F35F57">
        <w:rPr>
          <w:i/>
        </w:rPr>
        <w:instrText xml:space="preserve">)"\l3 \n&gt; \* MERGEFORMAT </w:instrText>
      </w:r>
      <w:r w:rsidRPr="00F35F57">
        <w:rPr>
          <w:i/>
        </w:rPr>
        <w:fldChar w:fldCharType="end"/>
      </w:r>
    </w:p>
    <w:p w:rsidR="004F2A46" w:rsidRPr="00F35F57" w:rsidRDefault="004F2A46" w:rsidP="004F2A46">
      <w:pPr>
        <w:rPr>
          <w:vanish/>
        </w:rPr>
      </w:pPr>
      <w:bookmarkStart w:id="3" w:name="Commission"/>
      <w:r w:rsidRPr="00F35F57">
        <w:rPr>
          <w:vanish/>
        </w:rPr>
        <w:t>Výbor pro rozpočtovou kontrolu</w:t>
      </w:r>
      <w:bookmarkEnd w:id="3"/>
    </w:p>
    <w:p w:rsidR="004F2A46" w:rsidRPr="00F35F57" w:rsidRDefault="004F2A46" w:rsidP="004F2A46">
      <w:pPr>
        <w:rPr>
          <w:vanish/>
        </w:rPr>
      </w:pPr>
      <w:bookmarkStart w:id="4" w:name="PE"/>
      <w:r w:rsidRPr="00F35F57">
        <w:rPr>
          <w:vanish/>
        </w:rPr>
        <w:t>PE753.510</w:t>
      </w:r>
      <w:bookmarkEnd w:id="4"/>
    </w:p>
    <w:p w:rsidR="004F2A46" w:rsidRPr="00F35F57" w:rsidRDefault="004F2A46" w:rsidP="004F2A46">
      <w:pPr>
        <w:pStyle w:val="ATHeading3"/>
      </w:pPr>
      <w:bookmarkStart w:id="5" w:name="Sujet"/>
      <w:r w:rsidRPr="00F35F57">
        <w:t>1. Rozhodnutí Evropského parlamentu ze dne 11. dubna 2024 o udělení absolutoria za plnění rozpočtu Agentury Evropské unie pro vzdělávání a výcvik v oblasti prosazování práva (CEPOL) na rozpočtový rok 2022</w:t>
      </w:r>
      <w:bookmarkEnd w:id="5"/>
      <w:r w:rsidRPr="00F35F57">
        <w:t xml:space="preserve"> </w:t>
      </w:r>
      <w:bookmarkStart w:id="6" w:name="References"/>
      <w:r w:rsidRPr="00F35F57">
        <w:t>(2023/2144(DEC))</w:t>
      </w:r>
      <w:bookmarkEnd w:id="6"/>
    </w:p>
    <w:p w:rsidR="00437AD0" w:rsidRPr="00F35F57" w:rsidRDefault="00437AD0" w:rsidP="00437AD0">
      <w:pPr>
        <w:pStyle w:val="EPComma"/>
      </w:pPr>
      <w:bookmarkStart w:id="7" w:name="TextBodyBegin"/>
      <w:bookmarkEnd w:id="7"/>
      <w:r w:rsidRPr="00F35F57">
        <w:rPr>
          <w:i/>
        </w:rPr>
        <w:t>Evropský parlament</w:t>
      </w:r>
      <w:r w:rsidRPr="00F35F57">
        <w:t>,</w:t>
      </w:r>
    </w:p>
    <w:p w:rsidR="00437AD0" w:rsidRPr="00F35F57" w:rsidRDefault="00437AD0" w:rsidP="00A16909">
      <w:pPr>
        <w:pStyle w:val="NormalHanging12a"/>
      </w:pPr>
      <w:r w:rsidRPr="00F35F57">
        <w:t>–</w:t>
      </w:r>
      <w:r w:rsidRPr="00F35F57">
        <w:tab/>
        <w:t>s ohledem na konečnou roční účetní závěrku Agentury Evropské unie pro vzdělávání a výcvik v oblasti prosazování práva (CEPOL) za rozpočtový rok 2022,</w:t>
      </w:r>
    </w:p>
    <w:p w:rsidR="00437AD0" w:rsidRPr="00F35F57" w:rsidRDefault="00437AD0" w:rsidP="00A16909">
      <w:pPr>
        <w:pStyle w:val="NormalHanging12a"/>
      </w:pPr>
      <w:r w:rsidRPr="00F35F57">
        <w:t>–</w:t>
      </w:r>
      <w:r w:rsidRPr="00F35F57">
        <w:tab/>
        <w:t>s ohledem na výroční zprávu Účetního dvora o agenturách EU za rozpočtový rok 2022 spolu s odpověďmi agentur</w:t>
      </w:r>
      <w:r w:rsidRPr="00F35F57">
        <w:rPr>
          <w:rStyle w:val="FootnoteReference"/>
        </w:rPr>
        <w:footnoteReference w:id="1"/>
      </w:r>
      <w:r w:rsidRPr="00F35F57">
        <w:t>,</w:t>
      </w:r>
    </w:p>
    <w:p w:rsidR="00437AD0" w:rsidRPr="00F35F57" w:rsidRDefault="00437AD0" w:rsidP="00A16909">
      <w:pPr>
        <w:pStyle w:val="NormalHanging12a"/>
      </w:pPr>
      <w:r w:rsidRPr="00F35F57">
        <w:t>–</w:t>
      </w:r>
      <w:r w:rsidRPr="00F35F57">
        <w:tab/>
        <w:t>s ohledem na prohlášení o věrohodnosti</w:t>
      </w:r>
      <w:r w:rsidRPr="00F35F57">
        <w:rPr>
          <w:rStyle w:val="FootnoteReference"/>
        </w:rPr>
        <w:footnoteReference w:id="2"/>
      </w:r>
      <w:r w:rsidRPr="00F35F57">
        <w:t xml:space="preserve"> účetnictví a o legalitě a správnosti uskutečněných operací, které předložil Účetní dvůr za rozpočtový rok 2022 podle článku 287 Smlouvy o fungování Evropské unie,</w:t>
      </w:r>
    </w:p>
    <w:p w:rsidR="00437AD0" w:rsidRPr="00F35F57" w:rsidRDefault="00437AD0" w:rsidP="00A16909">
      <w:pPr>
        <w:pStyle w:val="NormalHanging12a"/>
      </w:pPr>
      <w:r w:rsidRPr="00F35F57">
        <w:t>–</w:t>
      </w:r>
      <w:r w:rsidRPr="00F35F57">
        <w:tab/>
        <w:t>s ohledem na doporučení Rady ze dne 22. února 2024 o udělení absolutoria agentuře za plnění rozpočtu na rozpočtový rok 2022 (0</w:t>
      </w:r>
      <w:r w:rsidR="005B7546">
        <w:t>618</w:t>
      </w:r>
      <w:r w:rsidRPr="00F35F57">
        <w:t>0/2024 – C9</w:t>
      </w:r>
      <w:r w:rsidRPr="00F35F57">
        <w:noBreakHyphen/>
        <w:t>00</w:t>
      </w:r>
      <w:r w:rsidR="005B7546">
        <w:t>82</w:t>
      </w:r>
      <w:r w:rsidRPr="00F35F57">
        <w:t>/2024),</w:t>
      </w:r>
    </w:p>
    <w:p w:rsidR="00437AD0" w:rsidRPr="00F35F57" w:rsidRDefault="00437AD0" w:rsidP="00A16909">
      <w:pPr>
        <w:pStyle w:val="NormalHanging12a"/>
      </w:pPr>
      <w:r w:rsidRPr="00F35F57">
        <w:t>–</w:t>
      </w:r>
      <w:r w:rsidRPr="00F35F57">
        <w:tab/>
        <w:t>s ohledem na článek 319 Smlouvy o fungování Evropské unie,</w:t>
      </w:r>
    </w:p>
    <w:p w:rsidR="00437AD0" w:rsidRPr="00F35F57" w:rsidRDefault="00437AD0" w:rsidP="00A16909">
      <w:pPr>
        <w:pStyle w:val="NormalHanging12a"/>
      </w:pPr>
      <w:r w:rsidRPr="00F35F57">
        <w:t>–</w:t>
      </w:r>
      <w:r w:rsidRPr="00F35F57">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F35F57">
        <w:rPr>
          <w:rStyle w:val="FootnoteReference"/>
        </w:rPr>
        <w:footnoteReference w:id="3"/>
      </w:r>
      <w:r w:rsidRPr="00F35F57">
        <w:t>, a zejména na článek 70 tohoto nařízení,</w:t>
      </w:r>
    </w:p>
    <w:p w:rsidR="00437AD0" w:rsidRPr="00F35F57" w:rsidRDefault="00437AD0" w:rsidP="00A16909">
      <w:pPr>
        <w:pStyle w:val="NormalHanging12a"/>
      </w:pPr>
      <w:r w:rsidRPr="00F35F57">
        <w:t>–</w:t>
      </w:r>
      <w:r w:rsidRPr="00F35F57">
        <w:tab/>
        <w:t xml:space="preserve">s ohledem na nařízení Evropského parlamentu a Rady (EU) 2015/2219 ze dne 25. listopadu 2015 o Agentuře Evropské unie pro vzdělávání a výcvik v oblasti prosazování </w:t>
      </w:r>
      <w:r w:rsidRPr="00F35F57">
        <w:lastRenderedPageBreak/>
        <w:t>práva (CEPOL) a o nahrazení a zrušení rozhodnutí Rady 2005/681/SVV</w:t>
      </w:r>
      <w:r w:rsidRPr="00F35F57">
        <w:rPr>
          <w:rStyle w:val="FootnoteReference"/>
        </w:rPr>
        <w:footnoteReference w:id="4"/>
      </w:r>
      <w:r w:rsidRPr="00F35F57">
        <w:t>, a zejména na článek 20 tohoto nařízení,</w:t>
      </w:r>
    </w:p>
    <w:p w:rsidR="00437AD0" w:rsidRPr="00F35F57" w:rsidRDefault="00437AD0" w:rsidP="00A16909">
      <w:pPr>
        <w:pStyle w:val="NormalHanging12a"/>
      </w:pPr>
      <w:r w:rsidRPr="00F35F57">
        <w:t>–</w:t>
      </w:r>
      <w:r w:rsidRPr="00F35F57">
        <w:tab/>
        <w:t>s ohledem na nařízení Komise v přenesené pravomoci (EU) 2019/715 ze dne 18. prosince 2018 o rámcovém finančním nařízení pro subjekty zřízené podle S</w:t>
      </w:r>
      <w:r w:rsidR="00CD6966">
        <w:t xml:space="preserve">mlouvy o fungování </w:t>
      </w:r>
      <w:r w:rsidRPr="00F35F57">
        <w:t>E</w:t>
      </w:r>
      <w:r w:rsidR="00CD6966">
        <w:t>vropské unie</w:t>
      </w:r>
      <w:r w:rsidRPr="00F35F57">
        <w:t xml:space="preserve"> a Smlouvy o Euratomu a uvedené v článku 70 nařízení Evropského parlamentu a Rady (EU, Euratom) 2018/1046</w:t>
      </w:r>
      <w:r w:rsidRPr="00F35F57">
        <w:rPr>
          <w:rStyle w:val="FootnoteReference"/>
        </w:rPr>
        <w:footnoteReference w:id="5"/>
      </w:r>
      <w:r w:rsidRPr="00F35F57">
        <w:t>, a zejména na článek 105 tohoto nařízení,</w:t>
      </w:r>
    </w:p>
    <w:p w:rsidR="00437AD0" w:rsidRPr="00F35F57" w:rsidRDefault="00437AD0" w:rsidP="00A16909">
      <w:pPr>
        <w:pStyle w:val="NormalHanging12a"/>
      </w:pPr>
      <w:r w:rsidRPr="00F35F57">
        <w:t>–</w:t>
      </w:r>
      <w:r w:rsidRPr="00F35F57">
        <w:tab/>
        <w:t>s ohledem na článek 100 a přílohu V jednacího řádu,</w:t>
      </w:r>
    </w:p>
    <w:p w:rsidR="00437AD0" w:rsidRPr="00F35F57" w:rsidRDefault="00437AD0" w:rsidP="00A16909">
      <w:pPr>
        <w:pStyle w:val="NormalHanging12a"/>
      </w:pPr>
      <w:r w:rsidRPr="00F35F57">
        <w:t>–</w:t>
      </w:r>
      <w:r w:rsidRPr="00F35F57">
        <w:tab/>
        <w:t>s ohledem na stanovisko Výboru pro občanské svobody, spravedlnost a vnitřní věci,</w:t>
      </w:r>
    </w:p>
    <w:p w:rsidR="00437AD0" w:rsidRPr="00F35F57" w:rsidRDefault="00437AD0" w:rsidP="00A16909">
      <w:pPr>
        <w:pStyle w:val="NormalHanging12a"/>
      </w:pPr>
      <w:r w:rsidRPr="00F35F57">
        <w:t>–</w:t>
      </w:r>
      <w:r w:rsidRPr="00F35F57">
        <w:tab/>
        <w:t>s ohledem na zprávu Výboru pro rozpočtovou kontrolu (A9</w:t>
      </w:r>
      <w:r w:rsidRPr="00F35F57">
        <w:noBreakHyphen/>
        <w:t>0098/2024),</w:t>
      </w:r>
    </w:p>
    <w:p w:rsidR="00437AD0" w:rsidRPr="00F35F57" w:rsidRDefault="00437AD0" w:rsidP="00A16909">
      <w:pPr>
        <w:pStyle w:val="NormalHanging12a"/>
      </w:pPr>
      <w:r w:rsidRPr="00F35F57">
        <w:t>1.</w:t>
      </w:r>
      <w:r w:rsidRPr="00F35F57">
        <w:tab/>
        <w:t>uděluje absolutorium výkonné ředitelce Agentury Evropské unie pro vzdělávání a výcvik v oblasti prosazování práva (CEPOL) za plnění rozpočtu agentury na rozpočtový rok 2022;</w:t>
      </w:r>
    </w:p>
    <w:p w:rsidR="00437AD0" w:rsidRPr="00F35F57" w:rsidRDefault="00437AD0" w:rsidP="00A16909">
      <w:pPr>
        <w:pStyle w:val="NormalHanging12a"/>
      </w:pPr>
      <w:r w:rsidRPr="00F35F57">
        <w:t>2.</w:t>
      </w:r>
      <w:r w:rsidRPr="00F35F57">
        <w:tab/>
        <w:t>předkládá své připomínky v níže uvedeném usnesení;</w:t>
      </w:r>
    </w:p>
    <w:p w:rsidR="00437AD0" w:rsidRPr="00F35F57" w:rsidRDefault="00437AD0" w:rsidP="00A16909">
      <w:pPr>
        <w:pStyle w:val="NormalHanging12a"/>
      </w:pPr>
      <w:r w:rsidRPr="00F35F57">
        <w:t>3.</w:t>
      </w:r>
      <w:r w:rsidRPr="00F35F57">
        <w:tab/>
        <w:t>pověřuje svou předsedkyni, aby předala toto rozhodnutí a usnesení, které je jeho nedílnou součástí, výkonné ředitelce Agentury Evropské unie pro vzdělávání a výcvik v oblasti prosazování práva (CEPOL), Radě, Komisi a Účetnímu dvoru a aby zajistila jejich zveřejnění v </w:t>
      </w:r>
      <w:r w:rsidRPr="00F35F57">
        <w:rPr>
          <w:i/>
        </w:rPr>
        <w:t>Úředním věstníku Evropské unie</w:t>
      </w:r>
      <w:r w:rsidRPr="00F35F57">
        <w:t xml:space="preserve"> (řada L).</w:t>
      </w:r>
    </w:p>
    <w:p w:rsidR="00437AD0" w:rsidRPr="00F35F57" w:rsidRDefault="00437AD0" w:rsidP="00437AD0"/>
    <w:p w:rsidR="00437AD0" w:rsidRPr="00F35F57" w:rsidRDefault="00437AD0" w:rsidP="00437AD0">
      <w:pPr>
        <w:pStyle w:val="PageHeading"/>
        <w:sectPr w:rsidR="00437AD0" w:rsidRPr="00F35F57" w:rsidSect="00F35F5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37AD0" w:rsidRPr="00F35F57" w:rsidRDefault="00437AD0" w:rsidP="00A16909">
      <w:pPr>
        <w:pStyle w:val="ATHeading3"/>
      </w:pPr>
      <w:bookmarkStart w:id="8" w:name="_Toc161927191"/>
      <w:r w:rsidRPr="00F35F57">
        <w:lastRenderedPageBreak/>
        <w:t xml:space="preserve">2. </w:t>
      </w:r>
      <w:r w:rsidR="00A16909" w:rsidRPr="00F35F57">
        <w:t>Rozhodnutí Evropského parlamentu</w:t>
      </w:r>
      <w:bookmarkEnd w:id="8"/>
      <w:r w:rsidR="00A16909">
        <w:t xml:space="preserve"> </w:t>
      </w:r>
      <w:r w:rsidR="00CD6966" w:rsidRPr="00F35F57">
        <w:t xml:space="preserve">ze dne 11. dubna 2024 </w:t>
      </w:r>
      <w:r w:rsidRPr="00F35F57">
        <w:t>o uzavření účtů Agentury Evropské unie pro vzdělávání a výcvik v oblasti prosazování práva (CEPOL) za rozpočtový rok 2022</w:t>
      </w:r>
      <w:r w:rsidR="00A16909">
        <w:t xml:space="preserve"> </w:t>
      </w:r>
      <w:r w:rsidRPr="00F35F57">
        <w:t>(2023/2144(DEC))</w:t>
      </w:r>
    </w:p>
    <w:p w:rsidR="00437AD0" w:rsidRPr="00F35F57" w:rsidRDefault="00437AD0" w:rsidP="00437AD0">
      <w:pPr>
        <w:pStyle w:val="EPComma"/>
      </w:pPr>
      <w:r w:rsidRPr="00F35F57">
        <w:rPr>
          <w:i/>
        </w:rPr>
        <w:t>Evropský parlament</w:t>
      </w:r>
      <w:r w:rsidRPr="00F35F57">
        <w:t>,</w:t>
      </w:r>
    </w:p>
    <w:p w:rsidR="00437AD0" w:rsidRPr="00F35F57" w:rsidRDefault="00437AD0" w:rsidP="00A16909">
      <w:pPr>
        <w:pStyle w:val="NormalHanging12a"/>
      </w:pPr>
      <w:r w:rsidRPr="00F35F57">
        <w:t>–</w:t>
      </w:r>
      <w:r w:rsidRPr="00F35F57">
        <w:tab/>
        <w:t>s ohledem na konečnou roční účetní závěrku Agentury Evropské unie pro vzdělávání a výcvik v oblasti prosazování práva (CEPOL) za rozpočtový rok 2022,</w:t>
      </w:r>
    </w:p>
    <w:p w:rsidR="00437AD0" w:rsidRPr="00F35F57" w:rsidRDefault="00437AD0" w:rsidP="00A16909">
      <w:pPr>
        <w:pStyle w:val="NormalHanging12a"/>
      </w:pPr>
      <w:r w:rsidRPr="00F35F57">
        <w:t>–</w:t>
      </w:r>
      <w:r w:rsidRPr="00F35F57">
        <w:tab/>
        <w:t>s ohledem na výroční zprávu Účetního dvora o agenturách EU za rozpočtový rok 2022 spolu s odpověďmi agentur</w:t>
      </w:r>
      <w:r w:rsidRPr="00F35F57">
        <w:rPr>
          <w:rStyle w:val="FootnoteReference"/>
        </w:rPr>
        <w:footnoteReference w:id="6"/>
      </w:r>
      <w:r w:rsidRPr="00F35F57">
        <w:t>,</w:t>
      </w:r>
    </w:p>
    <w:p w:rsidR="00437AD0" w:rsidRPr="00F35F57" w:rsidRDefault="00437AD0" w:rsidP="00A16909">
      <w:pPr>
        <w:pStyle w:val="NormalHanging12a"/>
      </w:pPr>
      <w:r w:rsidRPr="00F35F57">
        <w:t>–</w:t>
      </w:r>
      <w:r w:rsidRPr="00F35F57">
        <w:tab/>
        <w:t>s ohledem na prohlášení o věrohodnosti</w:t>
      </w:r>
      <w:r w:rsidRPr="00F35F57">
        <w:rPr>
          <w:rStyle w:val="FootnoteReference"/>
        </w:rPr>
        <w:footnoteReference w:id="7"/>
      </w:r>
      <w:r w:rsidRPr="00F35F57">
        <w:t xml:space="preserve"> účetnictví a o legalitě a správnosti uskutečněných operací, které předložil Účetní dvůr za rozpočtový rok 2022 podle článku 287 Smlouvy o fungování Evropské unie,</w:t>
      </w:r>
    </w:p>
    <w:p w:rsidR="00437AD0" w:rsidRPr="00F35F57" w:rsidRDefault="00437AD0" w:rsidP="00A16909">
      <w:pPr>
        <w:pStyle w:val="NormalHanging12a"/>
      </w:pPr>
      <w:r w:rsidRPr="00F35F57">
        <w:t>–</w:t>
      </w:r>
      <w:r w:rsidRPr="00F35F57">
        <w:tab/>
        <w:t>s ohledem na doporučení Rady ze dne 22. února 2024 o udělení absolutoria agentuře za plnění rozpočtu na rozpočtový rok 2022 (0</w:t>
      </w:r>
      <w:r w:rsidR="005B7546">
        <w:t>618</w:t>
      </w:r>
      <w:r w:rsidRPr="00F35F57">
        <w:t>0/2024 – C9</w:t>
      </w:r>
      <w:r w:rsidRPr="00F35F57">
        <w:noBreakHyphen/>
        <w:t>00</w:t>
      </w:r>
      <w:r w:rsidR="005B7546">
        <w:t>82</w:t>
      </w:r>
      <w:r w:rsidRPr="00F35F57">
        <w:t>/2024),</w:t>
      </w:r>
    </w:p>
    <w:p w:rsidR="00437AD0" w:rsidRPr="00F35F57" w:rsidRDefault="00437AD0" w:rsidP="00A16909">
      <w:pPr>
        <w:pStyle w:val="NormalHanging12a"/>
      </w:pPr>
      <w:r w:rsidRPr="00F35F57">
        <w:t>–</w:t>
      </w:r>
      <w:r w:rsidRPr="00F35F57">
        <w:tab/>
        <w:t>s ohledem na článek 319 Smlouvy o fungování Evropské unie,</w:t>
      </w:r>
    </w:p>
    <w:p w:rsidR="00437AD0" w:rsidRPr="00F35F57" w:rsidRDefault="00437AD0" w:rsidP="00A16909">
      <w:pPr>
        <w:pStyle w:val="NormalHanging12a"/>
      </w:pPr>
      <w:r w:rsidRPr="00F35F57">
        <w:t>–</w:t>
      </w:r>
      <w:r w:rsidRPr="00F35F57">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F35F57">
        <w:rPr>
          <w:rStyle w:val="FootnoteReference"/>
        </w:rPr>
        <w:footnoteReference w:id="8"/>
      </w:r>
      <w:r w:rsidRPr="00F35F57">
        <w:t>, a zejména na článek 70 tohoto nařízení,</w:t>
      </w:r>
    </w:p>
    <w:p w:rsidR="00437AD0" w:rsidRPr="00F35F57" w:rsidRDefault="00437AD0" w:rsidP="00A16909">
      <w:pPr>
        <w:pStyle w:val="NormalHanging12a"/>
      </w:pPr>
      <w:r w:rsidRPr="00F35F57">
        <w:t>–</w:t>
      </w:r>
      <w:r w:rsidRPr="00F35F57">
        <w:tab/>
        <w:t>s ohledem na nařízení Evropského parlamentu a Rady (EU) 2015/2219 ze dne 25. listopadu 2015 o Agentuře Evropské unie pro vzdělávání a výcvik v oblasti prosazování práva (CEPOL) a o nahrazení a zrušení rozhodnutí Rady 2005/681/SVV</w:t>
      </w:r>
      <w:r w:rsidRPr="00F35F57">
        <w:rPr>
          <w:rStyle w:val="FootnoteReference"/>
        </w:rPr>
        <w:footnoteReference w:id="9"/>
      </w:r>
      <w:r w:rsidRPr="00F35F57">
        <w:t>, a zejména na článek 20 tohoto nařízení,</w:t>
      </w:r>
    </w:p>
    <w:p w:rsidR="00437AD0" w:rsidRPr="00F35F57" w:rsidRDefault="00437AD0" w:rsidP="00A16909">
      <w:pPr>
        <w:pStyle w:val="NormalHanging12a"/>
      </w:pPr>
      <w:r w:rsidRPr="00F35F57">
        <w:t>–</w:t>
      </w:r>
      <w:r w:rsidRPr="00F35F57">
        <w:tab/>
        <w:t>s ohledem na nařízení Komise v přenesené pravomoci (EU) 2019/715 ze dne 18. prosince 2018 o rámcovém finančním nařízení pro subjekty zřízené podle S</w:t>
      </w:r>
      <w:r w:rsidR="00CD6966">
        <w:t xml:space="preserve">mlouvy o fungování </w:t>
      </w:r>
      <w:r w:rsidRPr="00F35F57">
        <w:t>E</w:t>
      </w:r>
      <w:r w:rsidR="00CD6966">
        <w:t>vropské unie</w:t>
      </w:r>
      <w:r w:rsidRPr="00F35F57">
        <w:t xml:space="preserve"> a Smlouvy o Euratomu a uvedené v článku 70 nařízení Evropského parlamentu a Rady (EU, Euratom) 2018/1046</w:t>
      </w:r>
      <w:r w:rsidRPr="00F35F57">
        <w:rPr>
          <w:rStyle w:val="FootnoteReference"/>
        </w:rPr>
        <w:footnoteReference w:id="10"/>
      </w:r>
      <w:r w:rsidRPr="00F35F57">
        <w:t>, a zejména na článek 105 tohoto nařízení,</w:t>
      </w:r>
    </w:p>
    <w:p w:rsidR="00437AD0" w:rsidRPr="00F35F57" w:rsidRDefault="00437AD0" w:rsidP="00A16909">
      <w:pPr>
        <w:pStyle w:val="NormalHanging12a"/>
      </w:pPr>
      <w:r w:rsidRPr="00F35F57">
        <w:t>–</w:t>
      </w:r>
      <w:r w:rsidRPr="00F35F57">
        <w:tab/>
        <w:t>s ohledem na článek 100 a přílohu V jednacího řádu,</w:t>
      </w:r>
    </w:p>
    <w:p w:rsidR="00437AD0" w:rsidRPr="00F35F57" w:rsidRDefault="00437AD0" w:rsidP="00A16909">
      <w:pPr>
        <w:pStyle w:val="NormalHanging12a"/>
      </w:pPr>
      <w:r w:rsidRPr="00F35F57">
        <w:t>–</w:t>
      </w:r>
      <w:r w:rsidRPr="00F35F57">
        <w:tab/>
        <w:t>s ohledem na stanovisko Výboru pro občanské svobody, spravedlnost a vnitřní věci,</w:t>
      </w:r>
    </w:p>
    <w:p w:rsidR="00437AD0" w:rsidRPr="00F35F57" w:rsidRDefault="00437AD0" w:rsidP="00A16909">
      <w:pPr>
        <w:pStyle w:val="NormalHanging12a"/>
      </w:pPr>
      <w:r w:rsidRPr="00F35F57">
        <w:t>–</w:t>
      </w:r>
      <w:r w:rsidRPr="00F35F57">
        <w:tab/>
        <w:t>s ohledem na zprávu Výboru pro rozpočtovou kontrolu (A9</w:t>
      </w:r>
      <w:r w:rsidRPr="00F35F57">
        <w:noBreakHyphen/>
        <w:t>0098/2024),</w:t>
      </w:r>
    </w:p>
    <w:p w:rsidR="00437AD0" w:rsidRPr="00F35F57" w:rsidRDefault="00437AD0" w:rsidP="00A16909">
      <w:pPr>
        <w:pStyle w:val="NormalHanging12a"/>
      </w:pPr>
      <w:r w:rsidRPr="00F35F57">
        <w:t>1.</w:t>
      </w:r>
      <w:r w:rsidRPr="00F35F57">
        <w:tab/>
        <w:t xml:space="preserve">schvaluje uzavření účtů Agentury Evropské unie pro vzdělávání a výcvik v oblasti </w:t>
      </w:r>
      <w:r w:rsidRPr="00F35F57">
        <w:lastRenderedPageBreak/>
        <w:t>prosazování práva (CEPOL) za rozpočtový rok 2022;</w:t>
      </w:r>
    </w:p>
    <w:p w:rsidR="00437AD0" w:rsidRPr="00F35F57" w:rsidRDefault="00437AD0" w:rsidP="00A16909">
      <w:pPr>
        <w:pStyle w:val="NormalHanging12a"/>
      </w:pPr>
      <w:r w:rsidRPr="00F35F57">
        <w:t>2.</w:t>
      </w:r>
      <w:r w:rsidRPr="00F35F57">
        <w:tab/>
        <w:t>pověřuje svou předsedkyni, aby předala toto rozhodnutí výkonné ředitelce Agentury Evropské unie pro vzdělávání a výcvik v oblasti prosazování práva (CEPOL), Radě, Komisi a Účetnímu dvoru a aby zajistila jeho zveřejnění v </w:t>
      </w:r>
      <w:r w:rsidRPr="00F35F57">
        <w:rPr>
          <w:i/>
        </w:rPr>
        <w:t>Úředním věstníku Evropské unie</w:t>
      </w:r>
      <w:r w:rsidRPr="00F35F57">
        <w:t xml:space="preserve"> (řada L).</w:t>
      </w:r>
    </w:p>
    <w:p w:rsidR="00437AD0" w:rsidRPr="00F35F57" w:rsidRDefault="00437AD0" w:rsidP="00437AD0"/>
    <w:p w:rsidR="00437AD0" w:rsidRPr="00F35F57" w:rsidRDefault="00437AD0" w:rsidP="00437AD0">
      <w:pPr>
        <w:pStyle w:val="PageHeading"/>
        <w:sectPr w:rsidR="00437AD0" w:rsidRPr="00F35F57" w:rsidSect="00F35F5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37AD0" w:rsidRPr="00F35F57" w:rsidRDefault="00437AD0" w:rsidP="00A16909">
      <w:pPr>
        <w:pStyle w:val="ATHeading3"/>
      </w:pPr>
      <w:bookmarkStart w:id="9" w:name="_Toc161927192"/>
      <w:r w:rsidRPr="00F35F57">
        <w:lastRenderedPageBreak/>
        <w:t xml:space="preserve">3. </w:t>
      </w:r>
      <w:r w:rsidR="00A16909" w:rsidRPr="00F35F57">
        <w:t>Usnesení Evropského parlamentu</w:t>
      </w:r>
      <w:bookmarkEnd w:id="9"/>
      <w:r w:rsidR="00A16909">
        <w:t xml:space="preserve"> </w:t>
      </w:r>
      <w:r w:rsidR="00CD6966" w:rsidRPr="00F35F57">
        <w:t xml:space="preserve">ze dne 11. dubna 2024 </w:t>
      </w:r>
      <w:r w:rsidRPr="00F35F57">
        <w:t>obsahující připomínky, které jsou nedílnou součástí rozhodnutí o udělení absolutoria za plnění rozpočtu Agentury Evropské unie pro vzdělávání a výcvik v oblasti prosazování práva (CEPOL) na rozpočtový rok 2022</w:t>
      </w:r>
      <w:r w:rsidR="00A16909">
        <w:t xml:space="preserve"> </w:t>
      </w:r>
      <w:r w:rsidRPr="00F35F57">
        <w:t>(2023/2144(DEC))</w:t>
      </w:r>
    </w:p>
    <w:p w:rsidR="00437AD0" w:rsidRPr="00F35F57" w:rsidRDefault="00437AD0" w:rsidP="00437AD0">
      <w:pPr>
        <w:pStyle w:val="EPComma"/>
      </w:pPr>
      <w:r w:rsidRPr="00F35F57">
        <w:rPr>
          <w:i/>
        </w:rPr>
        <w:t>Evropský parlament</w:t>
      </w:r>
      <w:r w:rsidRPr="00F35F57">
        <w:t>,</w:t>
      </w:r>
    </w:p>
    <w:p w:rsidR="00437AD0" w:rsidRPr="00F35F57" w:rsidRDefault="00437AD0" w:rsidP="00A16909">
      <w:pPr>
        <w:pStyle w:val="NormalHanging12a"/>
      </w:pPr>
      <w:r w:rsidRPr="00F35F57">
        <w:t>–</w:t>
      </w:r>
      <w:r w:rsidRPr="00F35F57">
        <w:tab/>
        <w:t>s ohledem na své rozhodnutí o udělení absolutoria za plnění rozpočtu Agentury Evropské unie pro vzdělávání a výcvik v oblasti prosazování práva (CEPOL) na rozpočtový rok 2022,</w:t>
      </w:r>
    </w:p>
    <w:p w:rsidR="00437AD0" w:rsidRPr="00F35F57" w:rsidRDefault="00437AD0" w:rsidP="00A16909">
      <w:pPr>
        <w:pStyle w:val="NormalHanging12a"/>
      </w:pPr>
      <w:r w:rsidRPr="00F35F57">
        <w:t>–</w:t>
      </w:r>
      <w:r w:rsidRPr="00F35F57">
        <w:tab/>
        <w:t>s ohledem na článek 100 a přílohu V jednacího řádu,</w:t>
      </w:r>
    </w:p>
    <w:p w:rsidR="00437AD0" w:rsidRPr="00F35F57" w:rsidRDefault="00437AD0" w:rsidP="00A16909">
      <w:pPr>
        <w:pStyle w:val="NormalHanging12a"/>
      </w:pPr>
      <w:r w:rsidRPr="00F35F57">
        <w:t>–</w:t>
      </w:r>
      <w:r w:rsidRPr="00F35F57">
        <w:tab/>
        <w:t>s ohledem na stanovisko Výboru pro občanské svobody, spravedlnost a vnitřní věci,</w:t>
      </w:r>
    </w:p>
    <w:p w:rsidR="00437AD0" w:rsidRPr="00F35F57" w:rsidRDefault="00437AD0" w:rsidP="00A16909">
      <w:pPr>
        <w:pStyle w:val="NormalHanging12a"/>
      </w:pPr>
      <w:r w:rsidRPr="00F35F57">
        <w:t>–</w:t>
      </w:r>
      <w:r w:rsidRPr="00F35F57">
        <w:tab/>
        <w:t>s ohledem na zprávu Výboru pro rozpočtovou kontrolu (A9</w:t>
      </w:r>
      <w:r w:rsidRPr="00F35F57">
        <w:noBreakHyphen/>
        <w:t>0098/2024),</w:t>
      </w:r>
    </w:p>
    <w:p w:rsidR="00437AD0" w:rsidRPr="00F35F57" w:rsidRDefault="00437AD0" w:rsidP="00A16909">
      <w:pPr>
        <w:pStyle w:val="ListParagraph"/>
        <w:widowControl w:val="0"/>
        <w:spacing w:after="240"/>
        <w:ind w:left="567" w:hanging="567"/>
        <w:contextualSpacing w:val="0"/>
        <w:jc w:val="left"/>
        <w:rPr>
          <w:rFonts w:eastAsia="Times New Roman"/>
        </w:rPr>
      </w:pPr>
      <w:r w:rsidRPr="00F35F57">
        <w:t>A.</w:t>
      </w:r>
      <w:r w:rsidRPr="00F35F57">
        <w:tab/>
        <w:t>vzhledem k tomu, že podle výkazu příjmů a výdajů</w:t>
      </w:r>
      <w:r w:rsidRPr="00F35F57">
        <w:rPr>
          <w:rStyle w:val="FootnoteReference"/>
          <w:rFonts w:eastAsia="Times New Roman"/>
          <w:lang w:eastAsia="en-GB"/>
        </w:rPr>
        <w:footnoteReference w:id="11"/>
      </w:r>
      <w:r w:rsidRPr="00F35F57">
        <w:t xml:space="preserve"> Agentury Evropské unie pro vzdělávání a výcvik v oblasti prosazování práva (CEPOL) (dále jen „agentura“) činil její konečný rozpočet na rozpočtový rok 2022 celkem 28 295 362 EUR, což ve srovnání s rokem 2021 představuje snížení o 5,82 %; vzhledem k tomu, že agentura je financována z příspěvku Unie a z vnějších účelově vázaných příjmů na konkrétní projekty;</w:t>
      </w:r>
    </w:p>
    <w:p w:rsidR="00437AD0" w:rsidRPr="00F35F57" w:rsidRDefault="00437AD0" w:rsidP="00A16909">
      <w:pPr>
        <w:spacing w:after="240"/>
        <w:ind w:left="567" w:hanging="567"/>
        <w:rPr>
          <w:szCs w:val="24"/>
        </w:rPr>
      </w:pPr>
      <w:r w:rsidRPr="00F35F57">
        <w:t>B.</w:t>
      </w:r>
      <w:r w:rsidRPr="00F35F57">
        <w:tab/>
        <w:t>vzhledem k tomu, že Účetní dvůr ve své zprávě o roční účetní závěrce agentury za rozpočtový rok 2022 (dále jen „zpráva Účetního dvora“) prohlásil, že získal přiměřenou jistotu, že účetní závěrka agentury je spolehlivá a uskutečněné operace, co se týká příjmů, jsou ve všech významných ohledech legální a správné; vzhledem k tomu, že Účetní dvůr zjistil neoprávněné platby v celkové výši 4,2 milionu EUR, z toho 4,1 milionu EUR v souvislosti s 359 platbami provedenými na základě dvou rámcových smluv prováděných prostřednictvím žádostí o služby zaslaných zaměstnanci, kteří nebyli oprávněni přijímat právní závazky jménem agentury, a 152 655 EUR jako platby provedené v roce 2022 na základě rámcové smlouvy, u níž nebylo možné uvést některé vyplacené částky do souladu s poskytnutými službami, což představuje celkem 13,5 % prostředků dostupných na platby v roce 2022, čímž překročily práh významnosti stanovený pro audit, a v důsledku toho vydal výrok s výhradou o legalitě a správnosti plateb, na nichž se zakládá účetní závěrka; vzhledem k tomu, že s výjimkou plateb, které nejsou v souladu s předpisy, dospěl Účetní dvůr k závěru, že uskutečněné operace týkající se plateb za rok končící dnem 31. prosince 2022 jsou ve všech významných ohledech legální a správné;</w:t>
      </w:r>
    </w:p>
    <w:p w:rsidR="00437AD0" w:rsidRPr="00F35F57" w:rsidRDefault="00437AD0" w:rsidP="00A16909">
      <w:pPr>
        <w:spacing w:after="240"/>
        <w:ind w:left="567" w:hanging="567"/>
        <w:rPr>
          <w:b/>
          <w:i/>
          <w:szCs w:val="24"/>
        </w:rPr>
      </w:pPr>
      <w:r w:rsidRPr="00F35F57">
        <w:rPr>
          <w:b/>
          <w:i/>
        </w:rPr>
        <w:t>Rozpočtové a finanční řízení</w:t>
      </w:r>
    </w:p>
    <w:p w:rsidR="00437AD0" w:rsidRPr="00F35F57" w:rsidRDefault="00437AD0" w:rsidP="00A16909">
      <w:pPr>
        <w:spacing w:after="240"/>
        <w:ind w:left="567" w:hanging="567"/>
        <w:rPr>
          <w:szCs w:val="24"/>
        </w:rPr>
      </w:pPr>
      <w:r w:rsidRPr="00F35F57">
        <w:t>1.</w:t>
      </w:r>
      <w:r w:rsidRPr="00F35F57">
        <w:rPr>
          <w:color w:val="FFFFFF" w:themeColor="background1"/>
        </w:rPr>
        <w:tab/>
      </w:r>
      <w:r w:rsidRPr="00F35F57">
        <w:t xml:space="preserve">s uspokojením konstatuje, že výsledkem úsilí o monitorování rozpočtu během rozpočtového roku 2022 byla míra plnění rozpočtu ve výši 100 %, což oproti roku 2021 znamená nárůst o 3,21 %; konstatuje, že míra čerpání prostředků na platby dosáhla 84,66 %, což ve srovnání s rokem 2021 představuje nárůst o 12,93 %; dále konstatuje, že 1,6 milionu EUR, což představuje 15 % závazků v roce 2022, bylo přeneseno do roku 2023; konstatuje, že míra plnění rozpočtu, pokud jde o fondy vnější pomoci Unie </w:t>
      </w:r>
      <w:r w:rsidRPr="00F35F57">
        <w:lastRenderedPageBreak/>
        <w:t>určené na pomoc třetím zemím při budování jejich kapacit v příslušných oblastech politiky prosazování práva, dosáhla do konce roku 2022 48,5 %;</w:t>
      </w:r>
    </w:p>
    <w:p w:rsidR="00437AD0" w:rsidRPr="00F35F57" w:rsidRDefault="00437AD0" w:rsidP="00A16909">
      <w:pPr>
        <w:spacing w:after="240"/>
        <w:ind w:left="567" w:hanging="567"/>
        <w:rPr>
          <w:b/>
          <w:i/>
          <w:szCs w:val="24"/>
        </w:rPr>
      </w:pPr>
      <w:r w:rsidRPr="00F35F57">
        <w:rPr>
          <w:b/>
          <w:i/>
        </w:rPr>
        <w:t>Výkonnost</w:t>
      </w:r>
    </w:p>
    <w:p w:rsidR="00437AD0" w:rsidRPr="00F35F57" w:rsidRDefault="00437AD0" w:rsidP="00A16909">
      <w:pPr>
        <w:spacing w:after="240"/>
        <w:ind w:left="567" w:hanging="567"/>
        <w:rPr>
          <w:szCs w:val="24"/>
        </w:rPr>
      </w:pPr>
      <w:r w:rsidRPr="00F35F57">
        <w:t>2.</w:t>
      </w:r>
      <w:r w:rsidRPr="00F35F57">
        <w:tab/>
        <w:t>chválí agenturu za 100% míru plnění pracovního programu na rok 2022 na základě skutečnosti, že bylo uskutečněno 418 vzdělávacích činností oproti 417 plánovaným; konstatuje, že v roce 2022 agentura pokračovala v poskytování odborné přípravy donucovacím orgánům tím, že se v maximální možné míře vrátila k on-line prostředí; s uspokojením bere na vědomí, že míra spokojenosti zákazníků v roce 2022 byla opět vysoká, kdy 97 % účastníků vzdělávacích činností agentury prohlásilo, že je spokojeno nebo velmi spokojeno;</w:t>
      </w:r>
    </w:p>
    <w:p w:rsidR="00437AD0" w:rsidRPr="00F35F57" w:rsidRDefault="00437AD0" w:rsidP="00A16909">
      <w:pPr>
        <w:spacing w:after="240"/>
        <w:ind w:left="567" w:hanging="567"/>
        <w:rPr>
          <w:szCs w:val="24"/>
        </w:rPr>
      </w:pPr>
      <w:r w:rsidRPr="00F35F57">
        <w:t>3.</w:t>
      </w:r>
      <w:r w:rsidRPr="00F35F57">
        <w:tab/>
        <w:t>s uspokojením konstatuje, že agentura využívá určitá opatření jako klíčové ukazatele výkonnosti k posuzování přidané hodnoty svých činností a další opatření ke zlepšení svého rozpočtového řízení; konstatuje, že v roce 2022 bylo dosaženo téměř všech klíčových ukazatelů výkonnosti a pouze jeden z nich zůstal ve stanovené lhůtě do konce roku 2023 nenaplněn, přičemž šlo o klíčový ukazatel výkonnosti týkající se procentního podílu auditních doporučení, která byla uzavřena v souladu s dohodnutým akčním plánem;</w:t>
      </w:r>
    </w:p>
    <w:p w:rsidR="00437AD0" w:rsidRPr="00F35F57" w:rsidRDefault="00437AD0" w:rsidP="00A16909">
      <w:pPr>
        <w:spacing w:after="240"/>
        <w:ind w:left="567" w:hanging="567"/>
        <w:rPr>
          <w:szCs w:val="24"/>
        </w:rPr>
      </w:pPr>
      <w:r w:rsidRPr="00F35F57">
        <w:t>4.</w:t>
      </w:r>
      <w:r w:rsidRPr="00F35F57">
        <w:tab/>
        <w:t>s uspokojením konstatuje, že v roce 2022 se školení agentury zúčastnilo 43 838 účastníků, což představuje ve srovnání s plánovaným počtem 27 800 účastníků značně vyšší dosah agentury; chválí agenturu za zveřejnění druhého posouzení strategických potřeb odborné přípravy, které určuje strategické potřeby a potřeby v oblasti odborné přípravy úředníků v donucovacích orgánech pro příští cyklus evropské multidisciplinární platformy pro boj proti hrozbám vyplývajícím z trestné činnosti na období 2022–2025, a zahájila jeho provádění; dále konstatuje, že nově jmenovaná výkonná ředitelka agentury začala v roce 2022 vypracovávat novou strategii, která stanoví směr agentury na období 2023–2027; dále oceňuje strategický dokument skupiny odborníků o základních právech, jehož cílem je začlenit aspekty základních práv do všech činností odborné přípravy; s uspokojením konstatuje, že v roce 2022 bylo uspořádáno ad hoc školení o ochraně investigativních novinářů; vítá specifická školení zaměřená na témata, jako jsou trestné činy z nenávisti, a šíření znalostí o účinných řešeních v oblasti podpory obětí;</w:t>
      </w:r>
    </w:p>
    <w:p w:rsidR="00437AD0" w:rsidRPr="00F35F57" w:rsidRDefault="00437AD0" w:rsidP="00A16909">
      <w:pPr>
        <w:pStyle w:val="NormalHanging12a"/>
      </w:pPr>
      <w:r w:rsidRPr="00F35F57">
        <w:t>5.</w:t>
      </w:r>
      <w:r w:rsidRPr="00F35F57">
        <w:tab/>
        <w:t>chválí agenturu za její rychlou reakci na neodůvodněnou válku na Ukrajině a za to, že ve spolupráci s Radou Evropy poskytla Generální prokuratuře Ukrajinské republiky zpravodajské kurzy s otevřeným zdrojovým kódem;</w:t>
      </w:r>
    </w:p>
    <w:p w:rsidR="00437AD0" w:rsidRPr="00F35F57" w:rsidRDefault="00437AD0" w:rsidP="00A16909">
      <w:pPr>
        <w:spacing w:after="240"/>
        <w:ind w:left="567" w:hanging="567"/>
        <w:rPr>
          <w:szCs w:val="24"/>
        </w:rPr>
      </w:pPr>
      <w:r w:rsidRPr="00F35F57">
        <w:t>6.</w:t>
      </w:r>
      <w:r w:rsidRPr="00F35F57">
        <w:tab/>
        <w:t>na základě konsolidované výroční zprávy o činnosti agentury za rok 2022 konstatuje, že exponenciální nárůst počtu školení nabízených v posledních letech (z 18 000 v roce 2016 na téměř 44 000 v roce 2022) odráží rostoucí poptávku po vzdělávacích činnostech, které musí agentura zajistit; v této souvislosti konstatuje, že v roce 2022 by tato poptávka vzhledem k nedostatečným zdrojům mohla být uspokojena pouze rozšířením on-line vzdělávací složky, což zcela neodpovídá potřebám zúčastněných stran; podporuje cíl agentury pokračovat v poskytování víceoborových kurzů, které přitahují jak účastníky z řad policie, tak i celní a pohraniční úředníky;</w:t>
      </w:r>
    </w:p>
    <w:p w:rsidR="00437AD0" w:rsidRPr="00F35F57" w:rsidRDefault="00437AD0" w:rsidP="00A16909">
      <w:pPr>
        <w:spacing w:after="240"/>
        <w:ind w:left="567" w:hanging="567"/>
        <w:rPr>
          <w:szCs w:val="24"/>
        </w:rPr>
      </w:pPr>
      <w:r w:rsidRPr="00F35F57">
        <w:t>7.</w:t>
      </w:r>
      <w:r w:rsidRPr="00F35F57">
        <w:tab/>
        <w:t xml:space="preserve">konstatuje, že v roce 2022 agentura pokračovala v úspěšném provádění čtyř projektů budování kapacit ve třetích zemích, čímž přímo přispěla k posílení vnitřní bezpečnosti </w:t>
      </w:r>
      <w:r w:rsidRPr="00F35F57">
        <w:lastRenderedPageBreak/>
        <w:t xml:space="preserve">Unie, jakož i ve vzdělávací činnosti pod záštitou znalostního střediska agentury CEPOL pro boj proti terorismu a znalostního střediska agentury CEPOL pro spolupráci, výměnu informací a interoperabilitu v oblasti prosazování práva; vítá úspěšné uspořádání konference agentury CEPOL o výzkumu a vědě ve spolupráci s univerzitou </w:t>
      </w:r>
      <w:proofErr w:type="spellStart"/>
      <w:r w:rsidRPr="00F35F57">
        <w:t>Mykolas</w:t>
      </w:r>
      <w:proofErr w:type="spellEnd"/>
      <w:r w:rsidRPr="00F35F57">
        <w:t xml:space="preserve"> </w:t>
      </w:r>
      <w:proofErr w:type="spellStart"/>
      <w:r w:rsidRPr="00F35F57">
        <w:t>Romeris</w:t>
      </w:r>
      <w:proofErr w:type="spellEnd"/>
      <w:r w:rsidRPr="00F35F57">
        <w:t xml:space="preserve"> University ve Vilniusu (Litva), která posílila spolupráci mezi donucovacími a výzkumnými odvětvími a které se zúčastnilo téměř 200 účastníků;</w:t>
      </w:r>
    </w:p>
    <w:p w:rsidR="00437AD0" w:rsidRPr="00F35F57" w:rsidRDefault="00437AD0" w:rsidP="00A16909">
      <w:pPr>
        <w:pStyle w:val="NormalHanging12a"/>
      </w:pPr>
      <w:r w:rsidRPr="00F35F57">
        <w:t>8.</w:t>
      </w:r>
      <w:r w:rsidRPr="00F35F57">
        <w:tab/>
        <w:t xml:space="preserve">připomíná, že školení v oblasti prosazování práva na úrovni Unie musí zohledňovat priority Unie v souladu s potřebami členských států v oblasti odborné přípravy a podporovat reakci Unie na závažnou a organizovanou trestnou činnost a další hrozby pro vnitřní bezpečnost a že ochrana základních práv by rovněž měla být ústředním pilířem vzdělávacích činností agentury; bere na vědomí školení v oblasti boje proti terorismu, včetně školení o financování terorismu, terorismu a palných zbraních, zahraničních teroristických bojovnících, a činnosti zaměřené proti extremismu a radikalizaci; vyzývá ke zvýšení počtu školení v oblasti </w:t>
      </w:r>
      <w:proofErr w:type="spellStart"/>
      <w:r w:rsidRPr="00F35F57">
        <w:t>kyberkriminality</w:t>
      </w:r>
      <w:proofErr w:type="spellEnd"/>
      <w:r w:rsidRPr="00F35F57">
        <w:t>, kybernetické forenzní vědy, umělé inteligence, ochrany údajů, základních práv a boje proti rasismu na úrovni Unie; vyzývá agenturu, aby ve všech svých činnostech, zejména činnostech zahrnujících třetí země, zajistila plnou transparentnost a plné dodržování základních práv a mezinárodního práva;</w:t>
      </w:r>
    </w:p>
    <w:p w:rsidR="00437AD0" w:rsidRPr="00F35F57" w:rsidRDefault="00437AD0" w:rsidP="00A16909">
      <w:pPr>
        <w:spacing w:after="240"/>
        <w:ind w:left="567" w:hanging="567"/>
        <w:rPr>
          <w:szCs w:val="24"/>
        </w:rPr>
      </w:pPr>
      <w:r w:rsidRPr="00F35F57">
        <w:t>9.</w:t>
      </w:r>
      <w:r w:rsidRPr="00F35F57">
        <w:tab/>
        <w:t>konstatuje, že certifikace agentury v souladu s normou ISO 9001 – Systém řízení kvality z roku 2015 – byla úspěšně zachována a agentura se připravila na další rozšíření používání normy ISO 29993 z roku 2017 pro vzdělávací služby, což i nadále prokazuje, že agentura zajišťuje účinné fungování systému kvality;</w:t>
      </w:r>
    </w:p>
    <w:p w:rsidR="00437AD0" w:rsidRPr="00F35F57" w:rsidRDefault="00437AD0" w:rsidP="00A16909">
      <w:pPr>
        <w:widowControl/>
        <w:spacing w:after="240"/>
        <w:ind w:left="567" w:hanging="567"/>
        <w:rPr>
          <w:b/>
          <w:i/>
          <w:szCs w:val="24"/>
        </w:rPr>
      </w:pPr>
      <w:r w:rsidRPr="00F35F57">
        <w:rPr>
          <w:b/>
          <w:i/>
        </w:rPr>
        <w:t>Účinnost a přínosy</w:t>
      </w:r>
    </w:p>
    <w:p w:rsidR="00437AD0" w:rsidRPr="00F35F57" w:rsidRDefault="00437AD0" w:rsidP="00A16909">
      <w:pPr>
        <w:spacing w:after="240"/>
        <w:ind w:left="567" w:hanging="567"/>
        <w:rPr>
          <w:szCs w:val="24"/>
        </w:rPr>
      </w:pPr>
      <w:r w:rsidRPr="00F35F57">
        <w:t>10.</w:t>
      </w:r>
      <w:r w:rsidRPr="00F35F57">
        <w:tab/>
        <w:t xml:space="preserve">konstatuje, že agentura i nadále úzce spolupracuje se sítí agentur v oblasti spravedlnosti a vnitřních věcí a s agenturami, které ji tvoří, mimo jiné zejména s </w:t>
      </w:r>
      <w:r w:rsidRPr="00F35F57">
        <w:rPr>
          <w:rStyle w:val="pointer"/>
        </w:rPr>
        <w:t>Agenturou Evropské unie pro spolupráci v oblasti prosazování práva</w:t>
      </w:r>
      <w:r w:rsidRPr="00F35F57">
        <w:t xml:space="preserve"> (</w:t>
      </w:r>
      <w:proofErr w:type="spellStart"/>
      <w:r w:rsidRPr="00F35F57">
        <w:t>Europol</w:t>
      </w:r>
      <w:proofErr w:type="spellEnd"/>
      <w:r w:rsidRPr="00F35F57">
        <w:t xml:space="preserve">) a Evropskou agenturou pro pohraniční a pobřežní stráž, s nimiž sdílí vzdělávací činnosti a organizuje kurzy; konstatuje, že v této souvislosti agentura v roce 2022 předsedala síti agentur v oblasti spravedlnosti a vnitřních věcí; dále konstatuje, že agentura má od roku 2023 v platnosti dohodu s Evropským monitorovacím centrem pro drogy a drogovou závislost (EMCDDA) o propůjčení své vzdělávací platformy </w:t>
      </w:r>
      <w:proofErr w:type="spellStart"/>
      <w:r w:rsidRPr="00F35F57">
        <w:t>LEEd</w:t>
      </w:r>
      <w:proofErr w:type="spellEnd"/>
      <w:r w:rsidRPr="00F35F57">
        <w:t>, čímž bezplatně poskytuje centru EMCDDA moderní vzdělávací platformu pro jeho komunitu; vyzývá agenturu, aby pokračovala ve spolupráci s ostatními agenturami za účelem využití všech dostupných zdrojů;</w:t>
      </w:r>
    </w:p>
    <w:p w:rsidR="00437AD0" w:rsidRPr="00F35F57" w:rsidRDefault="00437AD0" w:rsidP="00A16909">
      <w:pPr>
        <w:spacing w:after="240"/>
        <w:ind w:left="567" w:hanging="567"/>
        <w:rPr>
          <w:szCs w:val="24"/>
        </w:rPr>
      </w:pPr>
      <w:r w:rsidRPr="00F35F57">
        <w:t>11.</w:t>
      </w:r>
      <w:r w:rsidRPr="00F35F57">
        <w:tab/>
        <w:t>chválí agenturu za to, že dosáhla poměrně vysoké úrovně digitalizace tím, že mnoho jejích procesů bylo často v úzké spolupráci s Generálním ředitelstvím Komise pro digitální služby převedeno na bezpapírovou nebo elektronickou formu, například systém elektronického zadávání zakázek pro otevřená řízení, elektronické zadávací řízení, elektronické přijímání zaměstnanců, elektronické řízení lidských zdrojů (SYSPER), elektronická fakturace nebo elektronická rezervace cest;</w:t>
      </w:r>
    </w:p>
    <w:p w:rsidR="00437AD0" w:rsidRPr="00F35F57" w:rsidRDefault="00437AD0" w:rsidP="00A16909">
      <w:pPr>
        <w:spacing w:after="240"/>
        <w:ind w:left="567" w:hanging="567"/>
        <w:rPr>
          <w:szCs w:val="24"/>
        </w:rPr>
      </w:pPr>
      <w:r w:rsidRPr="00F35F57">
        <w:t>12.</w:t>
      </w:r>
      <w:r w:rsidRPr="00F35F57">
        <w:tab/>
        <w:t xml:space="preserve">konstatuje, že agentura má vnitřní pravidla, podle nichž by zaměstnanci (a účastníci odborné přípravy) měli při krátkých vzdálenostech namísto letecké dopravy využívat alternativní možnosti přepravy, tedy vlaky či autobusy; s uspokojením konstatuje, že od roku 2022 nabízí agentura svým zaměstnancům náhradu výdajů za používání veřejné dopravy; dále konstatuje, že mnoho schůzí expertních skupin, které se dříve konaly v </w:t>
      </w:r>
      <w:r w:rsidRPr="00F35F57">
        <w:lastRenderedPageBreak/>
        <w:t>místě agentury, se nyní uskutečňuje on-line; vyjadřuje politování nad tím, že agentura nezavedla systém, který by objektivním a podrobným způsobem monitoroval meziroční vývoj zisků a úspor, a vyzývá agenturu, aby takový systém zavedla;</w:t>
      </w:r>
    </w:p>
    <w:p w:rsidR="00437AD0" w:rsidRPr="00F35F57" w:rsidRDefault="00437AD0" w:rsidP="00A16909">
      <w:pPr>
        <w:spacing w:after="240"/>
        <w:ind w:left="567" w:hanging="567"/>
        <w:rPr>
          <w:szCs w:val="24"/>
        </w:rPr>
      </w:pPr>
      <w:r w:rsidRPr="00F35F57">
        <w:t>13.</w:t>
      </w:r>
      <w:r w:rsidRPr="00F35F57">
        <w:tab/>
        <w:t>konstatuje, že agentura nemá podle zprávy Účetního dvora vypracovaný podnikatelský plán na zlepšení energetické účinnosti a klimatické neutrality svých činností; vyjadřuje politování nad tím, že agentura dosud nezahájila proces certifikace systému pro environmentální řízení podniků a audit (EMAS); konstatuje však, že v požadavcích na novou budovu ústředí agentura uvedla, že v blízké budoucnosti k certifikaci EMAS přistoupí; v téže souvislosti konstatuje, že agentura se řídí pokyny Komise, přičemž ve většině zadávacích řízení jsou rovněž zahrnuta kritéria týkající se environmentálních aspektů; vyzývá agenturu, aby se v oblasti zelených veřejných zakázek řídila příkladem jiných spřízněných agentur;</w:t>
      </w:r>
    </w:p>
    <w:p w:rsidR="00437AD0" w:rsidRPr="00F35F57" w:rsidRDefault="00437AD0" w:rsidP="00A16909">
      <w:pPr>
        <w:spacing w:after="240"/>
        <w:ind w:left="567" w:hanging="567"/>
        <w:rPr>
          <w:b/>
          <w:i/>
          <w:szCs w:val="24"/>
        </w:rPr>
      </w:pPr>
      <w:r w:rsidRPr="00F35F57">
        <w:rPr>
          <w:b/>
          <w:i/>
        </w:rPr>
        <w:t>Personální politika</w:t>
      </w:r>
    </w:p>
    <w:p w:rsidR="00437AD0" w:rsidRPr="00F35F57" w:rsidRDefault="00437AD0" w:rsidP="00A16909">
      <w:pPr>
        <w:spacing w:after="240"/>
        <w:ind w:left="567" w:hanging="567"/>
        <w:rPr>
          <w:szCs w:val="24"/>
        </w:rPr>
      </w:pPr>
      <w:r w:rsidRPr="00F35F57">
        <w:t>14.</w:t>
      </w:r>
      <w:r w:rsidRPr="00F35F57">
        <w:tab/>
        <w:t>bere na vědomí, že ke dni 31. prosince 2022 byl plán pracovních míst naplněn ze 79 %, přičemž z 33 míst pro dočasné zaměstnance povolených v rozpočtu Unie (stejný počet povolených míst jako v roce 2021) jich bylo obsazeno 26; konstatuje, že v roce 2022 pro agenturu dále pracovalo 59 smluvních zaměstnanců (z nichž 20 vykonávalo běžné činnosti a 39 uskutečňovalo projekty budování kapacit financované z vnějších zdrojů) a šest vyslaných národních odborníků; dále konstatuje, že ke dni 31. prosince 2022 bylo 24 zaměstnanců agentury práce zaměstnáno úkoly souvisejícími s hlavní činností, jako je elektronické učení, informační a komunikační technologie, právní podpora a podpora řízení;</w:t>
      </w:r>
    </w:p>
    <w:p w:rsidR="00437AD0" w:rsidRPr="00F35F57" w:rsidRDefault="00437AD0" w:rsidP="00A16909">
      <w:pPr>
        <w:tabs>
          <w:tab w:val="left" w:pos="720"/>
          <w:tab w:val="left" w:pos="1665"/>
        </w:tabs>
        <w:spacing w:after="240"/>
        <w:ind w:left="567" w:hanging="567"/>
        <w:rPr>
          <w:szCs w:val="24"/>
        </w:rPr>
      </w:pPr>
      <w:r w:rsidRPr="00F35F57">
        <w:t>15.</w:t>
      </w:r>
      <w:r w:rsidRPr="00F35F57">
        <w:tab/>
        <w:t xml:space="preserve">konstatuje, že fluktuace zaměstnanců byla v roce 2022 i nadále relativně vysoká a měla na agenturu významný dopad; v této souvislosti konstatuje, že v roce 2022 dali 4 zaměstnanci výpověď, neboť se jim naskytly nové pracovní příležitosti v agentuře i mimo ni, 3 lidé odešli do důchodu a k 31. prosinci </w:t>
      </w:r>
      <w:r w:rsidR="003D5B2B">
        <w:t xml:space="preserve">2022 </w:t>
      </w:r>
      <w:bookmarkStart w:id="10" w:name="_GoBack"/>
      <w:bookmarkEnd w:id="10"/>
      <w:r w:rsidRPr="00F35F57">
        <w:t>čerpali 4 zaměstnanci neplacené volno;</w:t>
      </w:r>
    </w:p>
    <w:p w:rsidR="00437AD0" w:rsidRPr="00F35F57" w:rsidRDefault="00437AD0" w:rsidP="00A16909">
      <w:pPr>
        <w:tabs>
          <w:tab w:val="left" w:pos="720"/>
          <w:tab w:val="left" w:pos="1665"/>
        </w:tabs>
        <w:spacing w:after="240"/>
        <w:ind w:left="567" w:hanging="567"/>
        <w:rPr>
          <w:szCs w:val="24"/>
        </w:rPr>
      </w:pPr>
      <w:r w:rsidRPr="00F35F57">
        <w:t>16.</w:t>
      </w:r>
      <w:r w:rsidRPr="00F35F57">
        <w:tab/>
        <w:t>opakuje, že podporuje zvýšení počtu zaměstnanců agentury, které bude odpovídat úkolům a ambicím stanoveným ve stávajícím mandátu agentury; s uspokojením konstatuje, že na základě zprávy agentury o následných opatřeních nazvané „Akční plán agentury CEPOL v reakci na rozhodnutí o udělení absolutoria EP za rozpočtový rok 2021“ (dále jen „zpráva agentury o následných opatřeních“) výkonná ředitelka agentury zřídila pracovní skupinu, která má systematicky dokumentovat a zdůvodňovat potřeby dodatečných rozpočtových a lidských zdrojů v souvislosti s novou strategií na období 2023–2027, a pomáhat tak řádně doložit budoucí žádosti o zdroje;</w:t>
      </w:r>
    </w:p>
    <w:p w:rsidR="00437AD0" w:rsidRPr="00F35F57" w:rsidRDefault="00437AD0" w:rsidP="00A16909">
      <w:pPr>
        <w:spacing w:after="240"/>
        <w:ind w:left="567" w:hanging="567"/>
        <w:rPr>
          <w:szCs w:val="24"/>
        </w:rPr>
      </w:pPr>
      <w:r w:rsidRPr="00F35F57">
        <w:t>17.</w:t>
      </w:r>
      <w:r w:rsidRPr="00F35F57">
        <w:tab/>
        <w:t xml:space="preserve">konstatuje, že míra fluktuace zaměstnanců byla i v roce 2022 vysoká a činila 11,8 %, což mělo významný dopad na organizaci agentury; na základě zprávy o následných opatřeních agentury konstatuje, že míra fluktuace je mimo kontrolu agentury, protože hlavním aktivačním faktorem je nízký opravný koeficient pro danou zemi a relativně nízké platové třídy pro klíčové podpůrné funkce v agentuře; konstatuje, že v roce 2022 agentura pokračovala v provádění opatření k udržení zaměstnanců a zachování kontinuity činnosti, přičemž využívala řadu dočasných zaměstnanců a vyslaných národních odborníků k obsazení míst v případě nepřítomnosti zaměstnanců, a to až do dokončení náboru statutárních zaměstnanců a pokračujícího přeřazování zaměstnanců a funkcí a za zachování sociálního uspořádání (např. vzdělávání dětí zaměstnanců), práce </w:t>
      </w:r>
      <w:r w:rsidRPr="00F35F57">
        <w:lastRenderedPageBreak/>
        <w:t>na dálku a pružné pracovní doby; znovu vyzývá Komisi, aby revidovala opravný koeficient tak, aby lépe odrážel ekonomickou realitu přemístění do hostitelského města agentury a bydlení v něm;</w:t>
      </w:r>
    </w:p>
    <w:p w:rsidR="00437AD0" w:rsidRPr="00F35F57" w:rsidRDefault="00437AD0" w:rsidP="00A16909">
      <w:pPr>
        <w:spacing w:after="240"/>
        <w:ind w:left="567" w:hanging="567"/>
        <w:rPr>
          <w:szCs w:val="24"/>
        </w:rPr>
      </w:pPr>
      <w:r w:rsidRPr="00F35F57">
        <w:t>18.</w:t>
      </w:r>
      <w:r w:rsidRPr="00F35F57">
        <w:tab/>
        <w:t>s uspokojením konstatuje, že pokud jde o nástroj SYSPER, zavedla agentura moduly, jako je „REPORTING“, „ETHICS“ a „STAGE“, a pracuje na zavádění dalších modulů nástroje SYSPER (např. EVAL/PROMO);</w:t>
      </w:r>
    </w:p>
    <w:p w:rsidR="00437AD0" w:rsidRPr="00F35F57" w:rsidRDefault="00437AD0" w:rsidP="00A16909">
      <w:pPr>
        <w:pStyle w:val="ListParagraph"/>
        <w:spacing w:after="240"/>
        <w:ind w:left="567" w:hanging="567"/>
        <w:contextualSpacing w:val="0"/>
        <w:jc w:val="left"/>
      </w:pPr>
      <w:r w:rsidRPr="00F35F57">
        <w:t>19.</w:t>
      </w:r>
      <w:r w:rsidRPr="00F35F57">
        <w:tab/>
        <w:t>vítá vykázané rozdělení agentury podle pohlaví za rok 2022, kdy vedoucí funkce zastávali 3 muži a 3 ženy (1 vyšší vedoucí pracovník a 5 středních vedoucích pracovníků), přičemž ve správní radě bylo 15 mužů (56 %) a 12 žen (44 %) a celkový počet zaměstnanců činil 37 mužů (44 %) a 48 žen (56 %); chválí agenturu za genderovou vyváženost, které v roce 2022 dosáhla;</w:t>
      </w:r>
    </w:p>
    <w:p w:rsidR="00437AD0" w:rsidRPr="00F35F57" w:rsidRDefault="00437AD0" w:rsidP="00A16909">
      <w:pPr>
        <w:pStyle w:val="NormalHanging12a"/>
      </w:pPr>
      <w:r w:rsidRPr="00F35F57">
        <w:t>20.</w:t>
      </w:r>
      <w:r w:rsidRPr="00F35F57">
        <w:tab/>
        <w:t>na základě konsolidované výroční zprávy o činnosti agentury za rok 2022 konstatuje, že v roce 2022 bylo mezi zaměstnanci agentury zastoupeno 17 členských států; konstatuje, že 42 % jejích zaměstnanců jsou státními příslušníky členského státu, v němž se agentura nachází; připomíná význam zeměpisné vyváženosti a vyzývá agenturu, aby přijala nezbytná opatření pro dosažení vyváženého a spravedlivého zeměpisného zastoupení;</w:t>
      </w:r>
    </w:p>
    <w:p w:rsidR="00437AD0" w:rsidRPr="00F35F57" w:rsidRDefault="00437AD0" w:rsidP="00A16909">
      <w:pPr>
        <w:pStyle w:val="ListParagraph"/>
        <w:spacing w:after="240"/>
        <w:ind w:left="567" w:hanging="567"/>
        <w:contextualSpacing w:val="0"/>
        <w:jc w:val="left"/>
      </w:pPr>
      <w:r w:rsidRPr="00F35F57">
        <w:t>21.</w:t>
      </w:r>
      <w:r w:rsidRPr="00F35F57">
        <w:tab/>
        <w:t>vítá skutečnost, že agentura v roce 2022 přijala nové rozhodnutí založené na zásadách řízení orientovaného na cíle a výsledky a kultuře důvěry; konstatuje, že toto rozhodnutí přineslo zaměstnancům větší flexibilitu, a to jak z hlediska pracovní doby, tak z hlediska práce na dálku proto, že jim poskytlo právo odpojit se a jasně uvedlo časy odpojení, což by mělo přispět k lepší rovnováze mezi pracovním a soukromým životem a chránit zaměstnance před digitálním přetížením;</w:t>
      </w:r>
    </w:p>
    <w:p w:rsidR="00437AD0" w:rsidRPr="00F35F57" w:rsidRDefault="00437AD0" w:rsidP="00A16909">
      <w:pPr>
        <w:spacing w:after="240"/>
        <w:ind w:left="567" w:hanging="567"/>
        <w:rPr>
          <w:color w:val="000000"/>
          <w:szCs w:val="24"/>
        </w:rPr>
      </w:pPr>
      <w:r w:rsidRPr="00F35F57">
        <w:rPr>
          <w:color w:val="000000"/>
        </w:rPr>
        <w:t>22.</w:t>
      </w:r>
      <w:r w:rsidRPr="00F35F57">
        <w:rPr>
          <w:color w:val="000000"/>
        </w:rPr>
        <w:tab/>
        <w:t>na základě zprávy agentury o následných opatřeních vítá připomínku týkající se zaměstnanců pracujících na postupech souvisejících se zadáváním zakázek, že plán pracovních míst na rok 2023 předpokládá přeměnu příslušného místa AST-5 (náborová třída AST-3) na místo AD-5;</w:t>
      </w:r>
    </w:p>
    <w:p w:rsidR="00437AD0" w:rsidRPr="00F35F57" w:rsidRDefault="00437AD0" w:rsidP="00A16909">
      <w:pPr>
        <w:spacing w:after="240"/>
        <w:ind w:left="567" w:hanging="567"/>
        <w:rPr>
          <w:rFonts w:eastAsiaTheme="minorHAnsi"/>
          <w:b/>
          <w:i/>
          <w:szCs w:val="24"/>
        </w:rPr>
      </w:pPr>
      <w:r w:rsidRPr="00F35F57">
        <w:rPr>
          <w:b/>
          <w:i/>
        </w:rPr>
        <w:t>Zadávání veřejných zakázek</w:t>
      </w:r>
    </w:p>
    <w:p w:rsidR="00437AD0" w:rsidRPr="00F35F57" w:rsidRDefault="00437AD0" w:rsidP="00A16909">
      <w:pPr>
        <w:pStyle w:val="NormalHanging12a"/>
      </w:pPr>
      <w:r w:rsidRPr="00F35F57">
        <w:t>23.</w:t>
      </w:r>
      <w:r w:rsidRPr="00F35F57">
        <w:tab/>
        <w:t xml:space="preserve">ze zprávy Účetního dvora bere se znepokojením na vědomí, že Účetní dvůr vydává agentuře od rozpočtového roku 2020 každoročně nové připomínky týkající se zadávání veřejných zakázek; zdůrazňuje na základě zprávy Účetního dvora připomínku, která představuje základ pro výrok Účetního dvora s výhradou o legalitě a správnosti 359 plateb v celkové hodnotě 4,1 milionu EUR provedených v roce 2022 na základě dvou rámcových smluv prováděných přímo prostřednictvím objednávek (žádosti o služby), které zaslali zaměstnanci agentury, kteří neměli pravomoc přijímat právní závazky jménem agentury, nebo dočasnými zaměstnanci, kteří nemohli z právního hlediska takovou přenesenou pravomoc mít z důvodu svého prozatímního statusu; bere na vědomí odpověď agentury na připomínku Účetního dvora, že i když došlo k nedostatkům ve formalizaci právního závazku, byly služby objednány v souladu s potřebami agentury a kontroly byly provedeny v plném rozsahu, aby se zajistilo, že finanční prostředky se použijí k zamýšlenému účelu, a nedošlo ke skutečné ztrátě; na základě odpovědí agentury na písemné otázky Parlamentu konstatuje, že na těchto smlouvách nebyly nalezeny jiné nesrovnalosti a agentura přijala opatření k řešení připomínky Účetního dvora tím, že změnila své vnitřní postupy tak, aby zajistila, že </w:t>
      </w:r>
      <w:r w:rsidRPr="00F35F57">
        <w:lastRenderedPageBreak/>
        <w:t>objednávky budou cestovní kanceláři zadávat pouze statutární zaměstnanci, kteří byli schvalující osobou pověřeni přijetím právního závazku; bere na vědomí odpověď agentury, v níž agentura okamžitě zavedla nápravná opatření, a to ještě před ukončením auditu; vyzývá agenturu, aby se těmito připomínkami plně zabývala a zlepšila své postupy zadávání veřejných zakázek s cílem zabránit v budoucnu podobným situacím;</w:t>
      </w:r>
    </w:p>
    <w:p w:rsidR="00437AD0" w:rsidRPr="00F35F57" w:rsidRDefault="00437AD0" w:rsidP="00A16909">
      <w:pPr>
        <w:pStyle w:val="NormalHanging12a"/>
      </w:pPr>
      <w:r w:rsidRPr="00F35F57">
        <w:t>24.</w:t>
      </w:r>
      <w:r w:rsidRPr="00F35F57">
        <w:tab/>
        <w:t>dále na základě zprávy Účetního dvora poukazuje na výrok s výhradou, podle něhož všechny částky vyplacené v roce 2022 (152 655 EUR) na plnění rámcové smlouvy (pro redakční služby v oblasti vzdělávání) nebylo možné uvést do souladu s poskytovanými službami a některé kategorie úkolů neodrážely povahu skutečně vykonané práce a u některých kategorií neodpovídala výše zaplacené částky práci, která byla skutečně vykonána, takže tyto částky byly neoprávněné; bere na vědomí vysvětlení agentury, že počet objednaných, dodaných a zaplacených stran se neshodoval přesně, protože vzhledem k povaze práce (konkrétně se jednalo o vypracování redakčního a vzdělávacího obsahu) nebylo vždy možné tento počet předem přesně stanovit; dále konstatuje, že podle odpovědi agentury byly provedeny kontroly výsledků a kategorie úkolů vycházely z úkolů uvedených v předchozí smlouvě s Úřadem pro publikace; vyzývá agenturu, aby zavedla opatření, která jí umožní předem lépe kvantifikovat výsledky a v budoucnu se takovým situacím vyhnout;</w:t>
      </w:r>
    </w:p>
    <w:p w:rsidR="00437AD0" w:rsidRPr="00F35F57" w:rsidRDefault="00437AD0" w:rsidP="00A16909">
      <w:pPr>
        <w:spacing w:after="240"/>
        <w:ind w:left="567" w:hanging="567"/>
        <w:rPr>
          <w:color w:val="000000"/>
          <w:szCs w:val="24"/>
        </w:rPr>
      </w:pPr>
      <w:r w:rsidRPr="00F35F57">
        <w:rPr>
          <w:color w:val="000000"/>
        </w:rPr>
        <w:t>25.</w:t>
      </w:r>
      <w:r w:rsidRPr="00F35F57">
        <w:rPr>
          <w:color w:val="000000"/>
        </w:rPr>
        <w:tab/>
        <w:t>na základě zprávy Účetního dvora za rozpočtový rok 2021 konstatuje, že jedna připomínka zůstala nezodpovězena a týkala se procesu hodnocení zadávacího řízení, kdy agentura kladla důraz na kritérium, které nebylo jasně uvedeno v zadávací dokumentaci, což vytváří riziko nerovného zacházení s uchazeči; konstatuje, že smlouva byla v platnosti do září 2023 a v době, kdy Účetní dvůr přezkoumal stav této připomínky, neměla agentura v úmyslu smlouvu prodloužit o dalších 12 měsíců;</w:t>
      </w:r>
    </w:p>
    <w:p w:rsidR="00437AD0" w:rsidRPr="00F35F57" w:rsidRDefault="00437AD0" w:rsidP="00A16909">
      <w:pPr>
        <w:spacing w:after="240"/>
        <w:ind w:left="567" w:hanging="567"/>
        <w:rPr>
          <w:color w:val="000000"/>
          <w:szCs w:val="24"/>
        </w:rPr>
      </w:pPr>
      <w:r w:rsidRPr="00F35F57">
        <w:rPr>
          <w:color w:val="000000"/>
        </w:rPr>
        <w:t>26.</w:t>
      </w:r>
      <w:r w:rsidRPr="00F35F57">
        <w:rPr>
          <w:color w:val="000000"/>
        </w:rPr>
        <w:tab/>
        <w:t>chválí agenturu za to, že zavedla nástroj pro řízení veřejných zakázek, který se od října 2022 používá pro všechny typy zadávacích řízení; vybízí agenturu, aby urychlila přijetí a zavedení nástrojů, které umožňují využívat elektronický podpis s cílem získávat souhlas a podpisy od interních i externích protistran v dokumentech pro zadávání zakázek a ve smluvních dokumentech;</w:t>
      </w:r>
    </w:p>
    <w:p w:rsidR="00437AD0" w:rsidRPr="00F35F57" w:rsidRDefault="00437AD0" w:rsidP="00A16909">
      <w:pPr>
        <w:pStyle w:val="ListParagraph"/>
        <w:widowControl w:val="0"/>
        <w:spacing w:after="240"/>
        <w:ind w:left="567" w:hanging="567"/>
        <w:contextualSpacing w:val="0"/>
        <w:jc w:val="left"/>
        <w:rPr>
          <w:rFonts w:eastAsia="Times New Roman"/>
        </w:rPr>
      </w:pPr>
      <w:r w:rsidRPr="00F35F57">
        <w:rPr>
          <w:b/>
          <w:i/>
        </w:rPr>
        <w:t>Prevence a řešení střetů zájmů a transparentnost</w:t>
      </w:r>
    </w:p>
    <w:p w:rsidR="00437AD0" w:rsidRPr="00F35F57" w:rsidRDefault="00437AD0" w:rsidP="00A16909">
      <w:pPr>
        <w:spacing w:after="240"/>
        <w:ind w:left="567" w:hanging="567"/>
        <w:rPr>
          <w:szCs w:val="24"/>
        </w:rPr>
      </w:pPr>
      <w:r w:rsidRPr="00F35F57">
        <w:t>27.</w:t>
      </w:r>
      <w:r w:rsidRPr="00F35F57">
        <w:tab/>
        <w:t>s uspokojením bere na vědomí stávající opatření agentury a její úsilí o zajištění transparentnosti, prevence a řešení střetů zájmů; s uspokojením konstatuje, že prohlášení o zájmech a životopisy členů správní rady a vrcholného vedení jsou zveřejňovány na internetových stránkách agentury a že formát prohlášení umožňuje zobrazení profesních, finančních, osobních a jiných zájmů, které se mohou týkat činností agentury; na základě zprávy agentury o následných opatřeních konstatuje, že pokud jde o připomínku orgánu příslušného k udělení absolutoria, prohlášení o střetu zájmů a důvěrnosti placených odborníků nejsou zveřejňována na internetových stránkách agentury, a že agentura dospěla k závěru, že vzhledem k aspektům ochrany údajů by zveřejnění přihlášek a životopisů odborníků vedlo k výraznému snížení počtu uchazečů o práci, neboť většina odborníků pracujících pro agenturu má zkušenosti s prosazováním práva;</w:t>
      </w:r>
    </w:p>
    <w:p w:rsidR="00437AD0" w:rsidRPr="00F35F57" w:rsidRDefault="00437AD0" w:rsidP="00A16909">
      <w:pPr>
        <w:spacing w:after="240"/>
        <w:ind w:left="567" w:hanging="567"/>
        <w:rPr>
          <w:szCs w:val="24"/>
        </w:rPr>
      </w:pPr>
      <w:r w:rsidRPr="00F35F57">
        <w:t>28.</w:t>
      </w:r>
      <w:r w:rsidRPr="00F35F57">
        <w:tab/>
        <w:t xml:space="preserve">na základě zprávy agentury o následných opatřeních s uspokojením konstatuje, že spuštěním jejích nových internetových stránek v roce 2022 agentura zlepšila svůj veřejný rejstřík dokumentů a zavedené technické změny umožňují občanům vyhledávat </w:t>
      </w:r>
      <w:r w:rsidRPr="00F35F57">
        <w:lastRenderedPageBreak/>
        <w:t>úřední dokumenty agentury podle kategorií nebo požádat o přístup k dokumentu prostřednictvím internetového formuláře, pokud není prostřednictvím veřejného rejstříku poskytnut přímý přístup; konstatuje, že v roce 2022 obdržela agentura od občanů pět žádostí o přístup veřejnosti k dokumentům a zpracovala 920 veřejných dotazů;</w:t>
      </w:r>
    </w:p>
    <w:p w:rsidR="00437AD0" w:rsidRPr="00F35F57" w:rsidRDefault="00437AD0" w:rsidP="00A16909">
      <w:pPr>
        <w:spacing w:after="240"/>
        <w:ind w:left="567" w:hanging="567"/>
        <w:rPr>
          <w:b/>
          <w:i/>
          <w:szCs w:val="24"/>
        </w:rPr>
      </w:pPr>
      <w:r w:rsidRPr="00F35F57">
        <w:rPr>
          <w:b/>
          <w:i/>
        </w:rPr>
        <w:t>Interní audit</w:t>
      </w:r>
    </w:p>
    <w:p w:rsidR="00437AD0" w:rsidRPr="00F35F57" w:rsidRDefault="00437AD0" w:rsidP="00A16909">
      <w:pPr>
        <w:spacing w:after="240"/>
        <w:ind w:left="567" w:hanging="567"/>
        <w:rPr>
          <w:szCs w:val="24"/>
        </w:rPr>
      </w:pPr>
      <w:r w:rsidRPr="00F35F57">
        <w:t>29.</w:t>
      </w:r>
      <w:r w:rsidRPr="00F35F57">
        <w:tab/>
        <w:t>na základě zprávy agentury o následných opatřeních konstatuje, že pokud jde o několik nedostatků v systému vnitřní kontroly agentury, zejména pokud jde o postupy zadávání veřejných zakázek a řízení rozpočtových závazků, agentura podnikla kroky, včetně školení a seminářů, s cílem zvýšit informovanost a snížit výskyt administrativních chyb; konstatuje v této souvislosti na základě zprávy Účetního dvora, že stav jeho připomínek (za rozpočtový rok 2021) odpovídajících těmto nedostatkům je uzavřen;</w:t>
      </w:r>
    </w:p>
    <w:p w:rsidR="00437AD0" w:rsidRPr="00F35F57" w:rsidRDefault="00437AD0" w:rsidP="00A16909">
      <w:pPr>
        <w:spacing w:after="240"/>
        <w:ind w:left="567" w:hanging="567"/>
        <w:rPr>
          <w:szCs w:val="24"/>
        </w:rPr>
      </w:pPr>
      <w:r w:rsidRPr="00F35F57">
        <w:t>30.</w:t>
      </w:r>
      <w:r w:rsidRPr="00F35F57">
        <w:tab/>
        <w:t>bere na vědomí posouzení systému vnitřní kontroly v roce 2022, které provedla agentura, a její závěr, že je systém účinný a zavedený a dobře funguje a potřebuje jen mírně vylepšit; vyzývá agenturu, aby řešila zjištěné nedostatky, pokud jde o složky vnitřní kontroly „kontrolní činnosti“ a „informace a komunikace“, a aby orgán příslušný k udělení absolutoria o pokroku v této záležitosti průběžně informovala; na základě zprávy agentury o následných opatřeních s uspokojením konstatuje, že při posuzování složky „monitorovací činnosti“, zásady 17 „posuzuje a komunikuje nedostatky“, vzala agentura v úvahu příslušné připomínky Účetního dvora z předchozích let; vyzývá agenturu, aby se i nadále zabývala všemi připomínkami z auditu agentury týkajícího se řízení lidských zdrojů a etiky agentury CEPOL, který v roce 2021 provedl útvar interního auditu;</w:t>
      </w:r>
    </w:p>
    <w:p w:rsidR="00437AD0" w:rsidRPr="00F35F57" w:rsidRDefault="00437AD0" w:rsidP="00A16909">
      <w:pPr>
        <w:spacing w:after="240"/>
        <w:ind w:left="567" w:hanging="567"/>
        <w:rPr>
          <w:szCs w:val="24"/>
        </w:rPr>
      </w:pPr>
      <w:r w:rsidRPr="00F35F57">
        <w:t>31.</w:t>
      </w:r>
      <w:r w:rsidRPr="00F35F57">
        <w:tab/>
        <w:t xml:space="preserve">konstatuje, že agentura provádí proces registrace a povolování výjimek, které jsou analyzovány s cílem určit konkrétní oblasti zájmu a příslušná opatření ke zlepšení; konstatuje, že zpráva o výjimkách z roku 2022 potvrzuje, že systém vnitřní kontroly agentury funguje dobře a že případy nesouladu jsou odhalovány a zmírňovány nápravnými a preventivními opatřeními; dále konstatuje, že v roce 2022 bylo uděleno celkem 46 výjimek (ve srovnání s 27 v roce 2021) v hodnotě 51 697 EUR (ve </w:t>
      </w:r>
      <w:proofErr w:type="gramStart"/>
      <w:r w:rsidRPr="00F35F57">
        <w:t>srovnání</w:t>
      </w:r>
      <w:proofErr w:type="gramEnd"/>
      <w:r w:rsidRPr="00F35F57">
        <w:t xml:space="preserve"> s 257 825 </w:t>
      </w:r>
      <w:proofErr w:type="gramStart"/>
      <w:r w:rsidRPr="00F35F57">
        <w:t>EUR v roce</w:t>
      </w:r>
      <w:proofErr w:type="gramEnd"/>
      <w:r w:rsidRPr="00F35F57">
        <w:t xml:space="preserve"> 2021), přičemž 13 z těchto výjimek mělo finanční dopad vyšší než 1 000 EUR (od 1 053 EUR do 12 240 EUR);</w:t>
      </w:r>
    </w:p>
    <w:p w:rsidR="00437AD0" w:rsidRPr="00F35F57" w:rsidRDefault="00437AD0" w:rsidP="00A16909">
      <w:pPr>
        <w:spacing w:after="240"/>
        <w:ind w:left="567" w:hanging="567"/>
        <w:rPr>
          <w:b/>
          <w:i/>
          <w:szCs w:val="24"/>
        </w:rPr>
      </w:pPr>
      <w:r w:rsidRPr="00F35F57">
        <w:rPr>
          <w:b/>
          <w:i/>
        </w:rPr>
        <w:t>Další připomínky</w:t>
      </w:r>
    </w:p>
    <w:p w:rsidR="00437AD0" w:rsidRPr="00F35F57" w:rsidRDefault="00437AD0" w:rsidP="00A16909">
      <w:pPr>
        <w:spacing w:after="240"/>
        <w:ind w:left="567" w:hanging="567"/>
        <w:rPr>
          <w:szCs w:val="24"/>
        </w:rPr>
      </w:pPr>
      <w:r w:rsidRPr="00F35F57">
        <w:t>32.</w:t>
      </w:r>
      <w:r w:rsidRPr="00F35F57">
        <w:tab/>
        <w:t>na základě zprávy agentury o následných opatřeních konstatuje, že jelikož agentura nemá dostatek kancelářských prostor a prostor pro provozní činnosti, maďarská vláda se zavázala k zajištění kontinuity a k tomu, že agentuře poskytne řádné zázemí, a přijala rozhodnutí o zajištění nového ústředí (6 000 m²) ve formě pronájmu; dále konstatuje, že stěhování do nových prostor může probíhat do konce roku 2024 souběžně s podpisem nové dohody o sídle;</w:t>
      </w:r>
    </w:p>
    <w:p w:rsidR="00437AD0" w:rsidRPr="00F35F57" w:rsidRDefault="00437AD0" w:rsidP="00A16909">
      <w:pPr>
        <w:pStyle w:val="NormalHanging12a"/>
      </w:pPr>
      <w:r w:rsidRPr="00F35F57">
        <w:t>33.</w:t>
      </w:r>
      <w:r w:rsidRPr="00F35F57">
        <w:tab/>
        <w:t xml:space="preserve">oceňuje úsilí agentury o zvýšení své viditelnosti a přítomnosti na internetu; v této souvislosti vítá skutečnost, že agentura spustila v roce 2022 nové internetové stránky, které zahrnují klíčová zlepšení, jako je jasnější představení a struktura, lepší vzhled a schopnost pohotově reagovat; dále konstatuje, že v roce 2022 byla činnost agentury na sociálních médiích významná – 1 590 nahraných příspěvků představuje o 54 % více příspěvků než v předchozím roce; v této souvislosti bere na vědomí vzestupný trend </w:t>
      </w:r>
      <w:r w:rsidRPr="00F35F57">
        <w:lastRenderedPageBreak/>
        <w:t xml:space="preserve">uživatelů internetových stránek agentury, které zaznamenaly více než 200 000 návštěv, s její fanouškovskou základnou na sociálních médiích čítající 38 500 sledujících v rámci </w:t>
      </w:r>
      <w:proofErr w:type="spellStart"/>
      <w:r w:rsidRPr="00F35F57">
        <w:t>LinkedIn</w:t>
      </w:r>
      <w:proofErr w:type="spellEnd"/>
      <w:r w:rsidRPr="00F35F57">
        <w:t xml:space="preserve">, X (dříve </w:t>
      </w:r>
      <w:proofErr w:type="spellStart"/>
      <w:r w:rsidRPr="00F35F57">
        <w:t>Twitter</w:t>
      </w:r>
      <w:proofErr w:type="spellEnd"/>
      <w:r w:rsidRPr="00F35F57">
        <w:t xml:space="preserve">) a </w:t>
      </w:r>
      <w:proofErr w:type="spellStart"/>
      <w:r w:rsidRPr="00F35F57">
        <w:t>Facebooku</w:t>
      </w:r>
      <w:proofErr w:type="spellEnd"/>
      <w:r w:rsidRPr="00F35F57">
        <w:t>;</w:t>
      </w:r>
    </w:p>
    <w:p w:rsidR="00A16909" w:rsidRDefault="00A16909" w:rsidP="00A16909">
      <w:pPr>
        <w:pStyle w:val="NormalCenter12a"/>
        <w:widowControl/>
      </w:pPr>
      <w:r>
        <w:t>°</w:t>
      </w:r>
    </w:p>
    <w:p w:rsidR="00A16909" w:rsidRDefault="00A16909" w:rsidP="00A16909">
      <w:pPr>
        <w:pStyle w:val="NormalCenter12a"/>
        <w:widowControl/>
      </w:pPr>
      <w:r>
        <w:t>°     °</w:t>
      </w:r>
    </w:p>
    <w:p w:rsidR="00437AD0" w:rsidRPr="00F35F57" w:rsidRDefault="00437AD0" w:rsidP="00A16909">
      <w:pPr>
        <w:spacing w:after="240"/>
        <w:ind w:left="567" w:hanging="567"/>
      </w:pPr>
      <w:r w:rsidRPr="00F35F57">
        <w:t>34.</w:t>
      </w:r>
      <w:r w:rsidRPr="00F35F57">
        <w:tab/>
        <w:t xml:space="preserve">pokud jde o další připomínky, které jsou připojeny k rozhodnutí o udělení absolutoria a jsou horizontální povahy, odkazuje na své usnesení ze dne </w:t>
      </w:r>
      <w:r w:rsidR="00655EAC">
        <w:t>11. dubna 2024</w:t>
      </w:r>
      <w:r w:rsidRPr="00F35F57">
        <w:rPr>
          <w:rStyle w:val="FootnoteReference"/>
        </w:rPr>
        <w:footnoteReference w:id="12"/>
      </w:r>
      <w:r w:rsidRPr="00F35F57">
        <w:t xml:space="preserve"> o výkonnosti, finančním řízení a kontrole agentur.</w:t>
      </w:r>
    </w:p>
    <w:sectPr w:rsidR="00437AD0" w:rsidRPr="00F35F57" w:rsidSect="00F35F5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A46" w:rsidRPr="00F35F57" w:rsidRDefault="004F2A46">
      <w:r w:rsidRPr="00F35F57">
        <w:separator/>
      </w:r>
    </w:p>
  </w:endnote>
  <w:endnote w:type="continuationSeparator" w:id="0">
    <w:p w:rsidR="004F2A46" w:rsidRPr="00F35F57" w:rsidRDefault="004F2A46">
      <w:r w:rsidRPr="00F35F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AD0" w:rsidRPr="00F35F57" w:rsidRDefault="00437AD0" w:rsidP="00C32098">
    <w:pPr>
      <w:pStyle w:val="EPFooter"/>
    </w:pPr>
    <w:r w:rsidRPr="00F35F57">
      <w:t>PE</w:t>
    </w:r>
    <w:r w:rsidRPr="00F35F57">
      <w:rPr>
        <w:rStyle w:val="HideTWBExt"/>
      </w:rPr>
      <w:t>&lt;</w:t>
    </w:r>
    <w:proofErr w:type="spellStart"/>
    <w:r w:rsidRPr="00F35F57">
      <w:rPr>
        <w:rStyle w:val="HideTWBExt"/>
      </w:rPr>
      <w:t>NoPE</w:t>
    </w:r>
    <w:proofErr w:type="spellEnd"/>
    <w:r w:rsidRPr="00F35F57">
      <w:rPr>
        <w:rStyle w:val="HideTWBExt"/>
      </w:rPr>
      <w:t>&gt;</w:t>
    </w:r>
    <w:r w:rsidRPr="00F35F57">
      <w:t>753.510</w:t>
    </w:r>
    <w:r w:rsidRPr="00F35F57">
      <w:rPr>
        <w:rStyle w:val="HideTWBExt"/>
      </w:rPr>
      <w:t>&lt;/</w:t>
    </w:r>
    <w:proofErr w:type="spellStart"/>
    <w:r w:rsidRPr="00F35F57">
      <w:rPr>
        <w:rStyle w:val="HideTWBExt"/>
      </w:rPr>
      <w:t>NoPE</w:t>
    </w:r>
    <w:proofErr w:type="spellEnd"/>
    <w:r w:rsidRPr="00F35F57">
      <w:rPr>
        <w:rStyle w:val="HideTWBExt"/>
      </w:rPr>
      <w:t>&gt;&lt;Version&gt;</w:t>
    </w:r>
    <w:r w:rsidRPr="00F35F57">
      <w:t>v02-00</w:t>
    </w:r>
    <w:r w:rsidRPr="00F35F57">
      <w:rPr>
        <w:rStyle w:val="HideTWBExt"/>
      </w:rPr>
      <w:t>&lt;/</w:t>
    </w:r>
    <w:proofErr w:type="spellStart"/>
    <w:r w:rsidRPr="00F35F57">
      <w:rPr>
        <w:rStyle w:val="HideTWBExt"/>
      </w:rPr>
      <w:t>Version</w:t>
    </w:r>
    <w:proofErr w:type="spellEnd"/>
    <w:r w:rsidRPr="00F35F57">
      <w:rPr>
        <w:rStyle w:val="HideTWBExt"/>
      </w:rPr>
      <w:t>&gt;</w:t>
    </w:r>
    <w:r w:rsidRPr="00F35F57">
      <w:tab/>
    </w:r>
    <w:r w:rsidRPr="00F35F57">
      <w:fldChar w:fldCharType="begin"/>
    </w:r>
    <w:r w:rsidRPr="00F35F57">
      <w:instrText xml:space="preserve"> PAGE  \* MERGEFORMAT </w:instrText>
    </w:r>
    <w:r w:rsidRPr="00F35F57">
      <w:fldChar w:fldCharType="separate"/>
    </w:r>
    <w:r w:rsidR="00F35F57" w:rsidRPr="00F35F57">
      <w:rPr>
        <w:noProof/>
      </w:rPr>
      <w:t>2</w:t>
    </w:r>
    <w:r w:rsidRPr="00F35F57">
      <w:fldChar w:fldCharType="end"/>
    </w:r>
    <w:r w:rsidRPr="00F35F57">
      <w:t>/</w:t>
    </w:r>
    <w:r w:rsidR="003D5B2B">
      <w:fldChar w:fldCharType="begin"/>
    </w:r>
    <w:r w:rsidR="003D5B2B">
      <w:instrText xml:space="preserve"> NUMPAGES  \* MERGEFORMAT </w:instrText>
    </w:r>
    <w:r w:rsidR="003D5B2B">
      <w:fldChar w:fldCharType="separate"/>
    </w:r>
    <w:r w:rsidR="00F35F57" w:rsidRPr="00F35F57">
      <w:rPr>
        <w:noProof/>
      </w:rPr>
      <w:t>4</w:t>
    </w:r>
    <w:r w:rsidR="003D5B2B">
      <w:rPr>
        <w:noProof/>
      </w:rPr>
      <w:fldChar w:fldCharType="end"/>
    </w:r>
    <w:r w:rsidRPr="00F35F57">
      <w:tab/>
    </w:r>
    <w:r w:rsidRPr="00F35F57">
      <w:rPr>
        <w:rStyle w:val="HideTWBExt"/>
      </w:rPr>
      <w:t>&lt;PathFdR&gt;</w:t>
    </w:r>
    <w:r w:rsidRPr="00F35F57">
      <w:t>RR\1298754CS.docx</w:t>
    </w:r>
    <w:r w:rsidRPr="00F35F57">
      <w:rPr>
        <w:rStyle w:val="HideTWBExt"/>
      </w:rPr>
      <w:t>&lt;/</w:t>
    </w:r>
    <w:proofErr w:type="spellStart"/>
    <w:r w:rsidRPr="00F35F57">
      <w:rPr>
        <w:rStyle w:val="HideTWBExt"/>
      </w:rPr>
      <w:t>PathFdR</w:t>
    </w:r>
    <w:proofErr w:type="spellEnd"/>
    <w:r w:rsidRPr="00F35F57">
      <w:rPr>
        <w:rStyle w:val="HideTWBExt"/>
      </w:rPr>
      <w:t>&gt;</w:t>
    </w:r>
  </w:p>
  <w:p w:rsidR="00437AD0" w:rsidRPr="00F35F57" w:rsidRDefault="00437AD0" w:rsidP="00C32098">
    <w:pPr>
      <w:pStyle w:val="EPFooter2"/>
    </w:pPr>
    <w:r w:rsidRPr="00F35F57">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AD0" w:rsidRPr="00F35F57" w:rsidRDefault="00437AD0" w:rsidP="00C32098">
    <w:pPr>
      <w:pStyle w:val="EPFooter"/>
    </w:pPr>
    <w:r w:rsidRPr="00F35F57">
      <w:rPr>
        <w:rStyle w:val="HideTWBExt"/>
      </w:rPr>
      <w:t>&lt;PathFdR&gt;</w:t>
    </w:r>
    <w:r w:rsidRPr="00F35F57">
      <w:t>RR\1298754CS.docx</w:t>
    </w:r>
    <w:r w:rsidRPr="00F35F57">
      <w:rPr>
        <w:rStyle w:val="HideTWBExt"/>
      </w:rPr>
      <w:t>&lt;/</w:t>
    </w:r>
    <w:proofErr w:type="spellStart"/>
    <w:r w:rsidRPr="00F35F57">
      <w:rPr>
        <w:rStyle w:val="HideTWBExt"/>
      </w:rPr>
      <w:t>PathFdR</w:t>
    </w:r>
    <w:proofErr w:type="spellEnd"/>
    <w:r w:rsidRPr="00F35F57">
      <w:rPr>
        <w:rStyle w:val="HideTWBExt"/>
      </w:rPr>
      <w:t>&gt;</w:t>
    </w:r>
    <w:r w:rsidRPr="00F35F57">
      <w:tab/>
    </w:r>
    <w:r w:rsidRPr="00F35F57">
      <w:tab/>
      <w:t>PE</w:t>
    </w:r>
    <w:r w:rsidRPr="00F35F57">
      <w:rPr>
        <w:rStyle w:val="HideTWBExt"/>
      </w:rPr>
      <w:t>&lt;</w:t>
    </w:r>
    <w:proofErr w:type="spellStart"/>
    <w:r w:rsidRPr="00F35F57">
      <w:rPr>
        <w:rStyle w:val="HideTWBExt"/>
      </w:rPr>
      <w:t>NoPE</w:t>
    </w:r>
    <w:proofErr w:type="spellEnd"/>
    <w:r w:rsidRPr="00F35F57">
      <w:rPr>
        <w:rStyle w:val="HideTWBExt"/>
      </w:rPr>
      <w:t>&gt;</w:t>
    </w:r>
    <w:r w:rsidRPr="00F35F57">
      <w:t>753.510</w:t>
    </w:r>
    <w:r w:rsidRPr="00F35F57">
      <w:rPr>
        <w:rStyle w:val="HideTWBExt"/>
      </w:rPr>
      <w:t>&lt;/</w:t>
    </w:r>
    <w:proofErr w:type="spellStart"/>
    <w:r w:rsidRPr="00F35F57">
      <w:rPr>
        <w:rStyle w:val="HideTWBExt"/>
      </w:rPr>
      <w:t>NoPE</w:t>
    </w:r>
    <w:proofErr w:type="spellEnd"/>
    <w:r w:rsidRPr="00F35F57">
      <w:rPr>
        <w:rStyle w:val="HideTWBExt"/>
      </w:rPr>
      <w:t>&gt;&lt;Version&gt;</w:t>
    </w:r>
    <w:r w:rsidRPr="00F35F57">
      <w:t>v02-00</w:t>
    </w:r>
    <w:r w:rsidRPr="00F35F57">
      <w:rPr>
        <w:rStyle w:val="HideTWBExt"/>
      </w:rPr>
      <w:t>&lt;/</w:t>
    </w:r>
    <w:proofErr w:type="spellStart"/>
    <w:r w:rsidRPr="00F35F57">
      <w:rPr>
        <w:rStyle w:val="HideTWBExt"/>
      </w:rPr>
      <w:t>Version</w:t>
    </w:r>
    <w:proofErr w:type="spellEnd"/>
    <w:r w:rsidRPr="00F35F57">
      <w:rPr>
        <w:rStyle w:val="HideTWBExt"/>
      </w:rPr>
      <w:t>&gt;</w:t>
    </w:r>
  </w:p>
  <w:p w:rsidR="00437AD0" w:rsidRPr="00F35F57" w:rsidRDefault="00437AD0" w:rsidP="00C32098">
    <w:pPr>
      <w:pStyle w:val="EPFooter2"/>
    </w:pPr>
    <w:r w:rsidRPr="00F35F57">
      <w:t>CS</w:t>
    </w:r>
    <w:r w:rsidRPr="00F35F57">
      <w:tab/>
    </w:r>
    <w:r w:rsidRPr="00F35F57">
      <w:rPr>
        <w:b w:val="0"/>
        <w:i/>
        <w:color w:val="C0C0C0"/>
        <w:sz w:val="22"/>
      </w:rPr>
      <w:t>Jednotná v rozmanitosti</w:t>
    </w:r>
    <w:r w:rsidRPr="00F35F57">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F5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F5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F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A46" w:rsidRPr="00F35F57" w:rsidRDefault="004F2A46">
      <w:r w:rsidRPr="00F35F57">
        <w:separator/>
      </w:r>
    </w:p>
  </w:footnote>
  <w:footnote w:type="continuationSeparator" w:id="0">
    <w:p w:rsidR="004F2A46" w:rsidRPr="00F35F57" w:rsidRDefault="004F2A46">
      <w:r w:rsidRPr="00F35F57">
        <w:continuationSeparator/>
      </w:r>
    </w:p>
  </w:footnote>
  <w:footnote w:id="1">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C C/2023/594, </w:t>
      </w:r>
      <w:proofErr w:type="gramStart"/>
      <w:r w:rsidRPr="00F35F57">
        <w:rPr>
          <w:sz w:val="24"/>
          <w:lang w:val="cs-CZ"/>
        </w:rPr>
        <w:t>27.10.2023</w:t>
      </w:r>
      <w:proofErr w:type="gramEnd"/>
      <w:r w:rsidRPr="00F35F57">
        <w:rPr>
          <w:sz w:val="24"/>
          <w:lang w:val="cs-CZ"/>
        </w:rPr>
        <w:t>.</w:t>
      </w:r>
    </w:p>
  </w:footnote>
  <w:footnote w:id="2">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C C/2023/112, </w:t>
      </w:r>
      <w:proofErr w:type="gramStart"/>
      <w:r w:rsidRPr="00F35F57">
        <w:rPr>
          <w:sz w:val="24"/>
          <w:lang w:val="cs-CZ"/>
        </w:rPr>
        <w:t>12.10.2023</w:t>
      </w:r>
      <w:proofErr w:type="gramEnd"/>
      <w:r w:rsidRPr="00F35F57">
        <w:rPr>
          <w:sz w:val="24"/>
          <w:lang w:val="cs-CZ"/>
        </w:rPr>
        <w:t>.</w:t>
      </w:r>
    </w:p>
  </w:footnote>
  <w:footnote w:id="3">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L 193, </w:t>
      </w:r>
      <w:proofErr w:type="gramStart"/>
      <w:r w:rsidRPr="00F35F57">
        <w:rPr>
          <w:sz w:val="24"/>
          <w:lang w:val="cs-CZ"/>
        </w:rPr>
        <w:t>30.7.2018</w:t>
      </w:r>
      <w:proofErr w:type="gramEnd"/>
      <w:r w:rsidRPr="00F35F57">
        <w:rPr>
          <w:sz w:val="24"/>
          <w:lang w:val="cs-CZ"/>
        </w:rPr>
        <w:t>, s. 1.</w:t>
      </w:r>
    </w:p>
  </w:footnote>
  <w:footnote w:id="4">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L 319, </w:t>
      </w:r>
      <w:proofErr w:type="gramStart"/>
      <w:r w:rsidRPr="00F35F57">
        <w:rPr>
          <w:sz w:val="24"/>
          <w:lang w:val="cs-CZ"/>
        </w:rPr>
        <w:t>4.12.2015</w:t>
      </w:r>
      <w:proofErr w:type="gramEnd"/>
      <w:r w:rsidRPr="00F35F57">
        <w:rPr>
          <w:sz w:val="24"/>
          <w:lang w:val="cs-CZ"/>
        </w:rPr>
        <w:t>, s. 1.</w:t>
      </w:r>
    </w:p>
  </w:footnote>
  <w:footnote w:id="5">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L 122, </w:t>
      </w:r>
      <w:proofErr w:type="gramStart"/>
      <w:r w:rsidRPr="00F35F57">
        <w:rPr>
          <w:sz w:val="24"/>
          <w:lang w:val="cs-CZ"/>
        </w:rPr>
        <w:t>10.5.2019</w:t>
      </w:r>
      <w:proofErr w:type="gramEnd"/>
      <w:r w:rsidRPr="00F35F57">
        <w:rPr>
          <w:sz w:val="24"/>
          <w:lang w:val="cs-CZ"/>
        </w:rPr>
        <w:t>, s. 1.</w:t>
      </w:r>
    </w:p>
  </w:footnote>
  <w:footnote w:id="6">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C C/2023/594, </w:t>
      </w:r>
      <w:proofErr w:type="gramStart"/>
      <w:r w:rsidRPr="00F35F57">
        <w:rPr>
          <w:sz w:val="24"/>
          <w:lang w:val="cs-CZ"/>
        </w:rPr>
        <w:t>27.10.2023</w:t>
      </w:r>
      <w:proofErr w:type="gramEnd"/>
      <w:r w:rsidRPr="00F35F57">
        <w:rPr>
          <w:sz w:val="24"/>
          <w:lang w:val="cs-CZ"/>
        </w:rPr>
        <w:t>.</w:t>
      </w:r>
    </w:p>
  </w:footnote>
  <w:footnote w:id="7">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C C/2023/112, </w:t>
      </w:r>
      <w:proofErr w:type="gramStart"/>
      <w:r w:rsidRPr="00F35F57">
        <w:rPr>
          <w:sz w:val="24"/>
          <w:lang w:val="cs-CZ"/>
        </w:rPr>
        <w:t>12.10.2023</w:t>
      </w:r>
      <w:proofErr w:type="gramEnd"/>
      <w:r w:rsidRPr="00F35F57">
        <w:rPr>
          <w:sz w:val="24"/>
          <w:lang w:val="cs-CZ"/>
        </w:rPr>
        <w:t>.</w:t>
      </w:r>
    </w:p>
  </w:footnote>
  <w:footnote w:id="8">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L 193, </w:t>
      </w:r>
      <w:proofErr w:type="gramStart"/>
      <w:r w:rsidRPr="00F35F57">
        <w:rPr>
          <w:sz w:val="24"/>
          <w:lang w:val="cs-CZ"/>
        </w:rPr>
        <w:t>30.7.2018</w:t>
      </w:r>
      <w:proofErr w:type="gramEnd"/>
      <w:r w:rsidRPr="00F35F57">
        <w:rPr>
          <w:sz w:val="24"/>
          <w:lang w:val="cs-CZ"/>
        </w:rPr>
        <w:t>, s. 1.</w:t>
      </w:r>
    </w:p>
  </w:footnote>
  <w:footnote w:id="9">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L 319, </w:t>
      </w:r>
      <w:proofErr w:type="gramStart"/>
      <w:r w:rsidRPr="00F35F57">
        <w:rPr>
          <w:sz w:val="24"/>
          <w:lang w:val="cs-CZ"/>
        </w:rPr>
        <w:t>4.12.2015</w:t>
      </w:r>
      <w:proofErr w:type="gramEnd"/>
      <w:r w:rsidRPr="00F35F57">
        <w:rPr>
          <w:sz w:val="24"/>
          <w:lang w:val="cs-CZ"/>
        </w:rPr>
        <w:t>, s. 1.</w:t>
      </w:r>
    </w:p>
  </w:footnote>
  <w:footnote w:id="10">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L 122, </w:t>
      </w:r>
      <w:proofErr w:type="gramStart"/>
      <w:r w:rsidRPr="00F35F57">
        <w:rPr>
          <w:sz w:val="24"/>
          <w:lang w:val="cs-CZ"/>
        </w:rPr>
        <w:t>10.5.2019</w:t>
      </w:r>
      <w:proofErr w:type="gramEnd"/>
      <w:r w:rsidRPr="00F35F57">
        <w:rPr>
          <w:sz w:val="24"/>
          <w:lang w:val="cs-CZ"/>
        </w:rPr>
        <w:t>, s. 1.</w:t>
      </w:r>
    </w:p>
  </w:footnote>
  <w:footnote w:id="11">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proofErr w:type="spellStart"/>
      <w:r w:rsidRPr="00F35F57">
        <w:rPr>
          <w:sz w:val="24"/>
          <w:lang w:val="cs-CZ"/>
        </w:rPr>
        <w:t>Úř</w:t>
      </w:r>
      <w:proofErr w:type="spellEnd"/>
      <w:r w:rsidRPr="00F35F57">
        <w:rPr>
          <w:sz w:val="24"/>
          <w:lang w:val="cs-CZ"/>
        </w:rPr>
        <w:t xml:space="preserve">. </w:t>
      </w:r>
      <w:proofErr w:type="spellStart"/>
      <w:proofErr w:type="gramStart"/>
      <w:r w:rsidRPr="00F35F57">
        <w:rPr>
          <w:sz w:val="24"/>
          <w:lang w:val="cs-CZ"/>
        </w:rPr>
        <w:t>věst</w:t>
      </w:r>
      <w:proofErr w:type="spellEnd"/>
      <w:proofErr w:type="gramEnd"/>
      <w:r w:rsidRPr="00F35F57">
        <w:rPr>
          <w:sz w:val="24"/>
          <w:lang w:val="cs-CZ"/>
        </w:rPr>
        <w:t xml:space="preserve">. C 73, </w:t>
      </w:r>
      <w:proofErr w:type="gramStart"/>
      <w:r w:rsidRPr="00F35F57">
        <w:rPr>
          <w:sz w:val="24"/>
          <w:lang w:val="cs-CZ"/>
        </w:rPr>
        <w:t>28.2.2023</w:t>
      </w:r>
      <w:proofErr w:type="gramEnd"/>
      <w:r w:rsidRPr="00F35F57">
        <w:rPr>
          <w:sz w:val="24"/>
          <w:lang w:val="cs-CZ"/>
        </w:rPr>
        <w:t>, s. 44.</w:t>
      </w:r>
    </w:p>
  </w:footnote>
  <w:footnote w:id="12">
    <w:p w:rsidR="00437AD0" w:rsidRPr="00F35F57" w:rsidRDefault="00437AD0" w:rsidP="00F35F57">
      <w:pPr>
        <w:pStyle w:val="FootnoteText"/>
        <w:ind w:left="567" w:hanging="567"/>
        <w:rPr>
          <w:sz w:val="24"/>
          <w:lang w:val="cs-CZ"/>
        </w:rPr>
      </w:pPr>
      <w:r w:rsidRPr="00F35F57">
        <w:rPr>
          <w:rStyle w:val="FootnoteReference"/>
          <w:sz w:val="24"/>
          <w:lang w:val="cs-CZ"/>
        </w:rPr>
        <w:footnoteRef/>
      </w:r>
      <w:r w:rsidR="00F35F57" w:rsidRPr="00F35F57">
        <w:rPr>
          <w:sz w:val="24"/>
          <w:lang w:val="cs-CZ"/>
        </w:rPr>
        <w:t xml:space="preserve"> </w:t>
      </w:r>
      <w:r w:rsidR="00F35F57" w:rsidRPr="00F35F57">
        <w:rPr>
          <w:sz w:val="24"/>
          <w:lang w:val="cs-CZ"/>
        </w:rPr>
        <w:tab/>
      </w:r>
      <w:r w:rsidRPr="00F35F57">
        <w:rPr>
          <w:sz w:val="24"/>
          <w:lang w:val="cs-CZ"/>
        </w:rPr>
        <w:t>Přijaté texty, P9_TA(2024)0</w:t>
      </w:r>
      <w:r w:rsidR="009744AD">
        <w:rPr>
          <w:sz w:val="24"/>
          <w:lang w:val="cs-CZ"/>
        </w:rPr>
        <w:t>28</w:t>
      </w:r>
      <w:r w:rsidRPr="00F35F57">
        <w:rPr>
          <w:sz w:val="24"/>
          <w:lang w:val="cs-CZ"/>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F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F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F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CS"/>
    <w:docVar w:name="dvnumam" w:val="0"/>
    <w:docVar w:name="dvpe" w:val="753.510"/>
    <w:docVar w:name="dvrapporteur" w:val="Zpravodaj: "/>
    <w:docVar w:name="dvtitre" w:val="1. Rozhodnutí Evropského parlamentu ze dne 11. dubna 2024 o udělení absolutoria za plnění rozpočtu Agentury Evropské unie pro vzdělávání a výcvik v oblasti prosazování práva (CEPOL) na rozpočtový rok 2022(2023/2144(DEC))"/>
  </w:docVars>
  <w:rsids>
    <w:rsidRoot w:val="004F2A4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5B2B"/>
    <w:rsid w:val="003E15D4"/>
    <w:rsid w:val="00411CCE"/>
    <w:rsid w:val="0041666E"/>
    <w:rsid w:val="00421060"/>
    <w:rsid w:val="00437AD0"/>
    <w:rsid w:val="00471C19"/>
    <w:rsid w:val="004867E3"/>
    <w:rsid w:val="00494A28"/>
    <w:rsid w:val="004C0004"/>
    <w:rsid w:val="004C5D52"/>
    <w:rsid w:val="004F2A46"/>
    <w:rsid w:val="0050519A"/>
    <w:rsid w:val="005072A1"/>
    <w:rsid w:val="00514517"/>
    <w:rsid w:val="00545827"/>
    <w:rsid w:val="00560270"/>
    <w:rsid w:val="005B7546"/>
    <w:rsid w:val="005C2568"/>
    <w:rsid w:val="006037C0"/>
    <w:rsid w:val="00655EA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4AD"/>
    <w:rsid w:val="009815E4"/>
    <w:rsid w:val="00981893"/>
    <w:rsid w:val="00A1687D"/>
    <w:rsid w:val="00A1690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96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F5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41733"/>
  <w15:chartTrackingRefBased/>
  <w15:docId w15:val="{3C0DE0E0-7A3B-4901-8AC1-25673A1C8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7AD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7AD0"/>
    <w:pPr>
      <w:spacing w:before="480" w:after="240"/>
    </w:pPr>
  </w:style>
  <w:style w:type="paragraph" w:customStyle="1" w:styleId="PageHeading">
    <w:name w:val="PageHeading"/>
    <w:basedOn w:val="Normal"/>
    <w:rsid w:val="00437AD0"/>
    <w:pPr>
      <w:keepNext/>
      <w:spacing w:after="480"/>
      <w:jc w:val="center"/>
    </w:pPr>
    <w:rPr>
      <w:rFonts w:ascii="Arial" w:hAnsi="Arial" w:cs="Arial"/>
      <w:b/>
    </w:rPr>
  </w:style>
  <w:style w:type="paragraph" w:customStyle="1" w:styleId="NormalBold">
    <w:name w:val="NormalBold"/>
    <w:basedOn w:val="Normal"/>
    <w:rsid w:val="00437AD0"/>
    <w:rPr>
      <w:b/>
    </w:rPr>
  </w:style>
  <w:style w:type="paragraph" w:customStyle="1" w:styleId="NormalHanging12a">
    <w:name w:val="NormalHanging12a"/>
    <w:basedOn w:val="Normal"/>
    <w:link w:val="NormalHanging12aChar"/>
    <w:rsid w:val="00437AD0"/>
    <w:pPr>
      <w:spacing w:after="240"/>
      <w:ind w:left="567" w:hanging="567"/>
    </w:pPr>
  </w:style>
  <w:style w:type="paragraph" w:customStyle="1" w:styleId="NormalCenter12a">
    <w:name w:val="NormalCenter12a"/>
    <w:basedOn w:val="Normal"/>
    <w:rsid w:val="00437AD0"/>
    <w:pPr>
      <w:spacing w:after="240"/>
      <w:jc w:val="center"/>
    </w:pPr>
  </w:style>
  <w:style w:type="paragraph" w:styleId="Header">
    <w:name w:val="header"/>
    <w:basedOn w:val="Normal"/>
    <w:link w:val="HeaderChar"/>
    <w:rsid w:val="00437AD0"/>
    <w:pPr>
      <w:tabs>
        <w:tab w:val="center" w:pos="4513"/>
        <w:tab w:val="right" w:pos="9026"/>
      </w:tabs>
    </w:pPr>
  </w:style>
  <w:style w:type="character" w:customStyle="1" w:styleId="HeaderChar">
    <w:name w:val="Header Char"/>
    <w:basedOn w:val="DefaultParagraphFont"/>
    <w:link w:val="Header"/>
    <w:rsid w:val="00437AD0"/>
    <w:rPr>
      <w:sz w:val="24"/>
      <w:lang w:val="cs-CZ"/>
    </w:rPr>
  </w:style>
  <w:style w:type="paragraph" w:customStyle="1" w:styleId="EPFooter">
    <w:name w:val="EPFooter"/>
    <w:basedOn w:val="Normal"/>
    <w:rsid w:val="00437AD0"/>
    <w:pPr>
      <w:tabs>
        <w:tab w:val="center" w:pos="4535"/>
        <w:tab w:val="right" w:pos="9071"/>
      </w:tabs>
      <w:spacing w:before="240" w:after="240"/>
    </w:pPr>
    <w:rPr>
      <w:color w:val="010000"/>
      <w:sz w:val="22"/>
    </w:rPr>
  </w:style>
  <w:style w:type="paragraph" w:styleId="ListParagraph">
    <w:name w:val="List Paragraph"/>
    <w:basedOn w:val="Normal"/>
    <w:uiPriority w:val="34"/>
    <w:qFormat/>
    <w:rsid w:val="00437AD0"/>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437AD0"/>
    <w:rPr>
      <w:sz w:val="24"/>
      <w:lang w:val="cs-CZ"/>
    </w:rPr>
  </w:style>
  <w:style w:type="character" w:customStyle="1" w:styleId="pointer">
    <w:name w:val="pointer"/>
    <w:basedOn w:val="DefaultParagraphFont"/>
    <w:rsid w:val="00437AD0"/>
  </w:style>
  <w:style w:type="paragraph" w:styleId="Footer">
    <w:name w:val="footer"/>
    <w:basedOn w:val="Normal"/>
    <w:link w:val="FooterChar"/>
    <w:rsid w:val="00A16909"/>
    <w:pPr>
      <w:tabs>
        <w:tab w:val="center" w:pos="4513"/>
        <w:tab w:val="right" w:pos="9026"/>
      </w:tabs>
    </w:pPr>
  </w:style>
  <w:style w:type="character" w:customStyle="1" w:styleId="FooterChar">
    <w:name w:val="Footer Char"/>
    <w:basedOn w:val="DefaultParagraphFont"/>
    <w:link w:val="Footer"/>
    <w:rsid w:val="00A1690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51B0B-0EE6-411A-8BA5-424DD0059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4317</Words>
  <Characters>25016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2024-05-15T11:45:00Z</dcterms:created>
  <dcterms:modified xsi:type="dcterms:W3CDTF">2024-05-15T11:45:00Z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P9_TA(2024)0254_</vt:lpwstr>
  </property>
  <property fmtid="{D5CDD505-2E9C-101B-9397-08002B2CF9AE}" pid="4" name="&lt;Type&gt;">
    <vt:lpwstr>RR</vt:lpwstr>
  </property>
</Properties>
</file>