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6A07" w14:paraId="499916A3" w14:textId="77777777" w:rsidTr="0010095E">
        <w:trPr>
          <w:trHeight w:hRule="exact" w:val="1418"/>
        </w:trPr>
        <w:tc>
          <w:tcPr>
            <w:tcW w:w="6804" w:type="dxa"/>
            <w:shd w:val="clear" w:color="auto" w:fill="auto"/>
            <w:vAlign w:val="center"/>
          </w:tcPr>
          <w:p w14:paraId="0055DAFA" w14:textId="77777777" w:rsidR="00751A4A" w:rsidRPr="00636A07" w:rsidRDefault="0019463F" w:rsidP="0010095E">
            <w:pPr>
              <w:pStyle w:val="EPName"/>
            </w:pPr>
            <w:r w:rsidRPr="00636A07">
              <w:t>Europa-Parlamentet</w:t>
            </w:r>
          </w:p>
          <w:p w14:paraId="78BE47FD" w14:textId="77777777" w:rsidR="00751A4A" w:rsidRPr="00636A07" w:rsidRDefault="00817416" w:rsidP="00756632">
            <w:pPr>
              <w:pStyle w:val="EPTerm"/>
              <w:rPr>
                <w:rStyle w:val="HideTWBExt"/>
                <w:noProof w:val="0"/>
                <w:vanish w:val="0"/>
                <w:color w:val="auto"/>
              </w:rPr>
            </w:pPr>
            <w:r w:rsidRPr="00636A07">
              <w:t>2019-2024</w:t>
            </w:r>
          </w:p>
        </w:tc>
        <w:tc>
          <w:tcPr>
            <w:tcW w:w="2268" w:type="dxa"/>
            <w:shd w:val="clear" w:color="auto" w:fill="auto"/>
          </w:tcPr>
          <w:p w14:paraId="36DCA455" w14:textId="77777777" w:rsidR="00751A4A" w:rsidRPr="00636A07" w:rsidRDefault="00187494" w:rsidP="0010095E">
            <w:pPr>
              <w:pStyle w:val="EPLogo"/>
            </w:pPr>
            <w:r w:rsidRPr="00636A07">
              <w:rPr>
                <w:noProof/>
                <w:lang w:eastAsia="da-DK"/>
              </w:rPr>
              <w:drawing>
                <wp:inline distT="0" distB="0" distL="0" distR="0" wp14:anchorId="60557033" wp14:editId="48BE50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06492E" w14:textId="77777777" w:rsidR="00D058B8" w:rsidRPr="00636A07" w:rsidRDefault="00D058B8" w:rsidP="004C5D52">
      <w:pPr>
        <w:pStyle w:val="LineTop"/>
      </w:pPr>
    </w:p>
    <w:p w14:paraId="393214A5" w14:textId="77777777" w:rsidR="00680577" w:rsidRPr="00636A07" w:rsidRDefault="0019463F" w:rsidP="00680577">
      <w:pPr>
        <w:pStyle w:val="EPBodyTA1"/>
      </w:pPr>
      <w:r w:rsidRPr="00636A07">
        <w:t>VEDTAGNE TEKSTER</w:t>
      </w:r>
    </w:p>
    <w:p w14:paraId="514EDADA" w14:textId="77777777" w:rsidR="00D058B8" w:rsidRPr="00636A07" w:rsidRDefault="00D058B8" w:rsidP="00D058B8">
      <w:pPr>
        <w:pStyle w:val="LineBottom"/>
      </w:pPr>
    </w:p>
    <w:p w14:paraId="592EC006" w14:textId="45AF4308" w:rsidR="0019463F" w:rsidRPr="00636A07" w:rsidRDefault="0019463F" w:rsidP="0019463F">
      <w:pPr>
        <w:pStyle w:val="ATHeading1"/>
      </w:pPr>
      <w:bookmarkStart w:id="0" w:name="TANumber"/>
      <w:r w:rsidRPr="00636A07">
        <w:t>P9_TA(2024)0</w:t>
      </w:r>
      <w:bookmarkEnd w:id="0"/>
      <w:r w:rsidR="00FF6C1F">
        <w:t>254</w:t>
      </w:r>
    </w:p>
    <w:p w14:paraId="7189966B" w14:textId="77777777" w:rsidR="0019463F" w:rsidRPr="00636A07" w:rsidRDefault="0091258B" w:rsidP="0019463F">
      <w:pPr>
        <w:pStyle w:val="ATHeading2"/>
      </w:pPr>
      <w:r w:rsidRPr="0091258B">
        <w:t>Decharge 2022: Den Europæiske Unions Agentur for Uddannelse in</w:t>
      </w:r>
      <w:r>
        <w:t>den for Retshåndhævelse (Cepol)</w:t>
      </w:r>
    </w:p>
    <w:p w14:paraId="465C8AD2" w14:textId="77777777" w:rsidR="0019463F" w:rsidRPr="00636A07" w:rsidRDefault="0019463F" w:rsidP="0019463F">
      <w:pPr>
        <w:rPr>
          <w:i/>
          <w:vanish/>
        </w:rPr>
      </w:pPr>
      <w:r w:rsidRPr="00636A07">
        <w:rPr>
          <w:i/>
        </w:rPr>
        <w:fldChar w:fldCharType="begin"/>
      </w:r>
      <w:r w:rsidRPr="00636A07">
        <w:rPr>
          <w:i/>
        </w:rPr>
        <w:instrText xml:space="preserve"> TC"(</w:instrText>
      </w:r>
      <w:bookmarkStart w:id="1" w:name="DocNumber"/>
      <w:r w:rsidRPr="00636A07">
        <w:rPr>
          <w:i/>
        </w:rPr>
        <w:instrText>A9-0098/2024</w:instrText>
      </w:r>
      <w:bookmarkEnd w:id="1"/>
      <w:r w:rsidRPr="00636A07">
        <w:rPr>
          <w:i/>
        </w:rPr>
        <w:instrText xml:space="preserve"> - Ordfører: Petri Sarvamaa)"\l3 \n&gt; \* MERGEFORMAT </w:instrText>
      </w:r>
      <w:r w:rsidRPr="00636A07">
        <w:rPr>
          <w:i/>
        </w:rPr>
        <w:fldChar w:fldCharType="end"/>
      </w:r>
    </w:p>
    <w:p w14:paraId="67466F2E" w14:textId="77777777" w:rsidR="0019463F" w:rsidRPr="00636A07" w:rsidRDefault="0019463F" w:rsidP="0019463F">
      <w:pPr>
        <w:rPr>
          <w:vanish/>
        </w:rPr>
      </w:pPr>
      <w:bookmarkStart w:id="2" w:name="Commission"/>
      <w:r w:rsidRPr="00636A07">
        <w:rPr>
          <w:vanish/>
        </w:rPr>
        <w:t>Budgetkontroludvalget</w:t>
      </w:r>
      <w:bookmarkEnd w:id="2"/>
    </w:p>
    <w:p w14:paraId="14243033" w14:textId="77777777" w:rsidR="0019463F" w:rsidRPr="00636A07" w:rsidRDefault="0019463F" w:rsidP="0019463F">
      <w:pPr>
        <w:rPr>
          <w:vanish/>
        </w:rPr>
      </w:pPr>
      <w:bookmarkStart w:id="3" w:name="PE"/>
      <w:r w:rsidRPr="00636A07">
        <w:rPr>
          <w:vanish/>
        </w:rPr>
        <w:t>PE753.510</w:t>
      </w:r>
      <w:bookmarkEnd w:id="3"/>
    </w:p>
    <w:p w14:paraId="4B59CB00" w14:textId="77777777" w:rsidR="0019463F" w:rsidRPr="00636A07" w:rsidRDefault="008B4B1C" w:rsidP="0019463F">
      <w:pPr>
        <w:pStyle w:val="ATHeading3"/>
      </w:pPr>
      <w:bookmarkStart w:id="4" w:name="Sujet"/>
      <w:r>
        <w:t xml:space="preserve">1. </w:t>
      </w:r>
      <w:r w:rsidRPr="009574E6">
        <w:t xml:space="preserve">Europa-Parlamentets </w:t>
      </w:r>
      <w:r>
        <w:t xml:space="preserve">afgørelse af 11. april 2024 </w:t>
      </w:r>
      <w:r w:rsidRPr="009574E6">
        <w:t>om decharge</w:t>
      </w:r>
      <w:r w:rsidR="0019463F" w:rsidRPr="00636A07">
        <w:t xml:space="preserve"> for gennemførelsen af budgettet for Den Europæiske Unions Agentur for Uddannelse inden for Retshåndhævelse (Cepol) for regnskabsåret 2022</w:t>
      </w:r>
      <w:bookmarkEnd w:id="4"/>
      <w:r w:rsidR="0019463F" w:rsidRPr="00636A07">
        <w:t xml:space="preserve"> </w:t>
      </w:r>
      <w:bookmarkStart w:id="5" w:name="References"/>
      <w:r w:rsidR="0019463F" w:rsidRPr="00636A07">
        <w:t>(2023/2144(DEC))</w:t>
      </w:r>
      <w:bookmarkEnd w:id="5"/>
    </w:p>
    <w:p w14:paraId="4ECD9ADD" w14:textId="77777777" w:rsidR="00CF70C8" w:rsidRPr="00636A07" w:rsidRDefault="00CF70C8" w:rsidP="00CF70C8">
      <w:pPr>
        <w:pStyle w:val="EPComma"/>
      </w:pPr>
      <w:bookmarkStart w:id="6" w:name="TextBodyBegin"/>
      <w:bookmarkEnd w:id="6"/>
      <w:r w:rsidRPr="00636A07">
        <w:rPr>
          <w:i/>
        </w:rPr>
        <w:t>Europa-Parlamentet</w:t>
      </w:r>
      <w:r w:rsidRPr="00636A07">
        <w:t>,</w:t>
      </w:r>
    </w:p>
    <w:p w14:paraId="40BADE49" w14:textId="77777777" w:rsidR="00CF70C8" w:rsidRPr="00636A07" w:rsidRDefault="00CF70C8" w:rsidP="00CF70C8">
      <w:pPr>
        <w:pStyle w:val="NormalHanging12a"/>
      </w:pPr>
      <w:r w:rsidRPr="00636A07">
        <w:t>–</w:t>
      </w:r>
      <w:r w:rsidRPr="00636A07">
        <w:tab/>
        <w:t>der henviser til det endelige årsregnskab for Den Europæiske Unions Agentur for Uddannelse inden for Retshåndhævelse (Cepol) for regnskabsåret 2022,</w:t>
      </w:r>
    </w:p>
    <w:p w14:paraId="5BEE73BB" w14:textId="77777777" w:rsidR="00CF70C8" w:rsidRPr="00636A07" w:rsidRDefault="00CF70C8" w:rsidP="00CF70C8">
      <w:pPr>
        <w:pStyle w:val="NormalHanging12a"/>
      </w:pPr>
      <w:r w:rsidRPr="00636A07">
        <w:t>–</w:t>
      </w:r>
      <w:r w:rsidRPr="00636A07">
        <w:tab/>
        <w:t>der henviser til Revisionsrettens årsberetning om EU-agenturerne for regnskabsåret 2022, med agenturernes svar</w:t>
      </w:r>
      <w:r w:rsidRPr="00636A07">
        <w:rPr>
          <w:rStyle w:val="FootnoteReference"/>
        </w:rPr>
        <w:footnoteReference w:id="1"/>
      </w:r>
      <w:r w:rsidRPr="00636A07">
        <w:t>,</w:t>
      </w:r>
    </w:p>
    <w:p w14:paraId="65DAA546" w14:textId="77777777" w:rsidR="00CF70C8" w:rsidRPr="00636A07" w:rsidRDefault="00CF70C8" w:rsidP="00CF70C8">
      <w:pPr>
        <w:pStyle w:val="NormalHanging12a"/>
      </w:pPr>
      <w:r w:rsidRPr="00636A07">
        <w:t>–</w:t>
      </w:r>
      <w:r w:rsidRPr="00636A07">
        <w:tab/>
        <w:t>der henviser til Revisionsrettens erklæring for regnskabsåret 2022 om regnskabernes rigtighed og de underliggende transaktioners lovlighed og formelle rigtighed</w:t>
      </w:r>
      <w:r w:rsidRPr="00636A07">
        <w:rPr>
          <w:rStyle w:val="FootnoteReference"/>
        </w:rPr>
        <w:footnoteReference w:id="2"/>
      </w:r>
      <w:r w:rsidRPr="00636A07">
        <w:t>, jf. artikel 287 i traktaten om Den Europæiske Unions funktionsmåde,</w:t>
      </w:r>
    </w:p>
    <w:p w14:paraId="10034E31" w14:textId="6C0E850C" w:rsidR="00CF70C8" w:rsidRPr="00636A07" w:rsidRDefault="00CF70C8" w:rsidP="00CF70C8">
      <w:pPr>
        <w:pStyle w:val="NormalHanging12a"/>
      </w:pPr>
      <w:r w:rsidRPr="00636A07">
        <w:t>–</w:t>
      </w:r>
      <w:r w:rsidRPr="00636A07">
        <w:tab/>
        <w:t>der henviser til Rådets henstilling af 22. februar 2024 om decharge til agenturet for gennemførelsen af budgettet for regnskabsåret 2022 (</w:t>
      </w:r>
      <w:r w:rsidR="00431D17" w:rsidRPr="00FD58F5">
        <w:t>06180</w:t>
      </w:r>
      <w:r w:rsidRPr="00636A07">
        <w:t>/2024 – C9</w:t>
      </w:r>
      <w:r w:rsidRPr="00636A07">
        <w:noBreakHyphen/>
        <w:t>00</w:t>
      </w:r>
      <w:r w:rsidR="00431D17">
        <w:t>82</w:t>
      </w:r>
      <w:r w:rsidRPr="00636A07">
        <w:t>/2024),</w:t>
      </w:r>
    </w:p>
    <w:p w14:paraId="69DB6685" w14:textId="77777777" w:rsidR="00CF70C8" w:rsidRPr="00636A07" w:rsidRDefault="00CF70C8" w:rsidP="00CF70C8">
      <w:pPr>
        <w:pStyle w:val="NormalHanging12a"/>
      </w:pPr>
      <w:r w:rsidRPr="00636A07">
        <w:t>–</w:t>
      </w:r>
      <w:r w:rsidRPr="00636A07">
        <w:tab/>
        <w:t>der henviser til artikel 319 i traktaten om Den Europæiske Unions funktionsmåde,</w:t>
      </w:r>
    </w:p>
    <w:p w14:paraId="20F8E96A" w14:textId="77777777" w:rsidR="00CF70C8" w:rsidRPr="00636A07" w:rsidRDefault="00CF70C8" w:rsidP="00CF70C8">
      <w:pPr>
        <w:pStyle w:val="NormalHanging12a"/>
      </w:pPr>
      <w:r w:rsidRPr="00636A07">
        <w:t>–</w:t>
      </w:r>
      <w:r w:rsidRPr="00636A0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636A07">
        <w:rPr>
          <w:rStyle w:val="FootnoteReference"/>
        </w:rPr>
        <w:footnoteReference w:id="3"/>
      </w:r>
      <w:r w:rsidRPr="00636A07">
        <w:t>, særlig artikel 70,</w:t>
      </w:r>
    </w:p>
    <w:p w14:paraId="081F4CF8" w14:textId="77777777" w:rsidR="00CF70C8" w:rsidRPr="00636A07" w:rsidRDefault="00CF70C8" w:rsidP="00CF70C8">
      <w:pPr>
        <w:pStyle w:val="NormalHanging12a"/>
      </w:pPr>
      <w:r w:rsidRPr="00636A07">
        <w:t>–</w:t>
      </w:r>
      <w:r w:rsidRPr="00636A07">
        <w:tab/>
        <w:t xml:space="preserve">der henviser til Europa-Parlamentets og Rådets forordning (EU) 2015/2219 af </w:t>
      </w:r>
      <w:r w:rsidRPr="00636A07">
        <w:lastRenderedPageBreak/>
        <w:t>25. november 2015 om Den Europæiske Unions Agentur for Uddannelse inden for Retshåndhævelse (Cepol) og om erstatning og ophævelse af Rådets afgørelse 2005/681/RIA</w:t>
      </w:r>
      <w:r w:rsidRPr="00636A07">
        <w:rPr>
          <w:rStyle w:val="FootnoteReference"/>
        </w:rPr>
        <w:footnoteReference w:id="4"/>
      </w:r>
      <w:r w:rsidRPr="00636A07">
        <w:t>, særlig artikel 20,</w:t>
      </w:r>
    </w:p>
    <w:p w14:paraId="33D8882E" w14:textId="77777777" w:rsidR="00CF70C8" w:rsidRPr="00636A07" w:rsidRDefault="00CF70C8" w:rsidP="00CF70C8">
      <w:pPr>
        <w:pStyle w:val="NormalHanging12a"/>
      </w:pPr>
      <w:r w:rsidRPr="00636A07">
        <w:t>–</w:t>
      </w:r>
      <w:r w:rsidRPr="00636A0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636A07">
        <w:rPr>
          <w:rStyle w:val="FootnoteReference"/>
        </w:rPr>
        <w:footnoteReference w:id="5"/>
      </w:r>
      <w:r w:rsidRPr="00636A07">
        <w:t>, særlig artikel 105,</w:t>
      </w:r>
    </w:p>
    <w:p w14:paraId="14ED2E7F" w14:textId="77777777" w:rsidR="00CF70C8" w:rsidRPr="00636A07" w:rsidRDefault="00CF70C8" w:rsidP="00CF70C8">
      <w:pPr>
        <w:pStyle w:val="NormalHanging12a"/>
      </w:pPr>
      <w:r w:rsidRPr="00636A07">
        <w:t>–</w:t>
      </w:r>
      <w:r w:rsidRPr="00636A07">
        <w:tab/>
        <w:t>der henviser til forretningsordenens artikel 100 og bilag V,</w:t>
      </w:r>
    </w:p>
    <w:p w14:paraId="6A1D732F" w14:textId="77777777" w:rsidR="00CF70C8" w:rsidRPr="00636A07" w:rsidRDefault="00CF70C8" w:rsidP="00CF70C8">
      <w:pPr>
        <w:pStyle w:val="NormalHanging12a"/>
      </w:pPr>
      <w:r w:rsidRPr="00636A07">
        <w:t>–</w:t>
      </w:r>
      <w:r w:rsidRPr="00636A07">
        <w:tab/>
        <w:t>der henviser til udtalelse fra Udvalget om Borgernes Rettigheder og Retlige og Indre Anliggender,</w:t>
      </w:r>
    </w:p>
    <w:p w14:paraId="06D8C2FF" w14:textId="77777777" w:rsidR="00CF70C8" w:rsidRPr="00636A07" w:rsidRDefault="00CF70C8" w:rsidP="00CF70C8">
      <w:pPr>
        <w:pStyle w:val="NormalHanging12a"/>
      </w:pPr>
      <w:r w:rsidRPr="00636A07">
        <w:t>–</w:t>
      </w:r>
      <w:r w:rsidRPr="00636A07">
        <w:tab/>
        <w:t>der henviser til betænkning fra Budgetkontroludvalget (A9-0098/2024),</w:t>
      </w:r>
    </w:p>
    <w:p w14:paraId="44BD59D9" w14:textId="77777777" w:rsidR="00CF70C8" w:rsidRPr="00636A07" w:rsidRDefault="00CF70C8" w:rsidP="00CF70C8">
      <w:pPr>
        <w:pStyle w:val="NormalHanging12a"/>
      </w:pPr>
      <w:r w:rsidRPr="00636A07">
        <w:t>1.</w:t>
      </w:r>
      <w:r w:rsidRPr="00636A07">
        <w:tab/>
        <w:t>meddeler den administrerende direktør for Den Europæiske Unions Agentur for Uddannelse inden for Retshåndhævelse (Cepol) decharge for gennemførelsen af agenturets budget for regnskabsåret 2022;</w:t>
      </w:r>
    </w:p>
    <w:p w14:paraId="2F2CAFED" w14:textId="77777777" w:rsidR="00CF70C8" w:rsidRPr="00636A07" w:rsidRDefault="00CF70C8" w:rsidP="00CF70C8">
      <w:pPr>
        <w:pStyle w:val="NormalHanging12a"/>
      </w:pPr>
      <w:r w:rsidRPr="00636A07">
        <w:t>2.</w:t>
      </w:r>
      <w:r w:rsidRPr="00636A07">
        <w:tab/>
        <w:t>fremsætter sine bemærkninger i nedenstående beslutning;</w:t>
      </w:r>
    </w:p>
    <w:p w14:paraId="6065E59F" w14:textId="77777777" w:rsidR="00CF70C8" w:rsidRPr="00636A07" w:rsidRDefault="00CF70C8" w:rsidP="00CF70C8">
      <w:pPr>
        <w:pStyle w:val="NormalHanging12a"/>
      </w:pPr>
      <w:r w:rsidRPr="00636A07">
        <w:t>3.</w:t>
      </w:r>
      <w:r w:rsidRPr="00636A07">
        <w:tab/>
        <w:t xml:space="preserve">pålægger sin formand at sende denne afgørelse og beslutningen, der er en integrerende del heraf, til den administrerende direktør for Den Europæiske Unions Agentur for Uddannelse inden for Retshåndhævelse (Cepol), Rådet, Kommissionen og Revisionsretten og drage omsorg for, at de offentliggøres i </w:t>
      </w:r>
      <w:r w:rsidRPr="00636A07">
        <w:rPr>
          <w:i/>
          <w:iCs/>
        </w:rPr>
        <w:t>Den Europæiske Unions Tidende</w:t>
      </w:r>
      <w:r w:rsidRPr="00636A07">
        <w:t xml:space="preserve"> (L-udgaven).</w:t>
      </w:r>
    </w:p>
    <w:p w14:paraId="4026EC63" w14:textId="77777777" w:rsidR="00CF70C8" w:rsidRPr="00636A07" w:rsidRDefault="00CF70C8" w:rsidP="00CF70C8"/>
    <w:p w14:paraId="304773D3" w14:textId="77777777" w:rsidR="00CF70C8" w:rsidRPr="00636A07" w:rsidRDefault="00CF70C8" w:rsidP="00CF70C8">
      <w:pPr>
        <w:widowControl/>
        <w:rPr>
          <w:rFonts w:ascii="Arial" w:hAnsi="Arial" w:cs="Arial"/>
          <w:b/>
        </w:rPr>
        <w:sectPr w:rsidR="00CF70C8" w:rsidRPr="00636A07" w:rsidSect="00636A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403321AC" w14:textId="77777777" w:rsidR="008B4B1C" w:rsidRPr="009574E6" w:rsidRDefault="008B4B1C" w:rsidP="008B4B1C">
      <w:pPr>
        <w:pStyle w:val="ATHeading3"/>
      </w:pPr>
      <w:r>
        <w:lastRenderedPageBreak/>
        <w:t xml:space="preserve">2. </w:t>
      </w:r>
      <w:r w:rsidRPr="009574E6">
        <w:t xml:space="preserve">Europa-Parlamentets afgørelse af </w:t>
      </w:r>
      <w:r>
        <w:t>11. april 2024</w:t>
      </w:r>
      <w:r w:rsidRPr="009574E6">
        <w:t xml:space="preserve"> </w:t>
      </w:r>
      <w:r w:rsidRPr="00636A07">
        <w:t>om afslutning af regnskaberne for Den Europæiske Unions Agentur for Uddannelse inden for Retshåndhævelse (Cepol) for regnskabsåret 2022</w:t>
      </w:r>
      <w:r>
        <w:t xml:space="preserve"> </w:t>
      </w:r>
      <w:r w:rsidRPr="00636A07">
        <w:t>(2023/2144(DEC))</w:t>
      </w:r>
    </w:p>
    <w:p w14:paraId="049F89EC" w14:textId="77777777" w:rsidR="00CF70C8" w:rsidRPr="00636A07" w:rsidRDefault="00CF70C8" w:rsidP="00CF70C8">
      <w:pPr>
        <w:pStyle w:val="EPComma"/>
      </w:pPr>
      <w:r w:rsidRPr="00636A07">
        <w:rPr>
          <w:i/>
          <w:iCs/>
        </w:rPr>
        <w:t>Europa-Parlamentet</w:t>
      </w:r>
      <w:r w:rsidRPr="00636A07">
        <w:t>,</w:t>
      </w:r>
    </w:p>
    <w:p w14:paraId="777ACC51" w14:textId="77777777" w:rsidR="00CF70C8" w:rsidRPr="00636A07" w:rsidRDefault="00CF70C8" w:rsidP="00CF70C8">
      <w:pPr>
        <w:pStyle w:val="NormalHanging12a"/>
      </w:pPr>
      <w:r w:rsidRPr="00636A07">
        <w:t>–</w:t>
      </w:r>
      <w:r w:rsidRPr="00636A07">
        <w:tab/>
        <w:t>der henviser til det endelige årsregnskab for Den Europæiske Unions Agentur for Uddannelse inden for Retshåndhævelse (Cepol) for regnskabsåret 2022,</w:t>
      </w:r>
    </w:p>
    <w:p w14:paraId="3CFD385C" w14:textId="77777777" w:rsidR="00CF70C8" w:rsidRPr="00636A07" w:rsidRDefault="00CF70C8" w:rsidP="00CF70C8">
      <w:pPr>
        <w:pStyle w:val="NormalHanging12a"/>
      </w:pPr>
      <w:r w:rsidRPr="00636A07">
        <w:t>–</w:t>
      </w:r>
      <w:r w:rsidRPr="00636A07">
        <w:tab/>
        <w:t>der henviser til Revisionsrettens årsberetning om EU-agenturerne for regnskabsåret 2022, med agenturernes svar</w:t>
      </w:r>
      <w:r w:rsidRPr="00636A07">
        <w:rPr>
          <w:rStyle w:val="FootnoteReference"/>
        </w:rPr>
        <w:footnoteReference w:id="6"/>
      </w:r>
      <w:r w:rsidRPr="00636A07">
        <w:t>,</w:t>
      </w:r>
    </w:p>
    <w:p w14:paraId="596801DA" w14:textId="77777777" w:rsidR="00CF70C8" w:rsidRPr="00636A07" w:rsidRDefault="00CF70C8" w:rsidP="00CF70C8">
      <w:pPr>
        <w:pStyle w:val="NormalHanging12a"/>
      </w:pPr>
      <w:r w:rsidRPr="00636A07">
        <w:t>–</w:t>
      </w:r>
      <w:r w:rsidRPr="00636A07">
        <w:tab/>
        <w:t>der henviser til Revisionsrettens erklæring for regnskabsåret 2022 om regnskabernes rigtighed og de underliggende transaktioners lovlighed og formelle rigtighed</w:t>
      </w:r>
      <w:r w:rsidRPr="00636A07">
        <w:rPr>
          <w:rStyle w:val="FootnoteReference"/>
        </w:rPr>
        <w:footnoteReference w:id="7"/>
      </w:r>
      <w:r w:rsidRPr="00636A07">
        <w:t>, jf. artikel 287 i traktaten om Den Europæiske Unions funktionsmåde,</w:t>
      </w:r>
    </w:p>
    <w:p w14:paraId="061BFFA3" w14:textId="680C60FA" w:rsidR="00CF70C8" w:rsidRPr="00636A07" w:rsidRDefault="00CF70C8" w:rsidP="00CF70C8">
      <w:pPr>
        <w:pStyle w:val="NormalHanging12a"/>
      </w:pPr>
      <w:r w:rsidRPr="00636A07">
        <w:t>–</w:t>
      </w:r>
      <w:r w:rsidRPr="00636A07">
        <w:tab/>
        <w:t>der henviser til Rådets henstilling af 22. februar 2024 om decharge til agenturet for gennemførelsen af budgettet for regnskabsåret 2022 (</w:t>
      </w:r>
      <w:r w:rsidR="00431D17" w:rsidRPr="00FD58F5">
        <w:t>06180</w:t>
      </w:r>
      <w:r w:rsidRPr="00636A07">
        <w:t>/2024 – C9</w:t>
      </w:r>
      <w:r w:rsidRPr="00636A07">
        <w:noBreakHyphen/>
        <w:t>00</w:t>
      </w:r>
      <w:r w:rsidR="00431D17">
        <w:t>82</w:t>
      </w:r>
      <w:r w:rsidRPr="00636A07">
        <w:t>/2024),</w:t>
      </w:r>
    </w:p>
    <w:p w14:paraId="7B2AB1DB" w14:textId="77777777" w:rsidR="00CF70C8" w:rsidRPr="00636A07" w:rsidRDefault="00CF70C8" w:rsidP="00CF70C8">
      <w:pPr>
        <w:pStyle w:val="NormalHanging12a"/>
      </w:pPr>
      <w:r w:rsidRPr="00636A07">
        <w:t>–</w:t>
      </w:r>
      <w:r w:rsidRPr="00636A07">
        <w:tab/>
        <w:t>der henviser til artikel 319 i traktaten om Den Europæiske Unions funktionsmåde,</w:t>
      </w:r>
    </w:p>
    <w:p w14:paraId="2FF60DC1" w14:textId="77777777" w:rsidR="00CF70C8" w:rsidRPr="00636A07" w:rsidRDefault="00CF70C8" w:rsidP="00CF70C8">
      <w:pPr>
        <w:pStyle w:val="NormalHanging12a"/>
      </w:pPr>
      <w:r w:rsidRPr="00636A07">
        <w:t>–</w:t>
      </w:r>
      <w:r w:rsidRPr="00636A0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636A07">
        <w:rPr>
          <w:rStyle w:val="FootnoteReference"/>
        </w:rPr>
        <w:footnoteReference w:id="8"/>
      </w:r>
      <w:r w:rsidRPr="00636A07">
        <w:t>, særlig artikel 70,</w:t>
      </w:r>
    </w:p>
    <w:p w14:paraId="0D7A6DDF" w14:textId="77777777" w:rsidR="00CF70C8" w:rsidRPr="00636A07" w:rsidRDefault="00CF70C8" w:rsidP="00CF70C8">
      <w:pPr>
        <w:pStyle w:val="NormalHanging12a"/>
      </w:pPr>
      <w:r w:rsidRPr="00636A07">
        <w:t>–</w:t>
      </w:r>
      <w:r w:rsidRPr="00636A07">
        <w:tab/>
        <w:t>der henviser til Europa-Parlamentets og Rådets forordning (EU) 2015/2219 af 25. november 2015 om Den Europæiske Unions Agentur for Uddannelse inden for Retshåndhævelse (Cepol) og om erstatning og ophævelse af Rådets afgørelse 2005/681/RIA</w:t>
      </w:r>
      <w:r w:rsidRPr="00636A07">
        <w:rPr>
          <w:rStyle w:val="FootnoteReference"/>
        </w:rPr>
        <w:footnoteReference w:id="9"/>
      </w:r>
      <w:r w:rsidRPr="00636A07">
        <w:t>, særlig artikel 20,</w:t>
      </w:r>
    </w:p>
    <w:p w14:paraId="2CD5C5CD" w14:textId="77777777" w:rsidR="00CF70C8" w:rsidRPr="00636A07" w:rsidRDefault="00CF70C8" w:rsidP="00CF70C8">
      <w:pPr>
        <w:pStyle w:val="NormalHanging12a"/>
      </w:pPr>
      <w:r w:rsidRPr="00636A07">
        <w:t>–</w:t>
      </w:r>
      <w:r w:rsidRPr="00636A0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636A07">
        <w:rPr>
          <w:rStyle w:val="FootnoteReference"/>
        </w:rPr>
        <w:footnoteReference w:id="10"/>
      </w:r>
      <w:r w:rsidRPr="00636A07">
        <w:t>, særlig artikel 105,</w:t>
      </w:r>
    </w:p>
    <w:p w14:paraId="20120F62" w14:textId="77777777" w:rsidR="00CF70C8" w:rsidRPr="00636A07" w:rsidRDefault="00CF70C8" w:rsidP="00CF70C8">
      <w:pPr>
        <w:pStyle w:val="NormalHanging12a"/>
      </w:pPr>
      <w:r w:rsidRPr="00636A07">
        <w:t>–</w:t>
      </w:r>
      <w:r w:rsidRPr="00636A07">
        <w:tab/>
        <w:t>der henviser til forretningsordenens artikel 100 og bilag V,</w:t>
      </w:r>
    </w:p>
    <w:p w14:paraId="6FE4E822" w14:textId="77777777" w:rsidR="00CF70C8" w:rsidRPr="00636A07" w:rsidRDefault="00CF70C8" w:rsidP="00CF70C8">
      <w:pPr>
        <w:pStyle w:val="NormalHanging12a"/>
      </w:pPr>
      <w:r w:rsidRPr="00636A07">
        <w:t>–</w:t>
      </w:r>
      <w:r w:rsidRPr="00636A07">
        <w:tab/>
        <w:t>der henviser til udtalelse fra Udvalget om Borgernes Rettigheder og Retlige og Indre Anliggender,</w:t>
      </w:r>
    </w:p>
    <w:p w14:paraId="3BAA4FC5" w14:textId="77777777" w:rsidR="00CF70C8" w:rsidRPr="00636A07" w:rsidRDefault="00CF70C8" w:rsidP="00CF70C8">
      <w:pPr>
        <w:pStyle w:val="NormalHanging12a"/>
      </w:pPr>
      <w:r w:rsidRPr="00636A07">
        <w:t>–</w:t>
      </w:r>
      <w:r w:rsidRPr="00636A07">
        <w:tab/>
        <w:t>der henviser til betænkning fra Budgetkontroludvalget (A9-0098/2024),</w:t>
      </w:r>
    </w:p>
    <w:p w14:paraId="0FC3164E" w14:textId="77777777" w:rsidR="00CF70C8" w:rsidRPr="00636A07" w:rsidRDefault="00CF70C8" w:rsidP="00CF70C8">
      <w:pPr>
        <w:pStyle w:val="NormalHanging12a"/>
      </w:pPr>
      <w:r w:rsidRPr="00636A07">
        <w:t>1.</w:t>
      </w:r>
      <w:r w:rsidRPr="00636A07">
        <w:tab/>
        <w:t xml:space="preserve">godkender afslutningen af regnskaberne for Den Europæiske Unions Agentur for </w:t>
      </w:r>
      <w:r w:rsidRPr="00636A07">
        <w:lastRenderedPageBreak/>
        <w:t>Uddannelse inden for Retshåndhævelse (Cepol) for regnskabsåret 2022;</w:t>
      </w:r>
    </w:p>
    <w:p w14:paraId="4A3B6ABA" w14:textId="77777777" w:rsidR="00CF70C8" w:rsidRPr="00636A07" w:rsidRDefault="00CF70C8" w:rsidP="00CF70C8">
      <w:pPr>
        <w:pStyle w:val="NormalHanging12a"/>
      </w:pPr>
      <w:r w:rsidRPr="00636A07">
        <w:t>2.</w:t>
      </w:r>
      <w:r w:rsidRPr="00636A07">
        <w:tab/>
        <w:t xml:space="preserve">pålægger sin formand at sende denne afgørelse til den administrerende direktør for Den Europæiske Unions Agentur for Uddannelse inden for Retshåndhævelse (Cepol), Rådet, Kommissionen og Revisionsretten og drage omsorg for, at den offentliggøres i </w:t>
      </w:r>
      <w:r w:rsidRPr="00636A07">
        <w:rPr>
          <w:i/>
          <w:iCs/>
        </w:rPr>
        <w:t>Den Europæiske Unions Tidende</w:t>
      </w:r>
      <w:r w:rsidRPr="00636A07">
        <w:t xml:space="preserve"> (L-udgaven).</w:t>
      </w:r>
    </w:p>
    <w:p w14:paraId="647A4AD8" w14:textId="77777777" w:rsidR="00CF70C8" w:rsidRPr="00636A07" w:rsidRDefault="00CF70C8" w:rsidP="00CF70C8"/>
    <w:p w14:paraId="4296222D" w14:textId="77777777" w:rsidR="00CF70C8" w:rsidRPr="00636A07" w:rsidRDefault="00CF70C8" w:rsidP="00CF70C8">
      <w:pPr>
        <w:widowControl/>
        <w:rPr>
          <w:rFonts w:ascii="Arial" w:hAnsi="Arial" w:cs="Arial"/>
          <w:b/>
        </w:rPr>
        <w:sectPr w:rsidR="00CF70C8" w:rsidRPr="00636A07" w:rsidSect="00636A07">
          <w:footnotePr>
            <w:numRestart w:val="eachPage"/>
          </w:footnotePr>
          <w:endnotePr>
            <w:numFmt w:val="decimal"/>
          </w:endnotePr>
          <w:pgSz w:w="11906" w:h="16838"/>
          <w:pgMar w:top="1134" w:right="1418" w:bottom="1418" w:left="1418" w:header="567" w:footer="567" w:gutter="0"/>
          <w:cols w:space="720"/>
          <w:docGrid w:linePitch="326"/>
        </w:sectPr>
      </w:pPr>
    </w:p>
    <w:p w14:paraId="14A9ECCB" w14:textId="77777777" w:rsidR="008B4B1C" w:rsidRPr="009574E6" w:rsidRDefault="008B4B1C" w:rsidP="008B4B1C">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636A07">
        <w:t>med bemærkningerne, der er en integrerende del af afgørelsen om decharge for gennemførelsen af budgettet for Den Europæiske Unions Agentur for Uddannelse inden for Retshåndhævelse (Cepol) for regnskabsåret 2022</w:t>
      </w:r>
      <w:r>
        <w:t xml:space="preserve"> </w:t>
      </w:r>
      <w:r w:rsidRPr="00636A07">
        <w:t>(2023/2144(DEC))</w:t>
      </w:r>
    </w:p>
    <w:p w14:paraId="55EDF66B" w14:textId="77777777" w:rsidR="00CF70C8" w:rsidRPr="00636A07" w:rsidRDefault="00CF70C8" w:rsidP="00CF70C8">
      <w:pPr>
        <w:pStyle w:val="EPComma"/>
      </w:pPr>
      <w:r w:rsidRPr="00636A07">
        <w:rPr>
          <w:i/>
          <w:iCs/>
        </w:rPr>
        <w:t>Europa-Parlamentet</w:t>
      </w:r>
      <w:r w:rsidRPr="00636A07">
        <w:t>,</w:t>
      </w:r>
    </w:p>
    <w:p w14:paraId="25135C70" w14:textId="77777777" w:rsidR="00CF70C8" w:rsidRPr="00636A07" w:rsidRDefault="00CF70C8" w:rsidP="00CF70C8">
      <w:pPr>
        <w:pStyle w:val="NormalHanging12a"/>
      </w:pPr>
      <w:r w:rsidRPr="00636A07">
        <w:t>–</w:t>
      </w:r>
      <w:r w:rsidRPr="00636A07">
        <w:tab/>
        <w:t>der henviser til sin afgørelse om decharge for gennemførelsen af budgettet for Den Europæiske Unions Agentur for Uddannelse inden for Retshåndhævelse (Cepol) for regnskabsåret 2022,</w:t>
      </w:r>
    </w:p>
    <w:p w14:paraId="72CDE7F0" w14:textId="77777777" w:rsidR="00CF70C8" w:rsidRPr="00636A07" w:rsidRDefault="00CF70C8" w:rsidP="00CF70C8">
      <w:pPr>
        <w:pStyle w:val="NormalHanging12a"/>
      </w:pPr>
      <w:r w:rsidRPr="00636A07">
        <w:t>–</w:t>
      </w:r>
      <w:r w:rsidRPr="00636A07">
        <w:tab/>
        <w:t>der henviser til forretningsordenens artikel 100 og bilag V,</w:t>
      </w:r>
    </w:p>
    <w:p w14:paraId="6047C551" w14:textId="77777777" w:rsidR="00CF70C8" w:rsidRPr="00636A07" w:rsidRDefault="00CF70C8" w:rsidP="00CF70C8">
      <w:pPr>
        <w:pStyle w:val="NormalHanging12a"/>
      </w:pPr>
      <w:r w:rsidRPr="00636A07">
        <w:t>–</w:t>
      </w:r>
      <w:r w:rsidRPr="00636A07">
        <w:tab/>
        <w:t>der henviser til udtalelse fra Udvalget om Borgernes Rettigheder og Retlige og Indre Anliggender,</w:t>
      </w:r>
    </w:p>
    <w:p w14:paraId="3C699A41" w14:textId="77777777" w:rsidR="00CF70C8" w:rsidRPr="00636A07" w:rsidRDefault="00CF70C8" w:rsidP="00CF70C8">
      <w:pPr>
        <w:pStyle w:val="NormalHanging12a"/>
      </w:pPr>
      <w:r w:rsidRPr="00636A07">
        <w:t>–</w:t>
      </w:r>
      <w:r w:rsidRPr="00636A07">
        <w:tab/>
        <w:t>der henviser til betænkning fra Budgetkontroludvalget (A9-0098/2024),</w:t>
      </w:r>
    </w:p>
    <w:p w14:paraId="3A4F83AF" w14:textId="77777777" w:rsidR="00CF70C8" w:rsidRPr="00636A07" w:rsidRDefault="00CF70C8" w:rsidP="00CF70C8">
      <w:pPr>
        <w:pStyle w:val="ListParagraph"/>
        <w:widowControl w:val="0"/>
        <w:spacing w:after="240"/>
        <w:ind w:left="567" w:hanging="567"/>
        <w:contextualSpacing w:val="0"/>
        <w:jc w:val="left"/>
        <w:rPr>
          <w:rFonts w:eastAsia="Times New Roman"/>
        </w:rPr>
      </w:pPr>
      <w:r w:rsidRPr="00636A07">
        <w:t>A.</w:t>
      </w:r>
      <w:r w:rsidRPr="00636A07">
        <w:tab/>
        <w:t>der henviser til, at det endelige budget for Den Europæiske Unions Agentur for Uddannelse inden for Retshåndhævelse (Cepol) ("agenturet") for regnskabsåret 2022 ifølge dets oversigt over indtægter og udgifter</w:t>
      </w:r>
      <w:r w:rsidRPr="00636A07">
        <w:rPr>
          <w:rStyle w:val="FootnoteReference"/>
          <w:rFonts w:eastAsia="Times New Roman"/>
          <w:lang w:eastAsia="en-GB"/>
        </w:rPr>
        <w:footnoteReference w:id="11"/>
      </w:r>
      <w:r w:rsidRPr="00636A07">
        <w:t xml:space="preserve"> var på 28 295 362 EUR, hvilket svarer til en stigning på 5,82 % sammenlignet med 2021; der henviser til, at agenturet finansieres ved hjælp af et bidrag fra Unionen og eksterne formålsbestemte indtægter til specifikke projekter;</w:t>
      </w:r>
    </w:p>
    <w:p w14:paraId="177BA2C6" w14:textId="77777777" w:rsidR="00CF70C8" w:rsidRPr="00636A07" w:rsidRDefault="00CF70C8" w:rsidP="00CF70C8">
      <w:pPr>
        <w:spacing w:after="240"/>
        <w:ind w:left="567" w:hanging="567"/>
        <w:rPr>
          <w:szCs w:val="24"/>
        </w:rPr>
      </w:pPr>
      <w:r w:rsidRPr="00636A07">
        <w:t>B.</w:t>
      </w:r>
      <w:r w:rsidRPr="00636A07">
        <w:tab/>
        <w:t>der henviser til, at Revisionsretten i sin beretning om agenturets årsregnskab for regnskabsåret 2022 ("Revisionsrettens beretning") fastslår, at den har fået rimelig sikkerhed for, at agenturets årsregnskab er rigtigt, og at de underliggende transaktioner med hensyn til indtægter i alt væsentligt er lovlige og formelt rigtige; der henviser til, at Revisionsretten konstaterede regelstridige betalinger på i alt 4,2 mio. EUR, heraf 4,1 mio. EUR i forbindelse med 359 betalinger foretaget under to rammeaftaler, der blev gennemført ved hjælp af bestillinger, som blev afgivet af ansatte, der ikke havde beføjelser til at indgå retlige forpligtelser på vegne af agenturet, og 152 655 EUR som betalinger foretaget i 2022 under en rammeaftale, hvor nogle af de udbetalte beløb ikke kunne afstemmes med de leverede ydelser, svarende til i alt 13,5 % af de betalingsbevillinger, der var til rådighed i 2022, hvilket dermed oversteg den væsentlighedstærskel, der var fastsat for revisionen, og resulterede i en erklæring med forbehold om lovligheden og den formelle rigtighed af de betalinger, der ligger til grund for regnskaberne; der henviser til, at Revisionsretten med undtagelse af disse regelstridige betalinger konkluderer, at de underliggende transaktioner for så vidt angår betalinger for det regnskabsår, der afsluttedes den 31. december 2022, i alt væsentligt er lovlige og formelt rigtige;</w:t>
      </w:r>
    </w:p>
    <w:p w14:paraId="7D20435E" w14:textId="77777777" w:rsidR="00CF70C8" w:rsidRPr="00636A07" w:rsidRDefault="00CF70C8" w:rsidP="00CF70C8">
      <w:pPr>
        <w:spacing w:after="240"/>
        <w:ind w:left="567" w:hanging="567"/>
        <w:rPr>
          <w:b/>
          <w:i/>
          <w:szCs w:val="24"/>
        </w:rPr>
      </w:pPr>
      <w:r w:rsidRPr="00636A07">
        <w:rPr>
          <w:b/>
          <w:i/>
        </w:rPr>
        <w:t>Budgetmæssig og økonomisk forvaltning</w:t>
      </w:r>
    </w:p>
    <w:p w14:paraId="59C56B40" w14:textId="77777777" w:rsidR="00CF70C8" w:rsidRPr="00636A07" w:rsidRDefault="00CF70C8" w:rsidP="00CF70C8">
      <w:pPr>
        <w:spacing w:after="240"/>
        <w:ind w:left="567" w:hanging="567"/>
        <w:rPr>
          <w:szCs w:val="24"/>
        </w:rPr>
      </w:pPr>
      <w:r w:rsidRPr="00636A07">
        <w:t>1.</w:t>
      </w:r>
      <w:r w:rsidRPr="00636A07">
        <w:rPr>
          <w:color w:val="FFFFFF" w:themeColor="background1"/>
        </w:rPr>
        <w:tab/>
      </w:r>
      <w:r w:rsidRPr="00636A07">
        <w:t xml:space="preserve">bemærker med tilfredshed, at budgetovervågningsindsatsen i regnskabsåret 2022 resulterede i en budgetgennemførelsesgrad på 100 %, hvilket er en stigning på 3,21 % sammenlignet med 2021; bemærker, at udnyttelsesgraden for betalingsbevillingerne var på 84,66 %, hvilket er en stigning på 12,93 % sammenlignet med 2021; bemærker </w:t>
      </w:r>
      <w:r w:rsidRPr="00636A07">
        <w:lastRenderedPageBreak/>
        <w:t>endvidere, at 1,6 mio. EUR, svarende til 15 % af forpligtelserne i 2022, blev fremført til 2023; bemærker, at budgetgennemførelsesgraden for Unionens midler til ekstern bistand, der er øremærket til at bistå tredjelande i opbygningen af deres kapacitet på relevante politikområder inden for retshåndhævelse, udgjorde 48,5 % ved udgangen af 2022;</w:t>
      </w:r>
    </w:p>
    <w:p w14:paraId="05B06B11" w14:textId="77777777" w:rsidR="00CF70C8" w:rsidRPr="00636A07" w:rsidRDefault="00CF70C8" w:rsidP="00CF70C8">
      <w:pPr>
        <w:spacing w:after="240"/>
        <w:ind w:left="567" w:hanging="567"/>
        <w:rPr>
          <w:b/>
          <w:i/>
          <w:szCs w:val="24"/>
        </w:rPr>
      </w:pPr>
      <w:r w:rsidRPr="00636A07">
        <w:rPr>
          <w:b/>
          <w:i/>
        </w:rPr>
        <w:t>Performance</w:t>
      </w:r>
    </w:p>
    <w:p w14:paraId="5C082578" w14:textId="77777777" w:rsidR="00CF70C8" w:rsidRPr="00636A07" w:rsidRDefault="00CF70C8" w:rsidP="00CF70C8">
      <w:pPr>
        <w:spacing w:after="240"/>
        <w:ind w:left="567" w:hanging="567"/>
        <w:rPr>
          <w:szCs w:val="24"/>
        </w:rPr>
      </w:pPr>
      <w:r w:rsidRPr="00636A07">
        <w:t>2.</w:t>
      </w:r>
      <w:r w:rsidRPr="00636A07">
        <w:tab/>
        <w:t>roser agenturet for gennemførelsesgraden for arbejdsprogrammet for 2022, der var på 100 %, eftersom der blev gennemført 418 uddannelsesaktiviteter, og der var planlagt 417; bemærker, at agenturet i 2022 fortsatte med at gennemføre uddannelse for de retshåndhævende myndigheder ved i størst muligt omfang at vende tilbage til onlinemiljøet; bemærker med tilfredshed, at kundetilfredshedsgraden forblev høj i 2022, idet 97 % af deltagerne i agenturets uddannelsesaktiviteter tilkendegav, at de var tilfredse eller meget tilfredse;</w:t>
      </w:r>
    </w:p>
    <w:p w14:paraId="3F925292" w14:textId="77777777" w:rsidR="00CF70C8" w:rsidRPr="00636A07" w:rsidRDefault="00CF70C8" w:rsidP="00CF70C8">
      <w:pPr>
        <w:spacing w:after="240"/>
        <w:ind w:left="567" w:hanging="567"/>
        <w:rPr>
          <w:szCs w:val="24"/>
        </w:rPr>
      </w:pPr>
      <w:r w:rsidRPr="00636A07">
        <w:t>3.</w:t>
      </w:r>
      <w:r w:rsidRPr="00636A07">
        <w:tab/>
        <w:t>noterer sig med tilfredshed, at agenturet anvender visse foranstaltninger som centrale resultatindikatorer (KPI'er) til at vurdere merværdien af sine aktiviteter samt andre foranstaltninger med henblik på at forbedre budgetforvaltningen; bemærker, at næsten alle KPI'er blev nået i 2022, og at kun én fortsat var i gang, med frist ved udgangen af 2023, nemlig den KPI, der vedrørte andelen af revisionsanbefalinger, som blev gennemført i overensstemmelse med den aftalte handlingsplan;</w:t>
      </w:r>
    </w:p>
    <w:p w14:paraId="6B768D0B" w14:textId="77777777" w:rsidR="00CF70C8" w:rsidRPr="00636A07" w:rsidRDefault="00CF70C8" w:rsidP="00CF70C8">
      <w:pPr>
        <w:spacing w:after="240"/>
        <w:ind w:left="567" w:hanging="567"/>
        <w:rPr>
          <w:szCs w:val="24"/>
        </w:rPr>
      </w:pPr>
      <w:r w:rsidRPr="00636A07">
        <w:t>4.</w:t>
      </w:r>
      <w:r w:rsidRPr="00636A07">
        <w:tab/>
        <w:t>bemærker med tilfredshed, at 43 838 personer i 2022 deltog i agenturets kurser, hvilket er en betydelig fremgang sammenlignet med det planlagte antal deltagere på 27 800; roser agenturet for at have offentliggjort den anden vurdering af de strategiske uddannelsesbehov i EU, hvor retshåndhævelsespersonalets strategiske og uddannelsesmæssige behov forud for den næste cyklus for den europæiske tværfaglige platform mod kriminalitetstrusler 2022-2025 udpeges, og for at have påbegyndt dens gennemførelse; bemærker endvidere, at agenturets nyligt udnævnte administrerende direktør i 2022 indledte udarbejdelsen af en ny strategi, der fastsætter agenturets kurs for perioden 2023-2027; påskønner endvidere strategidokumentet fra ekspertgruppen om grundlæggende rettigheder, der sigter mod at medtage aspekter vedrørende grundlæggende rettigheder i alle uddannelsesaktiviteter; bemærker med tilfredshed, at der blev afholdt et ad hoc-kursus om beskyttelse af undersøgende journalister i 2022; glæder sig over de specifikke uddannelsestiltag vedrørende hadforbrydelser og udbredelsen af viden om effektive løsninger til støtte for ofre;</w:t>
      </w:r>
    </w:p>
    <w:p w14:paraId="3E0DCF50" w14:textId="77777777" w:rsidR="00CF70C8" w:rsidRPr="00636A07" w:rsidRDefault="00CF70C8" w:rsidP="00CF70C8">
      <w:pPr>
        <w:pStyle w:val="NormalHanging12a"/>
      </w:pPr>
      <w:r w:rsidRPr="00636A07">
        <w:t>5.</w:t>
      </w:r>
      <w:r w:rsidRPr="00636A07">
        <w:tab/>
        <w:t>roser agenturet for dets hurtige reaktion på den uberettigede krig i Ukraine og for i samarbejde med Europarådet at have leveret et skræddersyet kursus for Ukraines anklagemyndighed i efterretninger indhentet fra åbne kilder;</w:t>
      </w:r>
    </w:p>
    <w:p w14:paraId="32D714B1" w14:textId="77777777" w:rsidR="00CF70C8" w:rsidRPr="00636A07" w:rsidRDefault="00CF70C8" w:rsidP="00CF70C8">
      <w:pPr>
        <w:spacing w:after="240"/>
        <w:ind w:left="567" w:hanging="567"/>
        <w:rPr>
          <w:szCs w:val="24"/>
        </w:rPr>
      </w:pPr>
      <w:r w:rsidRPr="00636A07">
        <w:t>6.</w:t>
      </w:r>
      <w:r w:rsidRPr="00636A07">
        <w:tab/>
        <w:t>bemærker på baggrund af agenturets konsoliderede årlige aktivitetsrapport for 2022, at den eksponentielle stigning i de kurser, der i de seneste år er blevet tilbudt (fra 18 000 i 2016 til næsten 44 000 i 2022), afspejler en stigende efterspørgsel efter uddannelsesaktiviteter, som agenturet skal kunne levere; bemærker i den forbindelse, at der i 2022 på grund af utilstrækkelige ressourcer kun kunne følges op på denne efterspørgsel via en øget brug af e-læringskomponenten, hvilket ikke helt dækker interessenternes behov; støtter agenturets mål om fortsat at levere tværfaglige aktiviteter, der tiltrækker både deltagere fra politiet samt toldere og grænsevagter;</w:t>
      </w:r>
    </w:p>
    <w:p w14:paraId="0041A1F9" w14:textId="77777777" w:rsidR="00CF70C8" w:rsidRPr="00636A07" w:rsidRDefault="00CF70C8" w:rsidP="00CF70C8">
      <w:pPr>
        <w:spacing w:after="240"/>
        <w:ind w:left="567" w:hanging="567"/>
        <w:rPr>
          <w:szCs w:val="24"/>
        </w:rPr>
      </w:pPr>
      <w:r w:rsidRPr="00636A07">
        <w:t>7.</w:t>
      </w:r>
      <w:r w:rsidRPr="00636A07">
        <w:tab/>
        <w:t xml:space="preserve">bemærker, at agenturet i 2022 med vellykket resultat fortsatte gennemførelsen af fire </w:t>
      </w:r>
      <w:r w:rsidRPr="00636A07">
        <w:lastRenderedPageBreak/>
        <w:t>kapacitetsopbygningsprojekter i tredjelande, hvilket bidrog direkte til at styrke Unionens indre sikkerhed, samt uddannelsesaktiviteter inden for rammerne af Cepols videncenter om terrorbekæmpelse og Cepols videncenter om samarbejde, information og udveksling samt interoperabilitet på retshåndhævelsesområdet; glæder sig over den vellykkede gennemførelse af Cepols forsknings- og videnskabskonference i samarbejde med Mykolas Romeris-universitetet i Vilnius i Litauen, som styrkede samarbejdet mellem retshåndhævende myndigheder og forskningssektorer, og som tiltrak næsten 200 deltagere;</w:t>
      </w:r>
    </w:p>
    <w:p w14:paraId="70EF6E7F" w14:textId="77777777" w:rsidR="00CF70C8" w:rsidRPr="00636A07" w:rsidRDefault="00CF70C8" w:rsidP="00FD58F5">
      <w:pPr>
        <w:pStyle w:val="NormalHanging12a"/>
      </w:pPr>
      <w:r w:rsidRPr="00636A07">
        <w:t>8.</w:t>
      </w:r>
      <w:r w:rsidRPr="00636A07">
        <w:tab/>
        <w:t>minder om, at uddannelse inden for retshåndhævelse på EU-plan skal afspejle Unionens prioriteter i overensstemmelse med medlemsstaternes uddannelsesbehov og understøtte Unionens reaktion på grov og organiseret kriminalitet og andre trusler mod den indre sikkerhed, og at beskyttelsen af grundlæggende rettigheder bør være et centralt element i agenturets uddannelsesaktiviteter; noterer sig uddannelsesaktiviteterne inden for terrorbekæmpelse, navnlig for så vidt angår terrorismefinansiering, terrorisme og skydevåben, fremmedkrigere og aktiviteter rettet mod ekstremisme og radikalisering; opfordrer til mere uddannelse i cyberkriminalitet, cyberkriminalteknik, kunstig intelligens, databeskyttelse, grundlæggende rettigheder og bekæmpelse af racisme på EU-plan; opfordrer agenturet til i alle sine aktiviteter, navnlig aktiviteter med tredjelande, at sikre fuld gennemsigtighed og fuld respekt for de grundlæggende rettigheder og folkeretten;</w:t>
      </w:r>
    </w:p>
    <w:p w14:paraId="2C6F0250" w14:textId="77777777" w:rsidR="00CF70C8" w:rsidRPr="00636A07" w:rsidRDefault="00CF70C8" w:rsidP="00CF70C8">
      <w:pPr>
        <w:spacing w:after="240"/>
        <w:ind w:left="567" w:hanging="567"/>
        <w:rPr>
          <w:szCs w:val="24"/>
        </w:rPr>
      </w:pPr>
      <w:r w:rsidRPr="00636A07">
        <w:t>9.</w:t>
      </w:r>
      <w:r w:rsidRPr="00636A07">
        <w:tab/>
        <w:t>bemærker, at agenturet med vellykket resultat opretholdt sin certificering i henhold til ISO-standard 9001:2015 om kvalitetssikringssystemer og forberedte sig på yderligere at udvide anvendelsen af ISO-standarden 29993:2017 om læringstjenester, hvilket fortsat viser, at agenturet sikrer, at kvalitetssystemet fungerer effektivt;</w:t>
      </w:r>
    </w:p>
    <w:p w14:paraId="39B888CF" w14:textId="77777777" w:rsidR="00CF70C8" w:rsidRPr="00636A07" w:rsidRDefault="00CF70C8" w:rsidP="00CF70C8">
      <w:pPr>
        <w:widowControl/>
        <w:spacing w:after="240"/>
        <w:ind w:left="567" w:hanging="567"/>
        <w:rPr>
          <w:b/>
          <w:i/>
          <w:szCs w:val="24"/>
        </w:rPr>
      </w:pPr>
      <w:r w:rsidRPr="00636A07">
        <w:rPr>
          <w:b/>
          <w:i/>
        </w:rPr>
        <w:t>Effektivitet og gevinster</w:t>
      </w:r>
    </w:p>
    <w:p w14:paraId="77654D8E" w14:textId="77777777" w:rsidR="00CF70C8" w:rsidRPr="00636A07" w:rsidRDefault="00CF70C8" w:rsidP="00CF70C8">
      <w:pPr>
        <w:spacing w:after="240"/>
        <w:ind w:left="567" w:hanging="567"/>
        <w:rPr>
          <w:szCs w:val="24"/>
        </w:rPr>
      </w:pPr>
      <w:r w:rsidRPr="00636A07">
        <w:t>10.</w:t>
      </w:r>
      <w:r w:rsidRPr="00636A07">
        <w:tab/>
        <w:t>noterer sig, at agenturet fortsætter med at arbejde tæt sammen med netværket af agenturer for retlige og indre anliggender, og med de agenturer, der indgår i dette netværk, herunder navnlig Den Europæiske Unions Agentur for Retshåndhævelsessamarbejde (Europol) og Det Europæiske Agentur for Grænse- og Kystbevogtning, gennem deling af uddannelsesaktiviteter og fælles tilrettelæggelse af kurser; bemærker i den forbindelse, at agenturet i 2022 varetog formandskabet i netværket af agenturer for retlige og indre anliggender; bemærker endvidere, at agenturet siden 2023 har en aftale med Det Europæiske Overvågningscenter for Narkotika og Narkotikamisbrug (EMCDDA) om at give centret en plads på agenturets læringsplatform LEEd, så EMCDDA uden omkostninger kan give dets brugere en moderne læringsplatform; opfordrer agenturet til at fortsætte sit samarbejde med andre agenturer, således at alle disponible ressourcer kan udnyttes;</w:t>
      </w:r>
    </w:p>
    <w:p w14:paraId="045D310F" w14:textId="77777777" w:rsidR="00CF70C8" w:rsidRPr="00636A07" w:rsidRDefault="00CF70C8" w:rsidP="00CF70C8">
      <w:pPr>
        <w:spacing w:after="240"/>
        <w:ind w:left="567" w:hanging="567"/>
        <w:rPr>
          <w:szCs w:val="24"/>
        </w:rPr>
      </w:pPr>
      <w:r w:rsidRPr="00636A07">
        <w:t>11.</w:t>
      </w:r>
      <w:r w:rsidRPr="00636A07">
        <w:tab/>
        <w:t>roser agenturet for at have opnået et relativt højt digitaliseringsniveau, idet mange af dets processer er blevet papirløse/elektroniske, f.eks. e-Procurement-systemet for offentlige udbud og e-tendering, e-Recruitment, e-HR management (SYSPER), e-Invoicing, elektronisk reservation af rejser, ofte i tæt samarbejde med Kommissionens Generaldirektorat for Informationsteknologi;</w:t>
      </w:r>
    </w:p>
    <w:p w14:paraId="062FB24B" w14:textId="77777777" w:rsidR="00CF70C8" w:rsidRPr="00636A07" w:rsidRDefault="00CF70C8" w:rsidP="00CF70C8">
      <w:pPr>
        <w:spacing w:after="240"/>
        <w:ind w:left="567" w:hanging="567"/>
        <w:rPr>
          <w:szCs w:val="24"/>
        </w:rPr>
      </w:pPr>
      <w:r w:rsidRPr="00636A07">
        <w:t>12.</w:t>
      </w:r>
      <w:r w:rsidRPr="00636A07">
        <w:tab/>
        <w:t xml:space="preserve">glæder sig over, at agenturet har indført interne regler om, at personale (og deltagere i uddannelsesaktiviteter) over korte afstande skal benytte alternativer til fly, f.eks. tog eller bus; bemærker med tilfredshed, at agenturet siden 2022 tilbyder sit personale godtgørelse af udgifter til offentlig transport; bemærker endvidere, at mange </w:t>
      </w:r>
      <w:r w:rsidRPr="00636A07">
        <w:lastRenderedPageBreak/>
        <w:t>ekspertgruppemøder, der tidligere blev holdt på stedet, nu finder sted online; beklager, at agenturet ikke har indført et system til objektiv og detaljeret overvågning af udviklingen fra det ene år til det andet med hensyn til gevinster og besparelser, og opfordrer agenturet til at oprette et sådant system;</w:t>
      </w:r>
    </w:p>
    <w:p w14:paraId="6ED7904E" w14:textId="77777777" w:rsidR="00CF70C8" w:rsidRPr="00636A07" w:rsidRDefault="00CF70C8" w:rsidP="00CF70C8">
      <w:pPr>
        <w:spacing w:after="240"/>
        <w:ind w:left="567" w:hanging="567"/>
        <w:rPr>
          <w:szCs w:val="24"/>
        </w:rPr>
      </w:pPr>
      <w:r w:rsidRPr="00636A07">
        <w:t>13.</w:t>
      </w:r>
      <w:r w:rsidRPr="00636A07">
        <w:tab/>
        <w:t>noterer sig på baggrund af Revisionsrettens beretning, at agenturet ikke har en virksomhedsplan for forbedring af energieffektiviteten og klimaneutraliteten i sine aktiviteter; beklager, at agenturet endnu ikke har påbegyndt certificeringsprocessen under ordningen for miljøledelse og miljørevision (EMAS); bemærker imidlertid, at agenturet i forbindelse med kravene til sin nye hovedkvarterbygning har tilkendegivet, at det i den nærmeste fremtid vil arbejde hen imod en EMAS-certificering; bemærker i samme forbindelse, at agenturet følger Kommissionens vejledning og medtager tildelingskriterier vedrørende miljøhensyn i de fleste udbudsprocedurer; opfordrer agenturet til at følge eksempler fra andre agenturer inden for grønne indkøb;</w:t>
      </w:r>
    </w:p>
    <w:p w14:paraId="5EC7EEDB" w14:textId="77777777" w:rsidR="00CF70C8" w:rsidRPr="00636A07" w:rsidRDefault="00CF70C8" w:rsidP="00CF70C8">
      <w:pPr>
        <w:spacing w:after="240"/>
        <w:ind w:left="567" w:hanging="567"/>
        <w:rPr>
          <w:b/>
          <w:i/>
          <w:szCs w:val="24"/>
        </w:rPr>
      </w:pPr>
      <w:r w:rsidRPr="00636A07">
        <w:rPr>
          <w:b/>
          <w:i/>
        </w:rPr>
        <w:t>Personalepolitik</w:t>
      </w:r>
    </w:p>
    <w:p w14:paraId="37231E67" w14:textId="77777777" w:rsidR="00CF70C8" w:rsidRPr="00636A07" w:rsidRDefault="00CF70C8" w:rsidP="00CF70C8">
      <w:pPr>
        <w:spacing w:after="240"/>
        <w:ind w:left="567" w:hanging="567"/>
        <w:rPr>
          <w:szCs w:val="24"/>
        </w:rPr>
      </w:pPr>
      <w:r w:rsidRPr="00636A07">
        <w:t>14.</w:t>
      </w:r>
      <w:r w:rsidRPr="00636A07">
        <w:tab/>
        <w:t>bemærker, at gennemførelsesgraden for stillingsfortegnelsen pr. 31. december 2022 var på 79 % med 26 midlertidigt ansatte af de 33 midlertidigt ansatte, som var godkendt i henhold til Unionens budget (det samme antal godkendte stillinger som i 2021); bemærker endvidere, at 59 kontraktansatte (heraf 20 til almindelige aktiviteter og 39 til eksternt finansierede kapacitetsopbygningsprojekter) og seks udstationerede nationale eksperter arbejdede for agenturet i 2022; bemærker endvidere, at der pr. 31. december 2022 var 24 vikarer, som beskæftigede sig med opgaver forbundet med kerneaktiviteter såsom e-læring, informations- og kommunikationsteknologi, juridisk bistand og ledelsesstøtte;</w:t>
      </w:r>
    </w:p>
    <w:p w14:paraId="59521CE6" w14:textId="77777777" w:rsidR="00CF70C8" w:rsidRPr="00636A07" w:rsidRDefault="00CF70C8" w:rsidP="00CF70C8">
      <w:pPr>
        <w:tabs>
          <w:tab w:val="left" w:pos="720"/>
          <w:tab w:val="left" w:pos="1665"/>
        </w:tabs>
        <w:spacing w:after="240"/>
        <w:ind w:left="567" w:hanging="567"/>
        <w:rPr>
          <w:szCs w:val="24"/>
        </w:rPr>
      </w:pPr>
      <w:r w:rsidRPr="00636A07">
        <w:t>15.</w:t>
      </w:r>
      <w:r w:rsidRPr="00636A07">
        <w:tab/>
        <w:t>bemærker, at personaleudskiftningen fortsat var relativt høj i 2022 og havde en betydelig indvirkning på agenturet; bemærker i den forbindelse, at der i 2022 var fire fratrædelser på grund af nye jobmuligheder i og uden for agenturet, tre afgange på grund af pensionering og fire medarbejdere på orlov uden løn pr. 31. december 2022;</w:t>
      </w:r>
    </w:p>
    <w:p w14:paraId="3E2B8855" w14:textId="77777777" w:rsidR="00CF70C8" w:rsidRPr="00636A07" w:rsidRDefault="00CF70C8" w:rsidP="00CF70C8">
      <w:pPr>
        <w:tabs>
          <w:tab w:val="left" w:pos="720"/>
          <w:tab w:val="left" w:pos="1665"/>
        </w:tabs>
        <w:spacing w:after="240"/>
        <w:ind w:left="567" w:hanging="567"/>
        <w:rPr>
          <w:szCs w:val="24"/>
        </w:rPr>
      </w:pPr>
      <w:r w:rsidRPr="00636A07">
        <w:t>16.</w:t>
      </w:r>
      <w:r w:rsidRPr="00636A07">
        <w:tab/>
        <w:t>gentager sin opbakning til stigningen i antallet af agenturets medarbejdere, som står i et rimeligt forhold til de opgaver og det ambitionsniveau, der er fastsat i agenturets nuværende mandat; noterer sig med tilfredshed på baggrund af agenturets opfølgningsrapport med titlen "CEPOL Action Plan in response to the EP discharge decision for financial year 2021" (Cepols handlingsplan som reaktion på Europa-Parlamentets dechargeafgørelse for regnskabsåret 2021) (i det følgende benævnt "agenturets opfølgningsrapport"), at agenturets administrerende direktør med henblik på at underbygge fremtidige anmodninger om ressourcer har oprettet en taskforce, der systematisk skal dokumentere og begrunde behovet for yderligere budgetmæssige og menneskelige ressourcer i forbindelse med den nye strategi for 2023-2027;</w:t>
      </w:r>
    </w:p>
    <w:p w14:paraId="271A0A7C" w14:textId="77777777" w:rsidR="00CF70C8" w:rsidRPr="00636A07" w:rsidRDefault="00CF70C8" w:rsidP="00CF70C8">
      <w:pPr>
        <w:spacing w:after="240"/>
        <w:ind w:left="567" w:hanging="567"/>
        <w:rPr>
          <w:szCs w:val="24"/>
        </w:rPr>
      </w:pPr>
      <w:r w:rsidRPr="00636A07">
        <w:t>17.</w:t>
      </w:r>
      <w:r w:rsidRPr="00636A07">
        <w:tab/>
        <w:t xml:space="preserve">bemærker, at personaleudskiftningen fortsat var høj i 2022 (11,8 %) med en betydelig indvirkning på organisationen; bemærker på baggrund af agenturets opfølgningsrapport, at personaleudskiftningsgraden ligger uden for agenturets kontrol, fordi den vigtigste udløsende faktor er den lave justeringskoefficient for værtslandet og indplaceringen af stillingerne vedrørende vigtige støttefunktioner i relativt lave lønklasser i agenturet; bemærker, at agenturet i 2022 fortsatte med at gennemføre foranstaltninger med henblik på at fastholde personale og sikre driftskontinuitet, idet det anvendte en række midlertidigt ansatte og udstationerede nationale eksperter til at erstatte fraværende personale indtil afslutningen af ansættelsen af vedtægtsomfattet personale, fortsatte </w:t>
      </w:r>
      <w:r w:rsidRPr="00636A07">
        <w:lastRenderedPageBreak/>
        <w:t>omklassificeringen af personale og funktioner og opretholdt sociale ordninger (såsom skolegang for personalets børn), telearbejde- og flekstidsordninger; gentager sin opfordring til Kommissionen om at revidere lønjusteringskoefficienten for bedre at afspejle de økonomiske realiteter ved at flytte til og opholde sig i agenturets værtsby;</w:t>
      </w:r>
    </w:p>
    <w:p w14:paraId="2D10F637" w14:textId="77777777" w:rsidR="00CF70C8" w:rsidRPr="00636A07" w:rsidRDefault="00CF70C8" w:rsidP="00CF70C8">
      <w:pPr>
        <w:spacing w:after="240"/>
        <w:ind w:left="567" w:hanging="567"/>
        <w:rPr>
          <w:szCs w:val="24"/>
        </w:rPr>
      </w:pPr>
      <w:r w:rsidRPr="00636A07">
        <w:t>18.</w:t>
      </w:r>
      <w:r w:rsidRPr="00636A07">
        <w:tab/>
        <w:t>bemærker med tilfredshed, at agenturet for så vidt angår SYSPER-værktøjet har integreret moduler såsom REPORTING, ETHICS og STAGE, og at det arbejder hen imod at integrere andre SYSPER-moduler (f.eks. EVAL/PROMO);</w:t>
      </w:r>
    </w:p>
    <w:p w14:paraId="7EC2542C" w14:textId="77777777" w:rsidR="00CF70C8" w:rsidRPr="00636A07" w:rsidRDefault="00CF70C8" w:rsidP="00CF70C8">
      <w:pPr>
        <w:pStyle w:val="ListParagraph"/>
        <w:spacing w:after="240"/>
        <w:ind w:left="567" w:hanging="567"/>
        <w:contextualSpacing w:val="0"/>
        <w:jc w:val="left"/>
      </w:pPr>
      <w:r w:rsidRPr="00636A07">
        <w:t>19.</w:t>
      </w:r>
      <w:r w:rsidRPr="00636A07">
        <w:tab/>
        <w:t>glæder sig over agenturets rapporterede kønsfordeling for 2022 med tre mænd og tre kvinder i ledende stillinger (en højtstående leder og fem mellemledere), med 15 mænd (56 %) og 12 kvinder (44 %) i bestyrelsen og samlet set med 37 mænd (44 %) og 48 kvinder (56 %); roser agenturet for den kønsbalance, det opnåede i 2022;</w:t>
      </w:r>
    </w:p>
    <w:p w14:paraId="00242508" w14:textId="77777777" w:rsidR="00CF70C8" w:rsidRPr="00636A07" w:rsidRDefault="00CF70C8" w:rsidP="00CF70C8">
      <w:pPr>
        <w:pStyle w:val="NormalHanging12a"/>
      </w:pPr>
      <w:r w:rsidRPr="00636A07">
        <w:t>20.</w:t>
      </w:r>
      <w:r w:rsidRPr="00636A07">
        <w:tab/>
        <w:t>bemærker på baggrund af agenturets konsoliderede årlige aktivitetsrapport for 2022, at 17 medlemsstater var repræsenteret blandt agenturets personale i 2022; bemærker, at 39 % af agenturets personale er statsborgere i den medlemsstat, hvor agenturet er beliggende; minder om betydningen af geografisk balance og opfordrer agenturet til at træffe de nødvendige foranstaltninger til at opnå en afbalanceret og retfærdig geografisk repræsentation;</w:t>
      </w:r>
    </w:p>
    <w:p w14:paraId="05AD5FED" w14:textId="77777777" w:rsidR="00CF70C8" w:rsidRPr="00636A07" w:rsidRDefault="00CF70C8" w:rsidP="00CF70C8">
      <w:pPr>
        <w:pStyle w:val="ListParagraph"/>
        <w:spacing w:after="240"/>
        <w:ind w:left="567" w:hanging="567"/>
        <w:contextualSpacing w:val="0"/>
        <w:jc w:val="left"/>
      </w:pPr>
      <w:r w:rsidRPr="00636A07">
        <w:t>21.</w:t>
      </w:r>
      <w:r w:rsidRPr="00636A07">
        <w:tab/>
        <w:t>glæder sig over, at agenturet i 2022 vedtog en ny afgørelse baseret på principperne om målbaseret og resultatorienteret forvaltning og en tillidskultur; bemærker, at denne afgørelse indførte mere fleksibilitet for personalet, både med hensyn til arbejdstid og telearbejde, ved at give ret til at være offline og klart angive en periode, hvor der kan kobles fra, hvilket bør bidrage til en bedre balance mellem arbejdsliv og privatliv og beskytte personalet mod en for høj digital arbejdsbyrde;</w:t>
      </w:r>
    </w:p>
    <w:p w14:paraId="6745CD88" w14:textId="77777777" w:rsidR="00CF70C8" w:rsidRPr="00636A07" w:rsidRDefault="00CF70C8" w:rsidP="00CF70C8">
      <w:pPr>
        <w:spacing w:after="240"/>
        <w:ind w:left="567" w:hanging="567"/>
        <w:rPr>
          <w:color w:val="000000"/>
          <w:szCs w:val="24"/>
        </w:rPr>
      </w:pPr>
      <w:r w:rsidRPr="00636A07">
        <w:rPr>
          <w:color w:val="000000"/>
        </w:rPr>
        <w:t>22.</w:t>
      </w:r>
      <w:r w:rsidRPr="00636A07">
        <w:rPr>
          <w:color w:val="000000"/>
        </w:rPr>
        <w:tab/>
        <w:t>noterer sig med tilfredshed på baggrund af agenturets opfølgningsrapport, at der med hensyn til bemærkningen om personale, der beskæftiger sig med udbudsprocedurer, forudses en ændring af den relevante AST-5-stilling (lønklasse AST-3 ved ansættelsen) til en AD-5-stilling i stillingsfortegnelsen for 2023;</w:t>
      </w:r>
    </w:p>
    <w:p w14:paraId="7BEAB8B9" w14:textId="77777777" w:rsidR="00CF70C8" w:rsidRPr="00636A07" w:rsidRDefault="00CF70C8" w:rsidP="00CF70C8">
      <w:pPr>
        <w:spacing w:after="240"/>
        <w:ind w:left="567" w:hanging="567"/>
        <w:rPr>
          <w:rFonts w:eastAsiaTheme="minorHAnsi"/>
          <w:b/>
          <w:i/>
          <w:szCs w:val="24"/>
        </w:rPr>
      </w:pPr>
      <w:r w:rsidRPr="00636A07">
        <w:rPr>
          <w:b/>
          <w:i/>
        </w:rPr>
        <w:t>Udbud</w:t>
      </w:r>
    </w:p>
    <w:p w14:paraId="76BD94DA" w14:textId="77777777" w:rsidR="00CF70C8" w:rsidRPr="00636A07" w:rsidRDefault="00CF70C8" w:rsidP="00CF70C8">
      <w:pPr>
        <w:pStyle w:val="NormalHanging12a"/>
      </w:pPr>
      <w:r w:rsidRPr="00636A07">
        <w:t>23.</w:t>
      </w:r>
      <w:r w:rsidRPr="00636A07">
        <w:tab/>
        <w:t xml:space="preserve">bemærker med bekymring på baggrund af Revisionsrettens beretning, at Revisionsretten hvert år siden regnskabsåret 2020 har fremsat nye bemærkninger vedrørende agenturets udbud; fremhæver på baggrund af Revisionsrettens beretning den bemærkning, der udgør grundlaget for Revisionsrettens erklæring med forbehold om lovligheden og den formelle rigtighed af 359 betalinger til en samlet værdi af 4,1 mio. EUR, der i 2022 blev foretaget under to rammeaftaler direkte ved hjælp af ordresedler (bestillinger), som blev sendt af ansatte i agenturet, der ikke havde delegerede beføjelser til at indgå retlige forpligtelser på vegne af agenturet, eller af vikarer, som på grund af deres vikarstatus ikke lovligt kunne have sådanne delegerede beføjelser; noterer sig agenturets svar på Revisionsrettens bemærkning, hvoraf det fremgår, at ydelserne, selv om der var en svaghed i formaliseringen af den retlige forpligtelse, blev bestilt i overensstemmelse med agenturets behov, og at kontroller blev gennemført fuldt ud for at sikre, at midlerne blev anvendt til det tilsigtede formål, og at der ikke opstod nogen faktiske tab; noterer sig på baggrund af agenturets svar på Parlamentets skriftlige forespørgsler, at disse aftaler ikke var berørt af andre uregelmæssigheder, og at agenturet har truffet foranstaltninger for at tage højde for Revisionsrettens bemærkning ved at ændre agenturets interne procedurer for at sikre, at ordrer kun sendes til rejsebureauet af </w:t>
      </w:r>
      <w:r w:rsidRPr="00636A07">
        <w:lastRenderedPageBreak/>
        <w:t>vedtægtsomfattet personale, som er blevet delegeret af en anvisningsberettiget til at indgå en retlig forpligtelse; noterer sig agenturets svar, ifølge hvilket agenturet straks traf korrigerende foranstaltninger, selv inden afslutningen af revisionsprocessen; opfordrer agenturet til fuldt ud at imødekomme disse bemærkninger og forbedre sine udbudsprocedurer for at undgå lignende situationer i fremtiden;</w:t>
      </w:r>
    </w:p>
    <w:p w14:paraId="620474F1" w14:textId="77777777" w:rsidR="00CF70C8" w:rsidRPr="00636A07" w:rsidRDefault="00CF70C8" w:rsidP="00CF70C8">
      <w:pPr>
        <w:pStyle w:val="NormalHanging12a"/>
      </w:pPr>
      <w:r w:rsidRPr="00636A07">
        <w:t>24.</w:t>
      </w:r>
      <w:r w:rsidRPr="00636A07">
        <w:tab/>
        <w:t>fremhæver endvidere på baggrund af Revisionsrettens beretning erklæringen med forbehold, hvoraf det fremgår, at alle de beløb, der blev betalt i 2022 (152 655 EUR) i forbindelse med gennemførelsen af en rammeaftale (vedrørende uddannelsesredaktionelle tjenesteydelser), ikke kunne afstemmes med de leverede ydelser, at nogle opgavekategorier ikke svarede til arten af det faktisk udførte arbejde, og at det for nogle kategorier gjaldt, at der var betalt for en større arbejdsmængde, end der var udført, hvilket gør disse beløb regelstridige; noterer sig agenturets forklaring om, at antallet af bestilte, leverede og betalte sider ikke stemte helt overens, da dette på grund af arbejdets art, nemlig udvikling af redaktionelt og uddannelsesmæssigt indhold, ikke altid var præcist kvantificerbart på forhånd; bemærker endvidere, at der ifølge agenturets svar blev foretaget kontrol af projektleverancerne, og at opgavekategorierne var baseret på dem, der var anført i en tidligere kontrakt med Publikationskontoret; opfordrer agenturet til at indføre foranstaltninger, der gør det muligt for agenturet bedre at kvantificere projektleverancerne på forhånd og undgå sådanne situationer i fremtiden;</w:t>
      </w:r>
    </w:p>
    <w:p w14:paraId="6007243B" w14:textId="77777777" w:rsidR="00CF70C8" w:rsidRPr="00636A07" w:rsidRDefault="00CF70C8" w:rsidP="00CF70C8">
      <w:pPr>
        <w:spacing w:after="240"/>
        <w:ind w:left="567" w:hanging="567"/>
        <w:rPr>
          <w:color w:val="000000"/>
          <w:szCs w:val="24"/>
        </w:rPr>
      </w:pPr>
      <w:r w:rsidRPr="00636A07">
        <w:rPr>
          <w:color w:val="000000"/>
        </w:rPr>
        <w:t>25.</w:t>
      </w:r>
      <w:r w:rsidRPr="00636A07">
        <w:rPr>
          <w:color w:val="000000"/>
        </w:rPr>
        <w:tab/>
        <w:t>noterer sig på baggrund af Revisionsrettens beretning for regnskabsåret 2021, at der stadig var én udestående bemærkning vedrørende evalueringen af et udbud, hvor agenturet lagde vægt på et kriterium, der ikke var klart angivet i udbudsbetingelserne, hvilket skabte en risiko for, at tilbudsgiverne blev behandlet forskelligt; noterer sig, at kontrakten gjaldt indtil september 2023, og at agenturet på det tidspunkt, hvor Revisionsretten gennemgik status for denne bemærkning, ikke havde til hensigt at forlænge kontrakten med yderligere 12 måneder;</w:t>
      </w:r>
    </w:p>
    <w:p w14:paraId="0D05CDBE" w14:textId="77777777" w:rsidR="00CF70C8" w:rsidRPr="00636A07" w:rsidRDefault="00CF70C8" w:rsidP="00CF70C8">
      <w:pPr>
        <w:spacing w:after="240"/>
        <w:ind w:left="567" w:hanging="567"/>
        <w:rPr>
          <w:color w:val="000000"/>
          <w:szCs w:val="24"/>
        </w:rPr>
      </w:pPr>
      <w:r w:rsidRPr="00636A07">
        <w:rPr>
          <w:color w:val="000000"/>
        </w:rPr>
        <w:t>26.</w:t>
      </w:r>
      <w:r w:rsidRPr="00636A07">
        <w:rPr>
          <w:color w:val="000000"/>
        </w:rPr>
        <w:tab/>
        <w:t>roser agenturet for at have integreret værktøjet til forvaltning af offentlige udbud, som pr. oktober 2022 anvendes i forbindelse med alle typer udbudsprocedurer; tilskynder agenturet til at fremskynde godkendelsen og indførelsen af værktøjer, der giver mulighed for anvendelse af elektroniske signaturer, med henblik på at opnå godkendelser og underskrifter fra både interne og eksterne modparter i udbuds- og kontraktdokumenter;</w:t>
      </w:r>
    </w:p>
    <w:p w14:paraId="32B2B17D" w14:textId="77777777" w:rsidR="00CF70C8" w:rsidRPr="00636A07" w:rsidRDefault="00CF70C8" w:rsidP="00CF70C8">
      <w:pPr>
        <w:pStyle w:val="ListParagraph"/>
        <w:widowControl w:val="0"/>
        <w:spacing w:after="240"/>
        <w:ind w:left="567" w:hanging="567"/>
        <w:contextualSpacing w:val="0"/>
        <w:jc w:val="left"/>
        <w:rPr>
          <w:rFonts w:eastAsia="Times New Roman"/>
        </w:rPr>
      </w:pPr>
      <w:r w:rsidRPr="00636A07">
        <w:rPr>
          <w:b/>
          <w:i/>
        </w:rPr>
        <w:t>Forebyggelse og håndtering af interessekonflikter samt gennemsigtighed</w:t>
      </w:r>
    </w:p>
    <w:p w14:paraId="0C4FDC7C" w14:textId="77777777" w:rsidR="00CF70C8" w:rsidRPr="00636A07" w:rsidRDefault="00CF70C8" w:rsidP="00CF70C8">
      <w:pPr>
        <w:spacing w:after="240"/>
        <w:ind w:left="567" w:hanging="567"/>
        <w:rPr>
          <w:szCs w:val="24"/>
        </w:rPr>
      </w:pPr>
      <w:r w:rsidRPr="00636A07">
        <w:t>27.</w:t>
      </w:r>
      <w:r w:rsidRPr="00636A07">
        <w:tab/>
        <w:t>bemærker med tilfredshed agenturets eksisterende foranstaltninger og løbende indsats for at sikre gennemsigtighed samt forebyggelse og håndtering af interessekonflikter; bemærker med tilfredshed, at interesseerklæringer og CV'er for bestyrelsesmedlemmerne og den øverste ledelse offentliggøres på agenturets websted, og at erklæringernes format gør det muligt at opregne faglige, finansielle, personlige og andre interesser, der kan vedrøre agenturets aktiviteter; noterer sig på baggrund af agenturets opfølgningsrapport med hensyn til dechargemyndighedens bemærkning om, at erklæringerne om interessekonflikt og fortrolighed for lønnede eksperter ikke er offentliggjort på agenturets websted, at agenturet har vurderet, at offentliggørelsen af eksperternes ansøgninger og CV'er på grund af databeskyttelseshensyn ville føre til et betydeligt reduceret antal ansøgninger fra eksperter, da de fleste af de eksperter, der arbejder for agenturet, har en retshåndhævelsesbaggrund;</w:t>
      </w:r>
    </w:p>
    <w:p w14:paraId="6ECA2CE1" w14:textId="77777777" w:rsidR="00CF70C8" w:rsidRPr="00636A07" w:rsidRDefault="00CF70C8" w:rsidP="00CF70C8">
      <w:pPr>
        <w:spacing w:after="240"/>
        <w:ind w:left="567" w:hanging="567"/>
        <w:rPr>
          <w:szCs w:val="24"/>
        </w:rPr>
      </w:pPr>
      <w:r w:rsidRPr="00636A07">
        <w:t>28.</w:t>
      </w:r>
      <w:r w:rsidRPr="00636A07">
        <w:tab/>
        <w:t xml:space="preserve">bemærker med tilfredshed på baggrund af agenturets opfølgningsrapport, at agenturet </w:t>
      </w:r>
      <w:r w:rsidRPr="00636A07">
        <w:lastRenderedPageBreak/>
        <w:t>med lanceringen af sit nye websted i 2022 forbedrede sit offentlige register over dokumenter, og at de tekniske ændringer, der er blevet indført, gør det muligt for borgerne at søge efter agenturets officielle dokumenter efter kategori eller anmode om adgang til et dokument via en webformular, når der ikke gives direkte adgang gennem det offentlige register over dokumenter; bemærker, at agenturet i 2022 modtog fem anmodninger om aktindsigt og behandlede 920 offentlige forespørgsler fra borgere;</w:t>
      </w:r>
    </w:p>
    <w:p w14:paraId="5D28978B" w14:textId="77777777" w:rsidR="00CF70C8" w:rsidRPr="00636A07" w:rsidRDefault="00CF70C8" w:rsidP="00CF70C8">
      <w:pPr>
        <w:spacing w:after="240"/>
        <w:ind w:left="567" w:hanging="567"/>
        <w:rPr>
          <w:b/>
          <w:i/>
          <w:szCs w:val="24"/>
        </w:rPr>
      </w:pPr>
      <w:r w:rsidRPr="00636A07">
        <w:rPr>
          <w:b/>
          <w:i/>
        </w:rPr>
        <w:t>Intern kontrol</w:t>
      </w:r>
    </w:p>
    <w:p w14:paraId="794A873C" w14:textId="77777777" w:rsidR="00CF70C8" w:rsidRPr="00636A07" w:rsidRDefault="00CF70C8" w:rsidP="00CF70C8">
      <w:pPr>
        <w:spacing w:after="240"/>
        <w:ind w:left="567" w:hanging="567"/>
        <w:rPr>
          <w:szCs w:val="24"/>
        </w:rPr>
      </w:pPr>
      <w:r w:rsidRPr="00636A07">
        <w:t>29.</w:t>
      </w:r>
      <w:r w:rsidRPr="00636A07">
        <w:tab/>
        <w:t>noterer sig på baggrund af agenturets opfølgningsrapport, at agenturet med hensyn til flere svagheder i agenturets interne kontrolsystem, navnlig i forbindelse med udbudsprocedurer og forvaltningen af budgetforpligtelser, har taget skridt, herunder uddannelse og workshopper, til at øge bevidstheden om og mindske forekomsten af administrative fejl; noterer sig i den forbindelse på baggrund af Revisionsrettens beretning, at status for dens bemærkninger (for regnskabsåret 2021) vedrørende disse svagheder er afsluttet;</w:t>
      </w:r>
    </w:p>
    <w:p w14:paraId="3B32FD89" w14:textId="77777777" w:rsidR="00CF70C8" w:rsidRPr="00636A07" w:rsidRDefault="00CF70C8" w:rsidP="00CF70C8">
      <w:pPr>
        <w:spacing w:after="240"/>
        <w:ind w:left="567" w:hanging="567"/>
        <w:rPr>
          <w:szCs w:val="24"/>
        </w:rPr>
      </w:pPr>
      <w:r w:rsidRPr="00636A07">
        <w:t>30.</w:t>
      </w:r>
      <w:r w:rsidRPr="00636A07">
        <w:tab/>
        <w:t>noterer sig agenturets vurdering af sit interne kontrolsystem i 2022 og dets konklusion om, at systemet er effektivt, til stede og velfungerende, og at der kun er behov for mindre forbedringer; opfordrer agenturet til at afhjælpe de konstaterede mangler med hensyn til de interne kontrolkomponenter "Kontrolaktiviteter" og "Information og kommunikation" og til at holde dechargemyndigheden underrettet om de fremskridt, der gøres på dette område; bemærker med tilfredshed på baggrund af agenturets opfølgningsrapport, at der ved vurderingen af princip 17 "Vurdering og indberetning af mangler" under komponenten "Overvågningsaktiviteter" er taget højde for Revisionsrettens relevante bemærkninger fra tidligere år; opfordrer agenturet til fortsat at imødekomme alle bemærkningerne fra den revision af forvaltningen af menneskelige ressourcer og etik i Cepol, der blev foretaget af den interne revisionstjeneste i 2021;</w:t>
      </w:r>
    </w:p>
    <w:p w14:paraId="2E354A9C" w14:textId="77777777" w:rsidR="00CF70C8" w:rsidRPr="00636A07" w:rsidRDefault="00CF70C8" w:rsidP="00CF70C8">
      <w:pPr>
        <w:spacing w:after="240"/>
        <w:ind w:left="567" w:hanging="567"/>
        <w:rPr>
          <w:szCs w:val="24"/>
        </w:rPr>
      </w:pPr>
      <w:r w:rsidRPr="00636A07">
        <w:t>31.</w:t>
      </w:r>
      <w:r w:rsidRPr="00636A07">
        <w:tab/>
        <w:t>bemærker, at agenturet gennemfører en proces for registrering og godkendelse af undtagelser, der analyseres for at identificere specifikke problemområder og relevante foranstaltninger til forbedring; bemærker, at rapporten fra 2022 om undtagelser bekræfter, at agenturets interne kontrolsystem fungerer godt, og at tilfælde af manglende overholdelse opdages og afbødes ved hjælp af korrigerende og forebyggende foranstaltninger; bemærker endvidere, at der i 2022 blev gjort i alt 46 undtagelser gældende (sammenlignet med 27 undtagelser i 2021) til en værdi af 51 697 EUR (sammenlignet med 257 825 EUR i 2021), hvor 13 af disse undtagelser havde en finansiel virkning på over 1 000 EUR (fra 1 053 EUR til 12 240 EUR);</w:t>
      </w:r>
    </w:p>
    <w:p w14:paraId="4D7C1458" w14:textId="77777777" w:rsidR="00CF70C8" w:rsidRPr="00636A07" w:rsidRDefault="00CF70C8" w:rsidP="00CF70C8">
      <w:pPr>
        <w:spacing w:after="240"/>
        <w:ind w:left="567" w:hanging="567"/>
        <w:rPr>
          <w:b/>
          <w:i/>
          <w:szCs w:val="24"/>
        </w:rPr>
      </w:pPr>
      <w:r w:rsidRPr="00636A07">
        <w:rPr>
          <w:b/>
          <w:i/>
        </w:rPr>
        <w:t>Øvrige bemærkninger</w:t>
      </w:r>
    </w:p>
    <w:p w14:paraId="2C254D5C" w14:textId="77777777" w:rsidR="00CF70C8" w:rsidRPr="00636A07" w:rsidRDefault="00CF70C8" w:rsidP="00CF70C8">
      <w:pPr>
        <w:spacing w:after="240"/>
        <w:ind w:left="567" w:hanging="567"/>
        <w:rPr>
          <w:szCs w:val="24"/>
        </w:rPr>
      </w:pPr>
      <w:r w:rsidRPr="00636A07">
        <w:t>32.</w:t>
      </w:r>
      <w:r w:rsidRPr="00636A07">
        <w:tab/>
        <w:t>bemærker på baggrund af agenturets opfølgningsrapport med hensyn til spørgsmålet om, at agenturet ikke har tilstrækkelig kontorplads og plads til operationelle aktiviteter, at den ungarske regering har forpligtet sig til at sikre kontinuitet og stille passende faciliteter til rådighed for agenturet ved at vedtage en afgørelse om leje af et nyt hovedkvarter (6 000 m²); bemærker endvidere, at flytningen til nye lokaler kan finde sted indtil udgangen af 2024 sideløbende med indgåelsen af en ny hjemstedsaftale;</w:t>
      </w:r>
    </w:p>
    <w:p w14:paraId="2E1590A6" w14:textId="77777777" w:rsidR="00CF70C8" w:rsidRPr="00636A07" w:rsidRDefault="00CF70C8" w:rsidP="00CF70C8">
      <w:pPr>
        <w:pStyle w:val="NormalHanging12a"/>
      </w:pPr>
      <w:r w:rsidRPr="00636A07">
        <w:t>33.</w:t>
      </w:r>
      <w:r w:rsidRPr="00636A07">
        <w:tab/>
        <w:t xml:space="preserve">roser agenturets bestræbelser på at øge sin synlighed over for offentligheden og sin onlinetilstedeværelse; glæder sig i den forbindelse over lanceringen i 2022 af agenturets nye websted, der omfatter vigtige forbedringer, som f.eks. en klarere præsentation og struktur, et forbedret udseende og responsivt webdesign; bemærker endvidere, at </w:t>
      </w:r>
      <w:r w:rsidRPr="00636A07">
        <w:lastRenderedPageBreak/>
        <w:t>agenturets aktivitet på de sociale medier i 2022 var betydelig med 1 590 uploads af indhold, hvilket udgør 54 % flere opslag end i det foregående år; bemærker i den forbindelse den opadgående tendens i antallet af brugere af agenturets websted med over 200 000 registrerede besøg og i forbindelse med dets fanbase på de sociale medier, hvor det har 38 500 følgere på tværs af LinkedIn, X (tidligere Twitter) og Facebook;</w:t>
      </w:r>
    </w:p>
    <w:p w14:paraId="0C5AFC10" w14:textId="77777777" w:rsidR="00CF70C8" w:rsidRPr="00636A07" w:rsidRDefault="00CF70C8" w:rsidP="00CF70C8">
      <w:pPr>
        <w:pStyle w:val="NormalCenter12a"/>
      </w:pPr>
      <w:r w:rsidRPr="00636A07">
        <w:t>°</w:t>
      </w:r>
    </w:p>
    <w:p w14:paraId="1984976E" w14:textId="77777777" w:rsidR="00CF70C8" w:rsidRPr="00636A07" w:rsidRDefault="00CF70C8" w:rsidP="00CF70C8">
      <w:pPr>
        <w:pStyle w:val="NormalCenter12a"/>
      </w:pPr>
      <w:r w:rsidRPr="00636A07">
        <w:t>°</w:t>
      </w:r>
      <w:r w:rsidRPr="00636A07">
        <w:tab/>
        <w:t>°</w:t>
      </w:r>
    </w:p>
    <w:p w14:paraId="0EB2117C" w14:textId="3DF14903" w:rsidR="00CF70C8" w:rsidRPr="00636A07" w:rsidRDefault="00CF70C8" w:rsidP="00431D17">
      <w:pPr>
        <w:pStyle w:val="NormalHanging12a"/>
      </w:pPr>
      <w:r w:rsidRPr="00636A07">
        <w:t>34.</w:t>
      </w:r>
      <w:r w:rsidRPr="00636A07">
        <w:tab/>
        <w:t xml:space="preserve">henviser med hensyn til de øvrige bemærkninger, der ledsager dechargeafgørelsen, og som er af horisontal karakter, til sin beslutning af </w:t>
      </w:r>
      <w:r w:rsidR="00431D17" w:rsidRPr="00FD58F5">
        <w:t>11. april 2024</w:t>
      </w:r>
      <w:r w:rsidRPr="00636A07">
        <w:rPr>
          <w:rStyle w:val="FootnoteReference"/>
        </w:rPr>
        <w:footnoteReference w:id="12"/>
      </w:r>
      <w:r w:rsidRPr="00636A07">
        <w:t xml:space="preserve"> om</w:t>
      </w:r>
      <w:bookmarkStart w:id="8" w:name="_GoBack"/>
      <w:bookmarkEnd w:id="8"/>
      <w:r w:rsidRPr="00636A07">
        <w:t xml:space="preserve"> agenturernes resultater, økonomiske forvaltning og kontrol.</w:t>
      </w:r>
    </w:p>
    <w:sectPr w:rsidR="00CF70C8" w:rsidRPr="00636A07" w:rsidSect="00431D1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7319A" w14:textId="77777777" w:rsidR="0019463F" w:rsidRPr="00636A07" w:rsidRDefault="0019463F">
      <w:r w:rsidRPr="00636A07">
        <w:separator/>
      </w:r>
    </w:p>
  </w:endnote>
  <w:endnote w:type="continuationSeparator" w:id="0">
    <w:p w14:paraId="27E53B40" w14:textId="77777777" w:rsidR="0019463F" w:rsidRPr="00636A07" w:rsidRDefault="0019463F">
      <w:r w:rsidRPr="00636A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16C50" w14:textId="77777777" w:rsidR="00CF70C8" w:rsidRPr="00636A07" w:rsidRDefault="00CF70C8" w:rsidP="00960D16">
    <w:pPr>
      <w:pStyle w:val="EPFooter"/>
    </w:pPr>
    <w:r w:rsidRPr="00636A07">
      <w:t>PE</w:t>
    </w:r>
    <w:r w:rsidRPr="00636A07">
      <w:rPr>
        <w:rStyle w:val="HideTWBExt"/>
      </w:rPr>
      <w:t>&lt;NoPE&gt;</w:t>
    </w:r>
    <w:r w:rsidRPr="00636A07">
      <w:t>753.510</w:t>
    </w:r>
    <w:r w:rsidRPr="00636A07">
      <w:rPr>
        <w:rStyle w:val="HideTWBExt"/>
      </w:rPr>
      <w:t>&lt;/NoPE&gt;&lt;Version&gt;</w:t>
    </w:r>
    <w:r w:rsidRPr="00636A07">
      <w:t>v02-00</w:t>
    </w:r>
    <w:r w:rsidRPr="00636A07">
      <w:rPr>
        <w:rStyle w:val="HideTWBExt"/>
      </w:rPr>
      <w:t>&lt;/Version&gt;</w:t>
    </w:r>
    <w:r w:rsidRPr="00636A07">
      <w:tab/>
    </w:r>
    <w:r w:rsidRPr="00636A07">
      <w:fldChar w:fldCharType="begin"/>
    </w:r>
    <w:r w:rsidRPr="00636A07">
      <w:instrText xml:space="preserve"> PAGE  \* MERGEFORMAT </w:instrText>
    </w:r>
    <w:r w:rsidRPr="00636A07">
      <w:fldChar w:fldCharType="separate"/>
    </w:r>
    <w:r w:rsidR="00636A07" w:rsidRPr="00636A07">
      <w:rPr>
        <w:noProof/>
      </w:rPr>
      <w:t>2</w:t>
    </w:r>
    <w:r w:rsidRPr="00636A07">
      <w:fldChar w:fldCharType="end"/>
    </w:r>
    <w:r w:rsidRPr="00636A07">
      <w:t>/</w:t>
    </w:r>
    <w:r w:rsidR="004704CD">
      <w:fldChar w:fldCharType="begin"/>
    </w:r>
    <w:r w:rsidR="004704CD">
      <w:instrText xml:space="preserve"> NUMPAGES  \* MERGEFORMAT </w:instrText>
    </w:r>
    <w:r w:rsidR="004704CD">
      <w:fldChar w:fldCharType="separate"/>
    </w:r>
    <w:r w:rsidR="00636A07" w:rsidRPr="00636A07">
      <w:rPr>
        <w:noProof/>
      </w:rPr>
      <w:t>4</w:t>
    </w:r>
    <w:r w:rsidR="004704CD">
      <w:rPr>
        <w:noProof/>
      </w:rPr>
      <w:fldChar w:fldCharType="end"/>
    </w:r>
    <w:r w:rsidRPr="00636A07">
      <w:tab/>
    </w:r>
    <w:r w:rsidRPr="00636A07">
      <w:rPr>
        <w:rStyle w:val="HideTWBExt"/>
      </w:rPr>
      <w:t>&lt;PathFdR&gt;</w:t>
    </w:r>
    <w:r w:rsidRPr="00636A07">
      <w:t>RR\1298754DA.docx</w:t>
    </w:r>
    <w:r w:rsidRPr="00636A07">
      <w:rPr>
        <w:rStyle w:val="HideTWBExt"/>
      </w:rPr>
      <w:t>&lt;/PathFdR&gt;</w:t>
    </w:r>
  </w:p>
  <w:p w14:paraId="33F50710" w14:textId="77777777" w:rsidR="00CF70C8" w:rsidRPr="00636A07" w:rsidRDefault="00CF70C8" w:rsidP="00960D16">
    <w:pPr>
      <w:pStyle w:val="EPFooter2"/>
    </w:pPr>
    <w:r w:rsidRPr="00636A0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89486" w14:textId="77777777" w:rsidR="00CF70C8" w:rsidRPr="00636A07" w:rsidRDefault="00CF70C8" w:rsidP="00960D1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1F866" w14:textId="77777777" w:rsidR="00CF70C8" w:rsidRPr="00636A07" w:rsidRDefault="00CF70C8" w:rsidP="00960D16">
    <w:pPr>
      <w:pStyle w:val="EPFooter"/>
    </w:pPr>
    <w:r w:rsidRPr="00636A07">
      <w:rPr>
        <w:rStyle w:val="HideTWBExt"/>
      </w:rPr>
      <w:t>&lt;PathFdR&gt;</w:t>
    </w:r>
    <w:r w:rsidRPr="00636A07">
      <w:t>RR\1298754DA.docx</w:t>
    </w:r>
    <w:r w:rsidRPr="00636A07">
      <w:rPr>
        <w:rStyle w:val="HideTWBExt"/>
      </w:rPr>
      <w:t>&lt;/PathFdR&gt;</w:t>
    </w:r>
    <w:r w:rsidRPr="00636A07">
      <w:tab/>
    </w:r>
    <w:r w:rsidRPr="00636A07">
      <w:tab/>
      <w:t>PE</w:t>
    </w:r>
    <w:r w:rsidRPr="00636A07">
      <w:rPr>
        <w:rStyle w:val="HideTWBExt"/>
      </w:rPr>
      <w:t>&lt;NoPE&gt;</w:t>
    </w:r>
    <w:r w:rsidRPr="00636A07">
      <w:t>753.510</w:t>
    </w:r>
    <w:r w:rsidRPr="00636A07">
      <w:rPr>
        <w:rStyle w:val="HideTWBExt"/>
      </w:rPr>
      <w:t>&lt;/NoPE&gt;&lt;Version&gt;</w:t>
    </w:r>
    <w:r w:rsidRPr="00636A07">
      <w:t>v02-00</w:t>
    </w:r>
    <w:r w:rsidRPr="00636A07">
      <w:rPr>
        <w:rStyle w:val="HideTWBExt"/>
      </w:rPr>
      <w:t>&lt;/Version&gt;</w:t>
    </w:r>
  </w:p>
  <w:p w14:paraId="5CB34981" w14:textId="77777777" w:rsidR="00CF70C8" w:rsidRPr="00636A07" w:rsidRDefault="00CF70C8" w:rsidP="00960D16">
    <w:pPr>
      <w:pStyle w:val="EPFooter2"/>
    </w:pPr>
    <w:r w:rsidRPr="00636A07">
      <w:t>DA</w:t>
    </w:r>
    <w:r w:rsidRPr="00636A07">
      <w:tab/>
    </w:r>
    <w:r w:rsidRPr="00636A07">
      <w:rPr>
        <w:b w:val="0"/>
        <w:i/>
        <w:color w:val="C0C0C0"/>
        <w:sz w:val="22"/>
      </w:rPr>
      <w:t>Forenet i mangfoldighed</w:t>
    </w:r>
    <w:r w:rsidRPr="00636A07">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AF678" w14:textId="77777777" w:rsidR="00064002" w:rsidRPr="00636A0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CB16D" w14:textId="77777777" w:rsidR="00064002" w:rsidRPr="00636A0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E2D96" w14:textId="77777777" w:rsidR="00064002" w:rsidRPr="00636A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23FA9" w14:textId="77777777" w:rsidR="0019463F" w:rsidRPr="00636A07" w:rsidRDefault="0019463F">
      <w:r w:rsidRPr="00636A07">
        <w:separator/>
      </w:r>
    </w:p>
  </w:footnote>
  <w:footnote w:type="continuationSeparator" w:id="0">
    <w:p w14:paraId="775BA4D8" w14:textId="77777777" w:rsidR="0019463F" w:rsidRPr="00636A07" w:rsidRDefault="0019463F">
      <w:r w:rsidRPr="00636A07">
        <w:continuationSeparator/>
      </w:r>
    </w:p>
  </w:footnote>
  <w:footnote w:id="1">
    <w:p w14:paraId="41D1E103" w14:textId="77777777" w:rsidR="00CF70C8" w:rsidRPr="00FD58F5" w:rsidRDefault="00CF70C8" w:rsidP="00636A07">
      <w:pPr>
        <w:pStyle w:val="FootnoteText"/>
        <w:ind w:left="567" w:hanging="567"/>
        <w:rPr>
          <w:sz w:val="24"/>
        </w:rPr>
      </w:pPr>
      <w:r w:rsidRPr="00636A07">
        <w:rPr>
          <w:rStyle w:val="FootnoteReference"/>
          <w:sz w:val="24"/>
          <w:lang w:val="da-DK"/>
        </w:rPr>
        <w:footnoteRef/>
      </w:r>
      <w:r w:rsidR="00636A07" w:rsidRPr="00FD58F5">
        <w:rPr>
          <w:sz w:val="24"/>
        </w:rPr>
        <w:t xml:space="preserve"> </w:t>
      </w:r>
      <w:r w:rsidR="00636A07" w:rsidRPr="00FD58F5">
        <w:rPr>
          <w:sz w:val="24"/>
        </w:rPr>
        <w:tab/>
      </w:r>
      <w:r w:rsidRPr="00FD58F5">
        <w:rPr>
          <w:sz w:val="24"/>
        </w:rPr>
        <w:t>EUT C, C/2023/594, 27.10.2023.</w:t>
      </w:r>
    </w:p>
  </w:footnote>
  <w:footnote w:id="2">
    <w:p w14:paraId="2BB1FADF" w14:textId="77777777" w:rsidR="00CF70C8" w:rsidRPr="00FD58F5" w:rsidRDefault="00CF70C8" w:rsidP="00636A07">
      <w:pPr>
        <w:pStyle w:val="FootnoteText"/>
        <w:ind w:left="567" w:hanging="567"/>
        <w:rPr>
          <w:sz w:val="24"/>
        </w:rPr>
      </w:pPr>
      <w:r w:rsidRPr="00636A07">
        <w:rPr>
          <w:rStyle w:val="FootnoteReference"/>
          <w:sz w:val="24"/>
          <w:lang w:val="da-DK"/>
        </w:rPr>
        <w:footnoteRef/>
      </w:r>
      <w:r w:rsidR="00636A07" w:rsidRPr="00FD58F5">
        <w:rPr>
          <w:sz w:val="24"/>
        </w:rPr>
        <w:t xml:space="preserve"> </w:t>
      </w:r>
      <w:r w:rsidR="00636A07" w:rsidRPr="00FD58F5">
        <w:rPr>
          <w:sz w:val="24"/>
        </w:rPr>
        <w:tab/>
      </w:r>
      <w:r w:rsidRPr="00FD58F5">
        <w:rPr>
          <w:sz w:val="24"/>
        </w:rPr>
        <w:t>EUT C, C/2023/112, 12.10 2023.</w:t>
      </w:r>
    </w:p>
  </w:footnote>
  <w:footnote w:id="3">
    <w:p w14:paraId="65F1FB20" w14:textId="77777777" w:rsidR="00CF70C8" w:rsidRPr="00636A07" w:rsidRDefault="00CF70C8" w:rsidP="00636A07">
      <w:pPr>
        <w:pStyle w:val="FootnoteText"/>
        <w:ind w:left="567" w:hanging="567"/>
        <w:rPr>
          <w:sz w:val="24"/>
          <w:lang w:val="da-DK"/>
        </w:rPr>
      </w:pPr>
      <w:r w:rsidRPr="00636A07">
        <w:rPr>
          <w:rStyle w:val="FootnoteReference"/>
          <w:sz w:val="24"/>
          <w:lang w:val="da-DK"/>
        </w:rPr>
        <w:footnoteRef/>
      </w:r>
      <w:r w:rsidR="00636A07" w:rsidRPr="00636A07">
        <w:rPr>
          <w:sz w:val="24"/>
          <w:lang w:val="da-DK"/>
        </w:rPr>
        <w:t xml:space="preserve"> </w:t>
      </w:r>
      <w:r w:rsidR="00636A07" w:rsidRPr="00636A07">
        <w:rPr>
          <w:sz w:val="24"/>
          <w:lang w:val="da-DK"/>
        </w:rPr>
        <w:tab/>
      </w:r>
      <w:r w:rsidRPr="00636A07">
        <w:rPr>
          <w:sz w:val="24"/>
          <w:lang w:val="da-DK"/>
        </w:rPr>
        <w:t>EUT L 193 af 30.7.2018, s. 1.</w:t>
      </w:r>
    </w:p>
  </w:footnote>
  <w:footnote w:id="4">
    <w:p w14:paraId="0F3BEAB9" w14:textId="77777777" w:rsidR="00CF70C8" w:rsidRPr="00636A07" w:rsidRDefault="00CF70C8" w:rsidP="00636A07">
      <w:pPr>
        <w:pStyle w:val="FootnoteText"/>
        <w:ind w:left="567" w:hanging="567"/>
        <w:rPr>
          <w:sz w:val="24"/>
          <w:lang w:val="da-DK"/>
        </w:rPr>
      </w:pPr>
      <w:r w:rsidRPr="00636A07">
        <w:rPr>
          <w:rStyle w:val="FootnoteReference"/>
          <w:sz w:val="24"/>
          <w:lang w:val="da-DK"/>
        </w:rPr>
        <w:footnoteRef/>
      </w:r>
      <w:r w:rsidR="00636A07" w:rsidRPr="00636A07">
        <w:rPr>
          <w:sz w:val="24"/>
          <w:lang w:val="da-DK"/>
        </w:rPr>
        <w:t xml:space="preserve"> </w:t>
      </w:r>
      <w:r w:rsidR="00636A07" w:rsidRPr="00636A07">
        <w:rPr>
          <w:sz w:val="24"/>
          <w:lang w:val="da-DK"/>
        </w:rPr>
        <w:tab/>
      </w:r>
      <w:r w:rsidRPr="00636A07">
        <w:rPr>
          <w:sz w:val="24"/>
          <w:lang w:val="da-DK"/>
        </w:rPr>
        <w:t>EUT L 319 af 4.12.2015, s. 1.</w:t>
      </w:r>
    </w:p>
  </w:footnote>
  <w:footnote w:id="5">
    <w:p w14:paraId="08A8647F" w14:textId="77777777" w:rsidR="00CF70C8" w:rsidRPr="00636A07" w:rsidRDefault="00CF70C8" w:rsidP="00636A07">
      <w:pPr>
        <w:pStyle w:val="FootnoteText"/>
        <w:ind w:left="567" w:hanging="567"/>
        <w:rPr>
          <w:sz w:val="24"/>
          <w:szCs w:val="24"/>
          <w:lang w:val="da-DK"/>
        </w:rPr>
      </w:pPr>
      <w:r w:rsidRPr="00636A07">
        <w:rPr>
          <w:rStyle w:val="FootnoteReference"/>
          <w:sz w:val="24"/>
          <w:lang w:val="da-DK"/>
        </w:rPr>
        <w:footnoteRef/>
      </w:r>
      <w:r w:rsidR="00636A07" w:rsidRPr="00636A07">
        <w:rPr>
          <w:sz w:val="24"/>
          <w:lang w:val="da-DK"/>
        </w:rPr>
        <w:t xml:space="preserve"> </w:t>
      </w:r>
      <w:r w:rsidR="00636A07" w:rsidRPr="00636A07">
        <w:rPr>
          <w:sz w:val="24"/>
          <w:lang w:val="da-DK"/>
        </w:rPr>
        <w:tab/>
      </w:r>
      <w:r w:rsidRPr="00636A07">
        <w:rPr>
          <w:sz w:val="24"/>
          <w:lang w:val="da-DK"/>
        </w:rPr>
        <w:t>EUT L 122 af 10.5.2019, s. 1.</w:t>
      </w:r>
    </w:p>
  </w:footnote>
  <w:footnote w:id="6">
    <w:p w14:paraId="3F2412D6" w14:textId="77777777" w:rsidR="00CF70C8" w:rsidRPr="00636A07" w:rsidRDefault="00CF70C8" w:rsidP="00636A07">
      <w:pPr>
        <w:pStyle w:val="FootnoteText"/>
        <w:ind w:left="567" w:hanging="567"/>
        <w:rPr>
          <w:sz w:val="24"/>
          <w:lang w:val="da-DK"/>
        </w:rPr>
      </w:pPr>
      <w:r w:rsidRPr="00636A07">
        <w:rPr>
          <w:rStyle w:val="FootnoteReference"/>
          <w:sz w:val="24"/>
          <w:lang w:val="da-DK"/>
        </w:rPr>
        <w:footnoteRef/>
      </w:r>
      <w:r w:rsidR="00636A07" w:rsidRPr="00636A07">
        <w:rPr>
          <w:sz w:val="24"/>
          <w:lang w:val="da-DK"/>
        </w:rPr>
        <w:t xml:space="preserve"> </w:t>
      </w:r>
      <w:r w:rsidR="00636A07" w:rsidRPr="00636A07">
        <w:rPr>
          <w:sz w:val="24"/>
          <w:lang w:val="da-DK"/>
        </w:rPr>
        <w:tab/>
      </w:r>
      <w:r w:rsidRPr="00636A07">
        <w:rPr>
          <w:sz w:val="24"/>
          <w:lang w:val="da-DK"/>
        </w:rPr>
        <w:t>EUT C, C/2023/594, 27.10.2023.</w:t>
      </w:r>
    </w:p>
  </w:footnote>
  <w:footnote w:id="7">
    <w:p w14:paraId="65F36625" w14:textId="77777777" w:rsidR="00CF70C8" w:rsidRPr="00FD58F5" w:rsidRDefault="00CF70C8" w:rsidP="00636A07">
      <w:pPr>
        <w:pStyle w:val="FootnoteText"/>
        <w:ind w:left="567" w:hanging="567"/>
        <w:rPr>
          <w:sz w:val="24"/>
        </w:rPr>
      </w:pPr>
      <w:r w:rsidRPr="00636A07">
        <w:rPr>
          <w:rStyle w:val="FootnoteReference"/>
          <w:sz w:val="24"/>
          <w:lang w:val="da-DK"/>
        </w:rPr>
        <w:footnoteRef/>
      </w:r>
      <w:r w:rsidR="00636A07" w:rsidRPr="00FD58F5">
        <w:rPr>
          <w:sz w:val="24"/>
        </w:rPr>
        <w:t xml:space="preserve"> </w:t>
      </w:r>
      <w:r w:rsidR="00636A07" w:rsidRPr="00FD58F5">
        <w:rPr>
          <w:sz w:val="24"/>
        </w:rPr>
        <w:tab/>
      </w:r>
      <w:r w:rsidRPr="00FD58F5">
        <w:rPr>
          <w:sz w:val="24"/>
        </w:rPr>
        <w:t>EUT C, C/2023/112, 12.10.2023.</w:t>
      </w:r>
    </w:p>
  </w:footnote>
  <w:footnote w:id="8">
    <w:p w14:paraId="45A28171" w14:textId="77777777" w:rsidR="00CF70C8" w:rsidRPr="00FD58F5" w:rsidRDefault="00CF70C8" w:rsidP="00636A07">
      <w:pPr>
        <w:pStyle w:val="FootnoteText"/>
        <w:ind w:left="567" w:hanging="567"/>
        <w:rPr>
          <w:sz w:val="24"/>
        </w:rPr>
      </w:pPr>
      <w:r w:rsidRPr="00636A07">
        <w:rPr>
          <w:rStyle w:val="FootnoteReference"/>
          <w:sz w:val="24"/>
          <w:lang w:val="da-DK"/>
        </w:rPr>
        <w:footnoteRef/>
      </w:r>
      <w:r w:rsidR="00636A07" w:rsidRPr="00FD58F5">
        <w:rPr>
          <w:sz w:val="24"/>
        </w:rPr>
        <w:t xml:space="preserve"> </w:t>
      </w:r>
      <w:r w:rsidR="00636A07" w:rsidRPr="00FD58F5">
        <w:rPr>
          <w:sz w:val="24"/>
        </w:rPr>
        <w:tab/>
      </w:r>
      <w:r w:rsidRPr="00FD58F5">
        <w:rPr>
          <w:sz w:val="24"/>
        </w:rPr>
        <w:t>EUT L 193 af 30.7.2018, s. 1.</w:t>
      </w:r>
    </w:p>
  </w:footnote>
  <w:footnote w:id="9">
    <w:p w14:paraId="064CAA64" w14:textId="77777777" w:rsidR="00CF70C8" w:rsidRPr="00636A07" w:rsidRDefault="00CF70C8" w:rsidP="00636A07">
      <w:pPr>
        <w:pStyle w:val="FootnoteText"/>
        <w:ind w:left="567" w:hanging="567"/>
        <w:rPr>
          <w:sz w:val="24"/>
          <w:lang w:val="da-DK"/>
        </w:rPr>
      </w:pPr>
      <w:r w:rsidRPr="00636A07">
        <w:rPr>
          <w:rStyle w:val="FootnoteReference"/>
          <w:sz w:val="24"/>
          <w:lang w:val="da-DK"/>
        </w:rPr>
        <w:footnoteRef/>
      </w:r>
      <w:r w:rsidR="00636A07" w:rsidRPr="00636A07">
        <w:rPr>
          <w:sz w:val="24"/>
          <w:lang w:val="da-DK"/>
        </w:rPr>
        <w:t xml:space="preserve"> </w:t>
      </w:r>
      <w:r w:rsidR="00636A07" w:rsidRPr="00636A07">
        <w:rPr>
          <w:sz w:val="24"/>
          <w:lang w:val="da-DK"/>
        </w:rPr>
        <w:tab/>
      </w:r>
      <w:r w:rsidRPr="00636A07">
        <w:rPr>
          <w:sz w:val="24"/>
          <w:lang w:val="da-DK"/>
        </w:rPr>
        <w:t>EUT L 319 af 4.12.2015, s. 1.</w:t>
      </w:r>
    </w:p>
  </w:footnote>
  <w:footnote w:id="10">
    <w:p w14:paraId="463165BE" w14:textId="77777777" w:rsidR="00CF70C8" w:rsidRPr="00636A07" w:rsidRDefault="00CF70C8" w:rsidP="00636A07">
      <w:pPr>
        <w:pStyle w:val="FootnoteText"/>
        <w:ind w:left="567" w:hanging="567"/>
        <w:rPr>
          <w:sz w:val="24"/>
          <w:szCs w:val="24"/>
          <w:lang w:val="da-DK"/>
        </w:rPr>
      </w:pPr>
      <w:r w:rsidRPr="00636A07">
        <w:rPr>
          <w:rStyle w:val="FootnoteReference"/>
          <w:sz w:val="24"/>
          <w:lang w:val="da-DK"/>
        </w:rPr>
        <w:footnoteRef/>
      </w:r>
      <w:r w:rsidR="00636A07" w:rsidRPr="00636A07">
        <w:rPr>
          <w:sz w:val="24"/>
          <w:lang w:val="da-DK"/>
        </w:rPr>
        <w:t xml:space="preserve"> </w:t>
      </w:r>
      <w:r w:rsidR="00636A07" w:rsidRPr="00636A07">
        <w:rPr>
          <w:sz w:val="24"/>
          <w:lang w:val="da-DK"/>
        </w:rPr>
        <w:tab/>
      </w:r>
      <w:r w:rsidRPr="00636A07">
        <w:rPr>
          <w:sz w:val="24"/>
          <w:lang w:val="da-DK"/>
        </w:rPr>
        <w:t>EUT L 122 af 10.5.2019, s. 1.</w:t>
      </w:r>
    </w:p>
  </w:footnote>
  <w:footnote w:id="11">
    <w:p w14:paraId="7018F254" w14:textId="77777777" w:rsidR="00CF70C8" w:rsidRPr="00636A07" w:rsidRDefault="00CF70C8" w:rsidP="00636A07">
      <w:pPr>
        <w:pStyle w:val="FootnoteText"/>
        <w:ind w:left="567" w:hanging="567"/>
        <w:rPr>
          <w:sz w:val="24"/>
          <w:lang w:val="da-DK"/>
        </w:rPr>
      </w:pPr>
      <w:r w:rsidRPr="00636A07">
        <w:rPr>
          <w:rStyle w:val="FootnoteReference"/>
          <w:sz w:val="24"/>
          <w:lang w:val="da-DK"/>
        </w:rPr>
        <w:footnoteRef/>
      </w:r>
      <w:r w:rsidR="00636A07" w:rsidRPr="00636A07">
        <w:rPr>
          <w:sz w:val="24"/>
          <w:lang w:val="da-DK"/>
        </w:rPr>
        <w:t xml:space="preserve"> </w:t>
      </w:r>
      <w:r w:rsidR="00636A07" w:rsidRPr="00636A07">
        <w:rPr>
          <w:sz w:val="24"/>
          <w:lang w:val="da-DK"/>
        </w:rPr>
        <w:tab/>
      </w:r>
      <w:r w:rsidRPr="00636A07">
        <w:rPr>
          <w:sz w:val="24"/>
          <w:lang w:val="da-DK"/>
        </w:rPr>
        <w:t>EUT C 73 af 28.2.2023, s. 44.</w:t>
      </w:r>
    </w:p>
  </w:footnote>
  <w:footnote w:id="12">
    <w:p w14:paraId="08156539" w14:textId="26A14708" w:rsidR="00CF70C8" w:rsidRPr="00636A07" w:rsidRDefault="00CF70C8" w:rsidP="00636A07">
      <w:pPr>
        <w:pStyle w:val="FootnoteText"/>
        <w:ind w:left="567" w:hanging="567"/>
        <w:rPr>
          <w:sz w:val="24"/>
          <w:lang w:val="da-DK"/>
        </w:rPr>
      </w:pPr>
      <w:r w:rsidRPr="00636A07">
        <w:rPr>
          <w:rStyle w:val="FootnoteReference"/>
          <w:sz w:val="24"/>
          <w:lang w:val="da-DK"/>
        </w:rPr>
        <w:footnoteRef/>
      </w:r>
      <w:r w:rsidR="00636A07" w:rsidRPr="00636A07">
        <w:rPr>
          <w:sz w:val="24"/>
          <w:lang w:val="da-DK"/>
        </w:rPr>
        <w:t xml:space="preserve"> </w:t>
      </w:r>
      <w:r w:rsidR="00636A07" w:rsidRPr="00636A07">
        <w:rPr>
          <w:sz w:val="24"/>
          <w:lang w:val="da-DK"/>
        </w:rPr>
        <w:tab/>
      </w:r>
      <w:r w:rsidRPr="00636A07">
        <w:rPr>
          <w:sz w:val="24"/>
          <w:lang w:val="da-DK"/>
        </w:rPr>
        <w:t>Vedtagne tekster, P9_TA(2024)0</w:t>
      </w:r>
      <w:r w:rsidR="00FF6C1F">
        <w:rPr>
          <w:sz w:val="24"/>
          <w:lang w:val="da-DK"/>
        </w:rPr>
        <w:t>280</w:t>
      </w:r>
      <w:r w:rsidRPr="00636A0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2775E" w14:textId="77777777" w:rsidR="00CF70C8" w:rsidRPr="00636A07" w:rsidRDefault="00CF70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6338D" w14:textId="77777777" w:rsidR="00CF70C8" w:rsidRPr="00636A07" w:rsidRDefault="00CF7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EC1FD" w14:textId="77777777" w:rsidR="00CF70C8" w:rsidRPr="00636A07" w:rsidRDefault="00CF70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6845A" w14:textId="77777777" w:rsidR="00064002" w:rsidRPr="00636A0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D939C" w14:textId="77777777" w:rsidR="00064002" w:rsidRPr="00636A0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F23C7" w14:textId="77777777" w:rsidR="00064002" w:rsidRPr="00636A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DA"/>
    <w:docVar w:name="dvnumam" w:val="0"/>
    <w:docVar w:name="dvpe" w:val="753.510"/>
    <w:docVar w:name="dvrapporteur" w:val="Ordfører: "/>
    <w:docVar w:name="dvtitre" w:val="Europa-Parlamentets afgørelse af xx.xx 2024 om decharge for gennemførelsen af budgettet for Den Europæiske Unions Agentur for Uddannelse inden for Retshåndhævelse (Cepol) for regnskabsåret 2022(2023/2144(DEC))"/>
  </w:docVars>
  <w:rsids>
    <w:rsidRoot w:val="0019463F"/>
    <w:rsid w:val="00002272"/>
    <w:rsid w:val="00064002"/>
    <w:rsid w:val="000677B9"/>
    <w:rsid w:val="000831BA"/>
    <w:rsid w:val="000A42CC"/>
    <w:rsid w:val="000E7DD9"/>
    <w:rsid w:val="0010095E"/>
    <w:rsid w:val="00125B37"/>
    <w:rsid w:val="00187494"/>
    <w:rsid w:val="0019463F"/>
    <w:rsid w:val="001F32AE"/>
    <w:rsid w:val="002767FF"/>
    <w:rsid w:val="002B18FE"/>
    <w:rsid w:val="002B5493"/>
    <w:rsid w:val="00343214"/>
    <w:rsid w:val="00361C00"/>
    <w:rsid w:val="00395FA1"/>
    <w:rsid w:val="003E15D4"/>
    <w:rsid w:val="00411CCE"/>
    <w:rsid w:val="0041666E"/>
    <w:rsid w:val="00421060"/>
    <w:rsid w:val="00431D17"/>
    <w:rsid w:val="004704CD"/>
    <w:rsid w:val="00471C19"/>
    <w:rsid w:val="004867E3"/>
    <w:rsid w:val="00494A28"/>
    <w:rsid w:val="004C0004"/>
    <w:rsid w:val="004C5D52"/>
    <w:rsid w:val="0050519A"/>
    <w:rsid w:val="005072A1"/>
    <w:rsid w:val="00514517"/>
    <w:rsid w:val="00545827"/>
    <w:rsid w:val="00560270"/>
    <w:rsid w:val="005C2568"/>
    <w:rsid w:val="006037C0"/>
    <w:rsid w:val="00636A07"/>
    <w:rsid w:val="006631B6"/>
    <w:rsid w:val="00680577"/>
    <w:rsid w:val="006F74FA"/>
    <w:rsid w:val="00731ADD"/>
    <w:rsid w:val="00734777"/>
    <w:rsid w:val="00747932"/>
    <w:rsid w:val="00751A4A"/>
    <w:rsid w:val="00756632"/>
    <w:rsid w:val="00762C74"/>
    <w:rsid w:val="00786EC0"/>
    <w:rsid w:val="007976D7"/>
    <w:rsid w:val="007D1690"/>
    <w:rsid w:val="007E22AD"/>
    <w:rsid w:val="00817416"/>
    <w:rsid w:val="00842779"/>
    <w:rsid w:val="00865F67"/>
    <w:rsid w:val="00881A7B"/>
    <w:rsid w:val="008840E5"/>
    <w:rsid w:val="00887B3E"/>
    <w:rsid w:val="008B4B1C"/>
    <w:rsid w:val="008C2AC6"/>
    <w:rsid w:val="0091258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0C8"/>
    <w:rsid w:val="00D058B8"/>
    <w:rsid w:val="00D56C11"/>
    <w:rsid w:val="00D834A0"/>
    <w:rsid w:val="00D872DF"/>
    <w:rsid w:val="00D91E21"/>
    <w:rsid w:val="00DA7FCD"/>
    <w:rsid w:val="00E365E1"/>
    <w:rsid w:val="00E56A0B"/>
    <w:rsid w:val="00E820A4"/>
    <w:rsid w:val="00EB006A"/>
    <w:rsid w:val="00EB4772"/>
    <w:rsid w:val="00ED169E"/>
    <w:rsid w:val="00ED4235"/>
    <w:rsid w:val="00F04346"/>
    <w:rsid w:val="00F075DC"/>
    <w:rsid w:val="00F149E9"/>
    <w:rsid w:val="00F5134D"/>
    <w:rsid w:val="00F74202"/>
    <w:rsid w:val="00F87713"/>
    <w:rsid w:val="00FB4360"/>
    <w:rsid w:val="00FD0C70"/>
    <w:rsid w:val="00FD58F5"/>
    <w:rsid w:val="00FF6C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6EA32"/>
  <w15:chartTrackingRefBased/>
  <w15:docId w15:val="{67FF0CD3-FA6A-48CB-8830-88B5FD2C1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F70C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F70C8"/>
    <w:pPr>
      <w:spacing w:before="480" w:after="240"/>
    </w:pPr>
  </w:style>
  <w:style w:type="paragraph" w:customStyle="1" w:styleId="PageHeading">
    <w:name w:val="PageHeading"/>
    <w:basedOn w:val="Normal"/>
    <w:rsid w:val="00CF70C8"/>
    <w:pPr>
      <w:keepNext/>
      <w:spacing w:after="480"/>
      <w:jc w:val="center"/>
    </w:pPr>
    <w:rPr>
      <w:rFonts w:ascii="Arial" w:hAnsi="Arial" w:cs="Arial"/>
      <w:b/>
    </w:rPr>
  </w:style>
  <w:style w:type="paragraph" w:customStyle="1" w:styleId="NormalBold">
    <w:name w:val="NormalBold"/>
    <w:basedOn w:val="Normal"/>
    <w:rsid w:val="00CF70C8"/>
    <w:rPr>
      <w:b/>
    </w:rPr>
  </w:style>
  <w:style w:type="paragraph" w:customStyle="1" w:styleId="NormalHanging12a">
    <w:name w:val="NormalHanging12a"/>
    <w:basedOn w:val="Normal"/>
    <w:link w:val="NormalHanging12aChar"/>
    <w:rsid w:val="00CF70C8"/>
    <w:pPr>
      <w:spacing w:after="240"/>
      <w:ind w:left="567" w:hanging="567"/>
    </w:pPr>
  </w:style>
  <w:style w:type="paragraph" w:customStyle="1" w:styleId="NormalCenter12a">
    <w:name w:val="NormalCenter12a"/>
    <w:basedOn w:val="Normal"/>
    <w:rsid w:val="00CF70C8"/>
    <w:pPr>
      <w:spacing w:after="240"/>
      <w:jc w:val="center"/>
    </w:pPr>
  </w:style>
  <w:style w:type="paragraph" w:styleId="Header">
    <w:name w:val="header"/>
    <w:basedOn w:val="Normal"/>
    <w:link w:val="HeaderChar"/>
    <w:rsid w:val="00CF70C8"/>
    <w:pPr>
      <w:tabs>
        <w:tab w:val="center" w:pos="4513"/>
        <w:tab w:val="right" w:pos="9026"/>
      </w:tabs>
    </w:pPr>
  </w:style>
  <w:style w:type="character" w:customStyle="1" w:styleId="HeaderChar">
    <w:name w:val="Header Char"/>
    <w:basedOn w:val="DefaultParagraphFont"/>
    <w:link w:val="Header"/>
    <w:rsid w:val="00CF70C8"/>
    <w:rPr>
      <w:sz w:val="24"/>
      <w:lang w:val="da-DK"/>
    </w:rPr>
  </w:style>
  <w:style w:type="paragraph" w:customStyle="1" w:styleId="EPFooter">
    <w:name w:val="EPFooter"/>
    <w:basedOn w:val="Normal"/>
    <w:rsid w:val="00CF70C8"/>
    <w:pPr>
      <w:tabs>
        <w:tab w:val="center" w:pos="4535"/>
        <w:tab w:val="right" w:pos="9071"/>
      </w:tabs>
      <w:spacing w:before="240" w:after="240"/>
    </w:pPr>
    <w:rPr>
      <w:color w:val="010000"/>
      <w:sz w:val="22"/>
    </w:rPr>
  </w:style>
  <w:style w:type="paragraph" w:styleId="ListParagraph">
    <w:name w:val="List Paragraph"/>
    <w:basedOn w:val="Normal"/>
    <w:uiPriority w:val="34"/>
    <w:qFormat/>
    <w:rsid w:val="00CF70C8"/>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CF70C8"/>
    <w:rPr>
      <w:sz w:val="24"/>
      <w:lang w:val="da-DK"/>
    </w:rPr>
  </w:style>
  <w:style w:type="paragraph" w:customStyle="1" w:styleId="Normal24a">
    <w:name w:val="Normal24a"/>
    <w:basedOn w:val="Normal"/>
    <w:rsid w:val="00CF70C8"/>
    <w:pPr>
      <w:spacing w:after="480"/>
    </w:pPr>
  </w:style>
  <w:style w:type="paragraph" w:customStyle="1" w:styleId="Normal12a">
    <w:name w:val="Normal12a"/>
    <w:basedOn w:val="Normal"/>
    <w:rsid w:val="00CF70C8"/>
    <w:pPr>
      <w:spacing w:after="240"/>
    </w:pPr>
  </w:style>
  <w:style w:type="paragraph" w:customStyle="1" w:styleId="PageHeadingNotTOC">
    <w:name w:val="PageHeadingNotTOC"/>
    <w:basedOn w:val="Normal"/>
    <w:rsid w:val="00CF70C8"/>
    <w:pPr>
      <w:keepNext/>
      <w:spacing w:after="480"/>
      <w:jc w:val="center"/>
    </w:pPr>
    <w:rPr>
      <w:rFonts w:ascii="Arial" w:hAnsi="Arial" w:cs="Arial"/>
      <w:b/>
    </w:rPr>
  </w:style>
  <w:style w:type="paragraph" w:styleId="BalloonText">
    <w:name w:val="Balloon Text"/>
    <w:basedOn w:val="Normal"/>
    <w:link w:val="BalloonTextChar"/>
    <w:rsid w:val="0091258B"/>
    <w:rPr>
      <w:rFonts w:ascii="Segoe UI" w:hAnsi="Segoe UI" w:cs="Segoe UI"/>
      <w:sz w:val="18"/>
      <w:szCs w:val="18"/>
    </w:rPr>
  </w:style>
  <w:style w:type="character" w:customStyle="1" w:styleId="BalloonTextChar">
    <w:name w:val="Balloon Text Char"/>
    <w:basedOn w:val="DefaultParagraphFont"/>
    <w:link w:val="BalloonText"/>
    <w:rsid w:val="0091258B"/>
    <w:rPr>
      <w:rFonts w:ascii="Segoe UI" w:hAnsi="Segoe UI" w:cs="Segoe UI"/>
      <w:sz w:val="18"/>
      <w:szCs w:val="18"/>
      <w:lang w:val="da-DK"/>
    </w:rPr>
  </w:style>
  <w:style w:type="character" w:styleId="CommentReference">
    <w:name w:val="annotation reference"/>
    <w:basedOn w:val="DefaultParagraphFont"/>
    <w:rsid w:val="00431D17"/>
    <w:rPr>
      <w:sz w:val="16"/>
      <w:szCs w:val="16"/>
    </w:rPr>
  </w:style>
  <w:style w:type="paragraph" w:styleId="CommentText">
    <w:name w:val="annotation text"/>
    <w:basedOn w:val="Normal"/>
    <w:link w:val="CommentTextChar"/>
    <w:rsid w:val="00431D17"/>
    <w:rPr>
      <w:sz w:val="20"/>
    </w:rPr>
  </w:style>
  <w:style w:type="character" w:customStyle="1" w:styleId="CommentTextChar">
    <w:name w:val="Comment Text Char"/>
    <w:basedOn w:val="DefaultParagraphFont"/>
    <w:link w:val="CommentText"/>
    <w:rsid w:val="00431D17"/>
    <w:rPr>
      <w:lang w:val="da-DK"/>
    </w:rPr>
  </w:style>
  <w:style w:type="paragraph" w:styleId="CommentSubject">
    <w:name w:val="annotation subject"/>
    <w:basedOn w:val="CommentText"/>
    <w:next w:val="CommentText"/>
    <w:link w:val="CommentSubjectChar"/>
    <w:rsid w:val="00431D17"/>
    <w:rPr>
      <w:b/>
      <w:bCs/>
    </w:rPr>
  </w:style>
  <w:style w:type="character" w:customStyle="1" w:styleId="CommentSubjectChar">
    <w:name w:val="Comment Subject Char"/>
    <w:basedOn w:val="CommentTextChar"/>
    <w:link w:val="CommentSubject"/>
    <w:rsid w:val="00431D17"/>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29381-E1CE-4C4D-87B4-616461B91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4259</Words>
  <Characters>26770</Characters>
  <Application>Microsoft Office Word</Application>
  <DocSecurity>0</DocSecurity>
  <Lines>223</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2024-04-11T15:16:00Z</dcterms:created>
  <dcterms:modified xsi:type="dcterms:W3CDTF">2024-04-11T15:16:00Z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A9-0098/2024</vt:lpwstr>
  </property>
  <property fmtid="{D5CDD505-2E9C-101B-9397-08002B2CF9AE}" pid="4" name="&lt;Type&gt;">
    <vt:lpwstr>RR</vt:lpwstr>
  </property>
</Properties>
</file>