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371F" w:rsidTr="0010095E">
        <w:trPr>
          <w:trHeight w:hRule="exact" w:val="1418"/>
        </w:trPr>
        <w:tc>
          <w:tcPr>
            <w:tcW w:w="6804" w:type="dxa"/>
            <w:shd w:val="clear" w:color="auto" w:fill="auto"/>
            <w:vAlign w:val="center"/>
          </w:tcPr>
          <w:p w:rsidR="00751A4A" w:rsidRPr="0004371F" w:rsidRDefault="00DD5083" w:rsidP="0010095E">
            <w:pPr>
              <w:pStyle w:val="EPName"/>
            </w:pPr>
            <w:bookmarkStart w:id="0" w:name="_GoBack"/>
            <w:bookmarkEnd w:id="0"/>
            <w:r w:rsidRPr="0004371F">
              <w:t>Ευρωπαϊκό Κοινοβούλιο</w:t>
            </w:r>
          </w:p>
          <w:p w:rsidR="00751A4A" w:rsidRPr="0004371F" w:rsidRDefault="00817416" w:rsidP="00756632">
            <w:pPr>
              <w:pStyle w:val="EPTerm"/>
              <w:rPr>
                <w:rStyle w:val="HideTWBExt"/>
                <w:noProof w:val="0"/>
                <w:vanish w:val="0"/>
                <w:color w:val="auto"/>
              </w:rPr>
            </w:pPr>
            <w:r w:rsidRPr="0004371F">
              <w:t>2019-2024</w:t>
            </w:r>
          </w:p>
        </w:tc>
        <w:tc>
          <w:tcPr>
            <w:tcW w:w="2268" w:type="dxa"/>
            <w:shd w:val="clear" w:color="auto" w:fill="auto"/>
          </w:tcPr>
          <w:p w:rsidR="00751A4A" w:rsidRPr="0004371F" w:rsidRDefault="00187494" w:rsidP="0010095E">
            <w:pPr>
              <w:pStyle w:val="EPLogo"/>
            </w:pPr>
            <w:r w:rsidRPr="000437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371F" w:rsidRDefault="00D058B8" w:rsidP="004C5D52">
      <w:pPr>
        <w:pStyle w:val="LineTop"/>
      </w:pPr>
    </w:p>
    <w:p w:rsidR="00680577" w:rsidRPr="0004371F" w:rsidRDefault="00DD5083" w:rsidP="00680577">
      <w:pPr>
        <w:pStyle w:val="EPBodyTA1"/>
      </w:pPr>
      <w:r w:rsidRPr="0004371F">
        <w:t>ΚΕΙΜΕΝΑ ΠΟΥ ΕΓΚΡΙΘΗΚΑΝ</w:t>
      </w:r>
    </w:p>
    <w:p w:rsidR="00D058B8" w:rsidRPr="0004371F" w:rsidRDefault="00D058B8" w:rsidP="00D058B8">
      <w:pPr>
        <w:pStyle w:val="LineBottom"/>
      </w:pPr>
    </w:p>
    <w:p w:rsidR="00DD5083" w:rsidRPr="0004371F" w:rsidRDefault="00DD5083" w:rsidP="00DD5083">
      <w:pPr>
        <w:pStyle w:val="ATHeading1"/>
      </w:pPr>
      <w:bookmarkStart w:id="1" w:name="TANumber"/>
      <w:r w:rsidRPr="0004371F">
        <w:t>P9_TA(2024)0</w:t>
      </w:r>
      <w:r w:rsidR="0004371F" w:rsidRPr="0004371F">
        <w:t>254</w:t>
      </w:r>
      <w:bookmarkEnd w:id="1"/>
    </w:p>
    <w:p w:rsidR="00DD5083" w:rsidRPr="0004371F" w:rsidRDefault="00DD5083" w:rsidP="00DD5083">
      <w:pPr>
        <w:pStyle w:val="ATHeading2"/>
      </w:pPr>
      <w:bookmarkStart w:id="2" w:name="title"/>
      <w:r w:rsidRPr="0004371F">
        <w:t>Απαλλαγή 2022: Οργανισμός της Ευρωπαϊκής Ένωσης για την Κατάρτιση στον Τομέα της Επιβολής του Νόμου (</w:t>
      </w:r>
      <w:r w:rsidR="0004371F">
        <w:t>ΕΑΑ</w:t>
      </w:r>
      <w:r w:rsidRPr="0004371F">
        <w:t>)</w:t>
      </w:r>
      <w:bookmarkEnd w:id="2"/>
    </w:p>
    <w:p w:rsidR="00DD5083" w:rsidRPr="0004371F" w:rsidRDefault="00DD5083" w:rsidP="00DD5083">
      <w:pPr>
        <w:rPr>
          <w:i/>
          <w:vanish/>
        </w:rPr>
      </w:pPr>
      <w:r w:rsidRPr="0004371F">
        <w:rPr>
          <w:i/>
        </w:rPr>
        <w:fldChar w:fldCharType="begin"/>
      </w:r>
      <w:r w:rsidRPr="0004371F">
        <w:rPr>
          <w:i/>
        </w:rPr>
        <w:instrText xml:space="preserve"> TC"(</w:instrText>
      </w:r>
      <w:bookmarkStart w:id="3" w:name="DocNumber"/>
      <w:r w:rsidRPr="0004371F">
        <w:rPr>
          <w:i/>
        </w:rPr>
        <w:instrText>A9-0098/2024</w:instrText>
      </w:r>
      <w:bookmarkEnd w:id="3"/>
      <w:r w:rsidRPr="0004371F">
        <w:rPr>
          <w:i/>
        </w:rPr>
        <w:instrText xml:space="preserve"> - Εισηγητής: Petri Sarvamaa)"\l3 \n&gt; \* MERGEFORMAT </w:instrText>
      </w:r>
      <w:r w:rsidRPr="0004371F">
        <w:rPr>
          <w:i/>
        </w:rPr>
        <w:fldChar w:fldCharType="end"/>
      </w:r>
    </w:p>
    <w:p w:rsidR="00DD5083" w:rsidRPr="0004371F" w:rsidRDefault="00DD5083" w:rsidP="00DD5083">
      <w:pPr>
        <w:rPr>
          <w:vanish/>
        </w:rPr>
      </w:pPr>
      <w:bookmarkStart w:id="4" w:name="Commission"/>
      <w:r w:rsidRPr="0004371F">
        <w:rPr>
          <w:vanish/>
        </w:rPr>
        <w:t>Επιτροπή Ελέγχου του Προϋπολογισμού</w:t>
      </w:r>
      <w:bookmarkEnd w:id="4"/>
    </w:p>
    <w:p w:rsidR="00DD5083" w:rsidRPr="0004371F" w:rsidRDefault="00DD5083" w:rsidP="00DD5083">
      <w:pPr>
        <w:rPr>
          <w:vanish/>
        </w:rPr>
      </w:pPr>
      <w:bookmarkStart w:id="5" w:name="PE"/>
      <w:r w:rsidRPr="0004371F">
        <w:rPr>
          <w:vanish/>
        </w:rPr>
        <w:t>PE753.510</w:t>
      </w:r>
      <w:bookmarkEnd w:id="5"/>
    </w:p>
    <w:p w:rsidR="00DD5083" w:rsidRPr="0004371F" w:rsidRDefault="0091287E" w:rsidP="00DD5083">
      <w:pPr>
        <w:pStyle w:val="ATHeading3"/>
      </w:pPr>
      <w:bookmarkStart w:id="6" w:name="Sujet"/>
      <w:r w:rsidRPr="0004371F">
        <w:t>1. Α</w:t>
      </w:r>
      <w:r w:rsidR="00DD5083" w:rsidRPr="0004371F">
        <w:t xml:space="preserve">πόφαση του Ευρωπαϊκού Κοινοβουλίου </w:t>
      </w:r>
      <w:r w:rsidRPr="0004371F">
        <w:t xml:space="preserve">της 11ης Απριλίου 2024 </w:t>
      </w:r>
      <w:r w:rsidR="00DD5083" w:rsidRPr="0004371F">
        <w:t>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(ΕΑΑ) για το οικονομικό έτος 2022</w:t>
      </w:r>
      <w:bookmarkEnd w:id="6"/>
      <w:r w:rsidR="00DD5083" w:rsidRPr="0004371F">
        <w:t xml:space="preserve"> </w:t>
      </w:r>
      <w:bookmarkStart w:id="7" w:name="References"/>
      <w:r w:rsidR="00DD5083" w:rsidRPr="0004371F">
        <w:t>(2023/2144(DEC))</w:t>
      </w:r>
      <w:bookmarkEnd w:id="7"/>
    </w:p>
    <w:p w:rsidR="003B4C01" w:rsidRPr="0004371F" w:rsidRDefault="003B4C01" w:rsidP="003B4C01">
      <w:pPr>
        <w:pStyle w:val="EPComma"/>
      </w:pPr>
      <w:bookmarkStart w:id="8" w:name="TextBodyBegin"/>
      <w:bookmarkEnd w:id="8"/>
      <w:r w:rsidRPr="0004371F">
        <w:rPr>
          <w:i/>
        </w:rPr>
        <w:t>Το Ευρωπαϊκό Κοινοβούλιο</w:t>
      </w:r>
      <w:r w:rsidRPr="0004371F">
        <w:t>,</w:t>
      </w:r>
    </w:p>
    <w:p w:rsidR="003B4C01" w:rsidRPr="0004371F" w:rsidRDefault="003B4C01" w:rsidP="003B4C01">
      <w:pPr>
        <w:pStyle w:val="NormalHanging12a"/>
      </w:pPr>
      <w:r w:rsidRPr="0004371F">
        <w:t>–</w:t>
      </w:r>
      <w:r w:rsidRPr="0004371F">
        <w:tab/>
        <w:t>έχοντας υπόψη τους οριστικούς ετήσιους λογαριασμούς του Οργανισμού της Ευρωπαϊκής Ένωσης για την Κατάρτιση στον Τομέα της Επιβολής του Νόμου (ΕΑΑ) για το οικονομικό έτος 2022,</w:t>
      </w:r>
    </w:p>
    <w:p w:rsidR="003B4C01" w:rsidRPr="0004371F" w:rsidRDefault="003B4C01" w:rsidP="003B4C01">
      <w:pPr>
        <w:pStyle w:val="NormalHanging12a"/>
      </w:pPr>
      <w:r w:rsidRPr="0004371F">
        <w:t>–</w:t>
      </w:r>
      <w:r w:rsidRPr="0004371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4371F">
        <w:rPr>
          <w:rStyle w:val="FootnoteReference"/>
        </w:rPr>
        <w:footnoteReference w:id="1"/>
      </w:r>
      <w:r w:rsidRPr="0004371F">
        <w:t>,</w:t>
      </w:r>
    </w:p>
    <w:p w:rsidR="003B4C01" w:rsidRPr="0004371F" w:rsidRDefault="003B4C01" w:rsidP="003B4C01">
      <w:pPr>
        <w:pStyle w:val="NormalHanging12a"/>
      </w:pPr>
      <w:r w:rsidRPr="0004371F">
        <w:t>–</w:t>
      </w:r>
      <w:r w:rsidRPr="0004371F">
        <w:tab/>
        <w:t>έχοντας υπόψη τη δήλωση αξιοπιστίας</w:t>
      </w:r>
      <w:r w:rsidRPr="0004371F">
        <w:rPr>
          <w:rStyle w:val="FootnoteReference"/>
        </w:rPr>
        <w:footnoteReference w:id="2"/>
      </w:r>
      <w:r w:rsidRPr="0004371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3B4C01" w:rsidRPr="0004371F" w:rsidRDefault="003B4C01" w:rsidP="003B4C01">
      <w:pPr>
        <w:pStyle w:val="NormalHanging12a"/>
      </w:pPr>
      <w:r w:rsidRPr="0004371F">
        <w:t>–</w:t>
      </w:r>
      <w:r w:rsidRPr="0004371F">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F02B67" w:rsidRPr="0004371F">
        <w:t>06180</w:t>
      </w:r>
      <w:r w:rsidRPr="0004371F">
        <w:t>/2024 – C9</w:t>
      </w:r>
      <w:r w:rsidRPr="0004371F">
        <w:noBreakHyphen/>
        <w:t>00</w:t>
      </w:r>
      <w:r w:rsidR="00F02B67" w:rsidRPr="0004371F">
        <w:t>82</w:t>
      </w:r>
      <w:r w:rsidRPr="0004371F">
        <w:t>/2024),</w:t>
      </w:r>
    </w:p>
    <w:p w:rsidR="003B4C01" w:rsidRPr="0004371F" w:rsidRDefault="003B4C01" w:rsidP="003B4C01">
      <w:pPr>
        <w:pStyle w:val="NormalHanging12a"/>
      </w:pPr>
      <w:r w:rsidRPr="0004371F">
        <w:t>–</w:t>
      </w:r>
      <w:r w:rsidRPr="0004371F">
        <w:tab/>
        <w:t>έχοντας υπόψη το άρθρο 319 της Συνθήκης για τη λειτουργία της Ευρωπαϊκής Ένωσης,</w:t>
      </w:r>
    </w:p>
    <w:p w:rsidR="003B4C01" w:rsidRPr="0004371F" w:rsidRDefault="003B4C01" w:rsidP="003B4C01">
      <w:pPr>
        <w:pStyle w:val="NormalHanging12a"/>
      </w:pPr>
      <w:r w:rsidRPr="0004371F">
        <w:t>–</w:t>
      </w:r>
      <w:r w:rsidRPr="0004371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04371F">
        <w:rPr>
          <w:rStyle w:val="FootnoteReference"/>
        </w:rPr>
        <w:footnoteReference w:id="3"/>
      </w:r>
      <w:r w:rsidRPr="0004371F">
        <w:t>, και ιδίως το άρθρο 70,</w:t>
      </w:r>
    </w:p>
    <w:p w:rsidR="003B4C01" w:rsidRPr="0004371F" w:rsidRDefault="003B4C01" w:rsidP="003B4C01">
      <w:pPr>
        <w:pStyle w:val="NormalHanging12a"/>
      </w:pPr>
      <w:r w:rsidRPr="0004371F">
        <w:lastRenderedPageBreak/>
        <w:t>–</w:t>
      </w:r>
      <w:r w:rsidRPr="0004371F">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(ΕΑΑ) και για την αντικατάσταση και κατάργηση της απόφασης 2005/681/ΔΕΥ του Συμβουλίου</w:t>
      </w:r>
      <w:r w:rsidRPr="0004371F">
        <w:rPr>
          <w:rStyle w:val="FootnoteReference"/>
        </w:rPr>
        <w:footnoteReference w:id="4"/>
      </w:r>
      <w:r w:rsidRPr="0004371F">
        <w:t>, και ιδίως το άρθρο 20,</w:t>
      </w:r>
    </w:p>
    <w:p w:rsidR="003B4C01" w:rsidRPr="0004371F" w:rsidRDefault="003B4C01" w:rsidP="003B4C01">
      <w:pPr>
        <w:pStyle w:val="NormalHanging12a"/>
      </w:pPr>
      <w:r w:rsidRPr="0004371F">
        <w:t>–</w:t>
      </w:r>
      <w:r w:rsidRPr="0004371F">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04371F">
        <w:rPr>
          <w:rStyle w:val="FootnoteReference"/>
        </w:rPr>
        <w:footnoteReference w:id="5"/>
      </w:r>
      <w:r w:rsidRPr="0004371F">
        <w:t>, και ιδίως το άρθρο 105,</w:t>
      </w:r>
    </w:p>
    <w:p w:rsidR="003B4C01" w:rsidRPr="0004371F" w:rsidRDefault="003B4C01" w:rsidP="003B4C01">
      <w:pPr>
        <w:pStyle w:val="NormalHanging12a"/>
      </w:pPr>
      <w:r w:rsidRPr="0004371F">
        <w:t>–</w:t>
      </w:r>
      <w:r w:rsidRPr="0004371F">
        <w:tab/>
        <w:t>έχοντας υπόψη το άρθρο 100 και το παράρτημα V του Κανονισμού του,</w:t>
      </w:r>
    </w:p>
    <w:p w:rsidR="003B4C01" w:rsidRPr="0004371F" w:rsidRDefault="003B4C01" w:rsidP="003B4C01">
      <w:pPr>
        <w:pStyle w:val="NormalHanging12a"/>
      </w:pPr>
      <w:r w:rsidRPr="0004371F">
        <w:t>–</w:t>
      </w:r>
      <w:r w:rsidRPr="0004371F">
        <w:tab/>
        <w:t>έχοντας υπόψη τη γνωμοδότηση της Επιτροπής Πολιτικών Ελευθεριών, Δικαιοσύνης και Εσωτερικών Υποθέσεων,</w:t>
      </w:r>
    </w:p>
    <w:p w:rsidR="003B4C01" w:rsidRPr="0004371F" w:rsidRDefault="003B4C01" w:rsidP="003B4C01">
      <w:pPr>
        <w:pStyle w:val="NormalHanging12a"/>
      </w:pPr>
      <w:r w:rsidRPr="0004371F">
        <w:t>–</w:t>
      </w:r>
      <w:r w:rsidRPr="0004371F">
        <w:tab/>
        <w:t>έχοντας υπόψη την έκθεση της Επιτροπής Ελέγχου του Προϋπολογισμού (A9-0098/2024),</w:t>
      </w:r>
    </w:p>
    <w:p w:rsidR="003B4C01" w:rsidRPr="0004371F" w:rsidRDefault="003B4C01" w:rsidP="003B4C01">
      <w:pPr>
        <w:pStyle w:val="NormalHanging12a"/>
      </w:pPr>
      <w:r w:rsidRPr="0004371F">
        <w:t>1.</w:t>
      </w:r>
      <w:r w:rsidRPr="0004371F">
        <w:tab/>
        <w:t>χορηγεί απαλλαγή στην εκτελεστική διευθύντρια του Οργανισμού της Ευρωπαϊκής Ένωσης για την Κατάρτιση στον Τομέα της Επιβολής του Νόμου (ΕΑΑ) όσον αφορά την εκτέλεση του προϋπολογισμού του Οργανισμού για το οικονομικό έτος 2022·</w:t>
      </w:r>
    </w:p>
    <w:p w:rsidR="003B4C01" w:rsidRPr="0004371F" w:rsidRDefault="003B4C01" w:rsidP="003B4C01">
      <w:pPr>
        <w:pStyle w:val="NormalHanging12a"/>
      </w:pPr>
      <w:r w:rsidRPr="0004371F">
        <w:t>2.</w:t>
      </w:r>
      <w:r w:rsidRPr="0004371F">
        <w:tab/>
        <w:t>εκθέτει τις παρατηρήσεις του στο ψήφισμα που ακολουθεί·</w:t>
      </w:r>
    </w:p>
    <w:p w:rsidR="003B4C01" w:rsidRPr="0004371F" w:rsidRDefault="003B4C01" w:rsidP="003B4C01">
      <w:pPr>
        <w:pStyle w:val="NormalHanging12a"/>
      </w:pPr>
      <w:r w:rsidRPr="0004371F">
        <w:t>3.</w:t>
      </w:r>
      <w:r w:rsidRPr="0004371F">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την Κατάρτιση στον Τομέα της Επιβολής του Νόμου (ΕΑΑ), στο Συμβούλιο, στην Επιτροπή και στο Ελεγκτικό Συνέδριο, και να μεριμνήσει για τη δημοσίευσή τους στην </w:t>
      </w:r>
      <w:r w:rsidRPr="0004371F">
        <w:rPr>
          <w:i/>
          <w:iCs/>
        </w:rPr>
        <w:t>Επίσημη Εφημερίδα της Ευρωπαϊκής Ένωσης</w:t>
      </w:r>
      <w:r w:rsidRPr="0004371F">
        <w:t xml:space="preserve"> (σειρά L).</w:t>
      </w:r>
    </w:p>
    <w:p w:rsidR="003B4C01" w:rsidRPr="0004371F" w:rsidRDefault="003B4C01" w:rsidP="003B4C01"/>
    <w:p w:rsidR="003B4C01" w:rsidRPr="0004371F" w:rsidRDefault="003B4C01" w:rsidP="003B4C01">
      <w:pPr>
        <w:widowControl/>
        <w:rPr>
          <w:rFonts w:ascii="Arial" w:hAnsi="Arial" w:cs="Arial"/>
          <w:b/>
        </w:rPr>
        <w:sectPr w:rsidR="003B4C01" w:rsidRPr="0004371F" w:rsidSect="003C64D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B4C01" w:rsidRPr="0004371F" w:rsidRDefault="003B4C01" w:rsidP="0004371F">
      <w:pPr>
        <w:pStyle w:val="ATHeading3"/>
      </w:pPr>
      <w:bookmarkStart w:id="9" w:name="_Toc146722410"/>
      <w:bookmarkStart w:id="10" w:name="_Toc161925510"/>
      <w:r w:rsidRPr="0004371F">
        <w:lastRenderedPageBreak/>
        <w:t xml:space="preserve">2. </w:t>
      </w:r>
      <w:r w:rsidR="0091287E" w:rsidRPr="0004371F">
        <w:t xml:space="preserve">Απόφαση του Ευρωπαϊκού Κοινοβουλίου της 11ης Απριλίου 2024 </w:t>
      </w:r>
      <w:bookmarkEnd w:id="9"/>
      <w:bookmarkEnd w:id="10"/>
      <w:r w:rsidRPr="0004371F">
        <w:t>σχετικά με το κλείσιμο των λογαριασμών του Οργανισμού της Ευρωπαϊκής Ένωσης για την Κατάρτιση στον Τομέα της Επιβολής του Νόμου (ΕΑΑ) για το οικονομικό έτος 2022</w:t>
      </w:r>
      <w:r w:rsidR="0091287E" w:rsidRPr="0004371F">
        <w:t xml:space="preserve"> </w:t>
      </w:r>
      <w:r w:rsidRPr="0004371F">
        <w:t>(2023/2144(DEC))</w:t>
      </w:r>
    </w:p>
    <w:p w:rsidR="003B4C01" w:rsidRPr="0004371F" w:rsidRDefault="003B4C01" w:rsidP="003B4C01">
      <w:pPr>
        <w:pStyle w:val="EPComma"/>
      </w:pPr>
      <w:r w:rsidRPr="0004371F">
        <w:rPr>
          <w:i/>
        </w:rPr>
        <w:t>Το Ευρωπαϊκό Κοινοβούλιο</w:t>
      </w:r>
      <w:r w:rsidRPr="0004371F">
        <w:t>,</w:t>
      </w:r>
    </w:p>
    <w:p w:rsidR="003B4C01" w:rsidRPr="0004371F" w:rsidRDefault="003B4C01" w:rsidP="0091287E">
      <w:pPr>
        <w:pStyle w:val="NormalHanging12a"/>
        <w:widowControl/>
      </w:pPr>
      <w:r w:rsidRPr="0004371F">
        <w:t>–</w:t>
      </w:r>
      <w:r w:rsidRPr="0004371F">
        <w:tab/>
        <w:t>έχοντας υπόψη τους οριστικούς ετήσιους λογαριασμούς του Οργανισμού της Ευρωπαϊκής Ένωσης για την Κατάρτιση στον Τομέα της Επιβολής του Νόμου (ΕΑΑ) για το οικονομικό έτος 2022,</w:t>
      </w:r>
    </w:p>
    <w:p w:rsidR="003B4C01" w:rsidRPr="0004371F" w:rsidRDefault="003B4C01" w:rsidP="0091287E">
      <w:pPr>
        <w:pStyle w:val="NormalHanging12a"/>
        <w:widowControl/>
      </w:pPr>
      <w:r w:rsidRPr="0004371F">
        <w:t>–</w:t>
      </w:r>
      <w:r w:rsidRPr="0004371F">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04371F">
        <w:rPr>
          <w:rStyle w:val="FootnoteReference"/>
        </w:rPr>
        <w:footnoteReference w:id="6"/>
      </w:r>
      <w:r w:rsidRPr="0004371F">
        <w:t>,</w:t>
      </w:r>
    </w:p>
    <w:p w:rsidR="003B4C01" w:rsidRPr="0004371F" w:rsidRDefault="003B4C01" w:rsidP="0091287E">
      <w:pPr>
        <w:pStyle w:val="NormalHanging12a"/>
        <w:widowControl/>
      </w:pPr>
      <w:r w:rsidRPr="0004371F">
        <w:t>–</w:t>
      </w:r>
      <w:r w:rsidRPr="0004371F">
        <w:tab/>
        <w:t>έχοντας υπόψη τη δήλωση αξιοπιστίας</w:t>
      </w:r>
      <w:r w:rsidRPr="0004371F">
        <w:rPr>
          <w:rStyle w:val="FootnoteReference"/>
        </w:rPr>
        <w:footnoteReference w:id="7"/>
      </w:r>
      <w:r w:rsidRPr="0004371F">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3B4C01" w:rsidRPr="0004371F" w:rsidRDefault="003B4C01" w:rsidP="0091287E">
      <w:pPr>
        <w:pStyle w:val="NormalHanging12a"/>
        <w:widowControl/>
      </w:pPr>
      <w:r w:rsidRPr="0004371F">
        <w:t>–</w:t>
      </w:r>
      <w:r w:rsidRPr="0004371F">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F02B67" w:rsidRPr="0004371F">
        <w:t>06180/2024 – C9</w:t>
      </w:r>
      <w:r w:rsidR="00F02B67" w:rsidRPr="0004371F">
        <w:noBreakHyphen/>
        <w:t>0082/2024</w:t>
      </w:r>
      <w:r w:rsidRPr="0004371F">
        <w:t>),</w:t>
      </w:r>
    </w:p>
    <w:p w:rsidR="003B4C01" w:rsidRPr="0004371F" w:rsidRDefault="003B4C01" w:rsidP="0091287E">
      <w:pPr>
        <w:pStyle w:val="NormalHanging12a"/>
        <w:widowControl/>
      </w:pPr>
      <w:r w:rsidRPr="0004371F">
        <w:t>–</w:t>
      </w:r>
      <w:r w:rsidRPr="0004371F">
        <w:tab/>
        <w:t>έχοντας υπόψη το άρθρο 319 της Συνθήκης για τη λειτουργία της Ευρωπαϊκής Ένωσης,</w:t>
      </w:r>
    </w:p>
    <w:p w:rsidR="003B4C01" w:rsidRPr="0004371F" w:rsidRDefault="003B4C01" w:rsidP="0091287E">
      <w:pPr>
        <w:pStyle w:val="NormalHanging12a"/>
        <w:widowControl/>
      </w:pPr>
      <w:r w:rsidRPr="0004371F">
        <w:t>–</w:t>
      </w:r>
      <w:r w:rsidRPr="0004371F">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04371F">
        <w:rPr>
          <w:rStyle w:val="FootnoteReference"/>
        </w:rPr>
        <w:footnoteReference w:id="8"/>
      </w:r>
      <w:r w:rsidRPr="0004371F">
        <w:t>, και ιδίως το άρθρο 70,</w:t>
      </w:r>
    </w:p>
    <w:p w:rsidR="003B4C01" w:rsidRPr="0004371F" w:rsidRDefault="003B4C01" w:rsidP="0091287E">
      <w:pPr>
        <w:pStyle w:val="NormalHanging12a"/>
        <w:widowControl/>
      </w:pPr>
      <w:r w:rsidRPr="0004371F">
        <w:t>–</w:t>
      </w:r>
      <w:r w:rsidRPr="0004371F">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(ΕΑΑ) και για την αντικατάσταση και κατάργηση της απόφασης 2005/681/ΔΕΥ του Συμβουλίου</w:t>
      </w:r>
      <w:r w:rsidRPr="0004371F">
        <w:rPr>
          <w:rStyle w:val="FootnoteReference"/>
        </w:rPr>
        <w:footnoteReference w:id="9"/>
      </w:r>
      <w:r w:rsidRPr="0004371F">
        <w:t>, και ιδίως το άρθρο 20,</w:t>
      </w:r>
    </w:p>
    <w:p w:rsidR="003B4C01" w:rsidRPr="0004371F" w:rsidRDefault="003B4C01" w:rsidP="0091287E">
      <w:pPr>
        <w:pStyle w:val="NormalHanging12a"/>
        <w:widowControl/>
      </w:pPr>
      <w:r w:rsidRPr="0004371F">
        <w:t>–</w:t>
      </w:r>
      <w:r w:rsidRPr="0004371F">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04371F">
        <w:lastRenderedPageBreak/>
        <w:t>και αναφέρονται στο άρθρο 70 του κανονισμού (ΕΕ, Ευρατόμ) 2018/1046 του Ευρωπαϊκού Κοινοβουλίου και του Συμβουλίου</w:t>
      </w:r>
      <w:r w:rsidRPr="0004371F">
        <w:rPr>
          <w:rStyle w:val="FootnoteReference"/>
        </w:rPr>
        <w:footnoteReference w:id="10"/>
      </w:r>
      <w:r w:rsidRPr="0004371F">
        <w:t>, και ιδίως το άρθρο 105,</w:t>
      </w:r>
    </w:p>
    <w:p w:rsidR="003B4C01" w:rsidRPr="0004371F" w:rsidRDefault="003B4C01" w:rsidP="0091287E">
      <w:pPr>
        <w:pStyle w:val="NormalHanging12a"/>
        <w:widowControl/>
      </w:pPr>
      <w:r w:rsidRPr="0004371F">
        <w:t>–</w:t>
      </w:r>
      <w:r w:rsidRPr="0004371F">
        <w:tab/>
        <w:t>έχοντας υπόψη το άρθρο 100 και το παράρτημα V του Κανονισμού του,</w:t>
      </w:r>
    </w:p>
    <w:p w:rsidR="003B4C01" w:rsidRPr="0004371F" w:rsidRDefault="003B4C01" w:rsidP="0091287E">
      <w:pPr>
        <w:pStyle w:val="NormalHanging12a"/>
        <w:widowControl/>
      </w:pPr>
      <w:r w:rsidRPr="0004371F">
        <w:t>–</w:t>
      </w:r>
      <w:r w:rsidRPr="0004371F">
        <w:tab/>
        <w:t>έχοντας υπόψη τη γνωμοδότηση της Επιτροπής Πολιτικών Ελευθεριών, Δικαιοσύνης και Εσωτερικών Υποθέσεων,</w:t>
      </w:r>
    </w:p>
    <w:p w:rsidR="003B4C01" w:rsidRPr="0004371F" w:rsidRDefault="003B4C01" w:rsidP="0091287E">
      <w:pPr>
        <w:pStyle w:val="NormalHanging12a"/>
        <w:widowControl/>
      </w:pPr>
      <w:r w:rsidRPr="0004371F">
        <w:t>–</w:t>
      </w:r>
      <w:r w:rsidRPr="0004371F">
        <w:tab/>
        <w:t>έχοντας υπόψη την έκθεση της Επιτροπής Ελέγχου του Προϋπολογισμού (A9-0098/2024),</w:t>
      </w:r>
    </w:p>
    <w:p w:rsidR="003B4C01" w:rsidRPr="0004371F" w:rsidRDefault="003B4C01" w:rsidP="0091287E">
      <w:pPr>
        <w:pStyle w:val="NormalHanging12a"/>
        <w:widowControl/>
      </w:pPr>
      <w:r w:rsidRPr="0004371F">
        <w:t>1.</w:t>
      </w:r>
      <w:r w:rsidRPr="0004371F">
        <w:tab/>
        <w:t>εγκρίνει το κλείσιμο των λογαριασμών του Οργανισμού της Ευρωπαϊκής Ένωσης για την Κατάρτιση στον Τομέα της Επιβολής του Νόμου (ΕΑΑ) για το οικονομικό έτος 2022·</w:t>
      </w:r>
    </w:p>
    <w:p w:rsidR="003B4C01" w:rsidRPr="0004371F" w:rsidRDefault="003B4C01" w:rsidP="0091287E">
      <w:pPr>
        <w:pStyle w:val="NormalHanging12a"/>
        <w:widowControl/>
      </w:pPr>
      <w:r w:rsidRPr="0004371F">
        <w:t>2.</w:t>
      </w:r>
      <w:r w:rsidRPr="0004371F">
        <w:tab/>
        <w:t xml:space="preserve">αναθέτει στην Πρόεδρό του να διαβιβάσει την παρούσα απόφαση στην εκτελεστική διευθύντρια του Οργανισμού της Ευρωπαϊκής Ένωσης για την Κατάρτιση στον Τομέα της Επιβολής του Νόμου (ΕΑΑ), στο Συμβούλιο, στην Επιτροπή και στο Ελεγκτικό Συνέδριο, και να μεριμνήσει για τη δημοσίευσή της στην </w:t>
      </w:r>
      <w:r w:rsidRPr="0004371F">
        <w:rPr>
          <w:i/>
          <w:iCs/>
        </w:rPr>
        <w:t>Επίσημη Εφημερίδα της Ευρωπαϊκής Ένωσης</w:t>
      </w:r>
      <w:r w:rsidRPr="0004371F">
        <w:t xml:space="preserve"> (σειρά L).</w:t>
      </w:r>
    </w:p>
    <w:p w:rsidR="003B4C01" w:rsidRPr="0004371F" w:rsidRDefault="003B4C01" w:rsidP="0091287E">
      <w:pPr>
        <w:widowControl/>
        <w:spacing w:after="240"/>
        <w:ind w:left="567" w:hanging="567"/>
      </w:pPr>
    </w:p>
    <w:p w:rsidR="003B4C01" w:rsidRPr="0004371F" w:rsidRDefault="003B4C01" w:rsidP="0091287E">
      <w:pPr>
        <w:widowControl/>
        <w:spacing w:after="240"/>
        <w:ind w:left="567" w:hanging="567"/>
        <w:rPr>
          <w:rFonts w:ascii="Arial" w:hAnsi="Arial" w:cs="Arial"/>
          <w:b/>
        </w:rPr>
        <w:sectPr w:rsidR="003B4C01" w:rsidRPr="0004371F" w:rsidSect="003C64DD">
          <w:footnotePr>
            <w:numRestart w:val="eachPage"/>
          </w:footnotePr>
          <w:endnotePr>
            <w:numFmt w:val="decimal"/>
          </w:endnotePr>
          <w:pgSz w:w="11906" w:h="16838"/>
          <w:pgMar w:top="1134" w:right="1418" w:bottom="1418" w:left="1418" w:header="567" w:footer="567" w:gutter="0"/>
          <w:cols w:space="720"/>
          <w:docGrid w:linePitch="326"/>
        </w:sectPr>
      </w:pPr>
    </w:p>
    <w:p w:rsidR="003B4C01" w:rsidRPr="0004371F" w:rsidRDefault="003B4C01" w:rsidP="0004371F">
      <w:pPr>
        <w:pStyle w:val="ATHeading3"/>
      </w:pPr>
      <w:bookmarkStart w:id="11" w:name="_Toc146722411"/>
      <w:bookmarkStart w:id="12" w:name="_Toc161925511"/>
      <w:r w:rsidRPr="0004371F">
        <w:lastRenderedPageBreak/>
        <w:t xml:space="preserve">3. </w:t>
      </w:r>
      <w:r w:rsidR="0091287E" w:rsidRPr="0004371F">
        <w:t xml:space="preserve">Ψήφισμα του Ευρωπαϊκού Κοινοβουλίου της 11ης Απριλίου 2024 </w:t>
      </w:r>
      <w:bookmarkEnd w:id="11"/>
      <w:bookmarkEnd w:id="12"/>
      <w:r w:rsidRPr="0004371F">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(ΕΑΑ) για το οικονομικό έτος 2022</w:t>
      </w:r>
      <w:r w:rsidR="0091287E" w:rsidRPr="0004371F">
        <w:t xml:space="preserve"> </w:t>
      </w:r>
      <w:r w:rsidRPr="0004371F">
        <w:t>(2023/2144(DEC))</w:t>
      </w:r>
    </w:p>
    <w:p w:rsidR="0091287E" w:rsidRPr="0004371F" w:rsidRDefault="0091287E" w:rsidP="0091287E">
      <w:pPr>
        <w:pStyle w:val="EPComma"/>
        <w:widowControl/>
        <w:spacing w:before="0"/>
        <w:ind w:left="567" w:hanging="567"/>
        <w:rPr>
          <w:i/>
        </w:rPr>
      </w:pPr>
    </w:p>
    <w:p w:rsidR="003B4C01" w:rsidRPr="0004371F" w:rsidRDefault="003B4C01" w:rsidP="0091287E">
      <w:pPr>
        <w:pStyle w:val="EPComma"/>
        <w:widowControl/>
        <w:spacing w:before="0"/>
        <w:ind w:left="567" w:hanging="567"/>
      </w:pPr>
      <w:r w:rsidRPr="0004371F">
        <w:rPr>
          <w:i/>
        </w:rPr>
        <w:t>Το Ευρωπαϊκό Κοινοβούλιο</w:t>
      </w:r>
      <w:r w:rsidRPr="0004371F">
        <w:t>,</w:t>
      </w:r>
    </w:p>
    <w:p w:rsidR="003B4C01" w:rsidRPr="0004371F" w:rsidRDefault="003B4C01" w:rsidP="0091287E">
      <w:pPr>
        <w:pStyle w:val="NormalHanging12a"/>
        <w:widowControl/>
      </w:pPr>
      <w:r w:rsidRPr="0004371F">
        <w:t>–</w:t>
      </w:r>
      <w:r w:rsidRPr="0004371F">
        <w:tab/>
        <w:t>έχοντας υπόψη την απόφασή του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(ΕΑΑ) για το οικονομικό έτος 2022,</w:t>
      </w:r>
    </w:p>
    <w:p w:rsidR="003B4C01" w:rsidRPr="0004371F" w:rsidRDefault="003B4C01" w:rsidP="0091287E">
      <w:pPr>
        <w:pStyle w:val="NormalHanging12a"/>
        <w:widowControl/>
      </w:pPr>
      <w:r w:rsidRPr="0004371F">
        <w:t>–</w:t>
      </w:r>
      <w:r w:rsidRPr="0004371F">
        <w:tab/>
        <w:t>έχοντας υπόψη το άρθρο 100 και το παράρτημα V του Κανονισμού του,</w:t>
      </w:r>
    </w:p>
    <w:p w:rsidR="003B4C01" w:rsidRPr="0004371F" w:rsidRDefault="003B4C01" w:rsidP="0091287E">
      <w:pPr>
        <w:pStyle w:val="NormalHanging12a"/>
        <w:widowControl/>
      </w:pPr>
      <w:r w:rsidRPr="0004371F">
        <w:t>–</w:t>
      </w:r>
      <w:r w:rsidRPr="0004371F">
        <w:tab/>
        <w:t>έχοντας υπόψη τη γνωμοδότηση της Επιτροπής Πολιτικών Ελευθεριών, Δικαιοσύνης και Εσωτερικών Υποθέσεων,</w:t>
      </w:r>
    </w:p>
    <w:p w:rsidR="003B4C01" w:rsidRPr="0004371F" w:rsidRDefault="003B4C01" w:rsidP="0091287E">
      <w:pPr>
        <w:pStyle w:val="NormalHanging12a"/>
        <w:widowControl/>
      </w:pPr>
      <w:r w:rsidRPr="0004371F">
        <w:t>–</w:t>
      </w:r>
      <w:r w:rsidRPr="0004371F">
        <w:tab/>
        <w:t>έχοντας υπόψη την έκθεση της Επιτροπής Ελέγχου του Προϋπολογισμού (A9-0098/2024),</w:t>
      </w:r>
    </w:p>
    <w:p w:rsidR="003B4C01" w:rsidRPr="0004371F" w:rsidRDefault="003B4C01" w:rsidP="0091287E">
      <w:pPr>
        <w:pStyle w:val="ListParagraph"/>
        <w:spacing w:after="240"/>
        <w:ind w:left="567" w:hanging="567"/>
        <w:contextualSpacing w:val="0"/>
        <w:jc w:val="left"/>
        <w:rPr>
          <w:rFonts w:eastAsia="Times New Roman"/>
        </w:rPr>
      </w:pPr>
      <w:r w:rsidRPr="0004371F">
        <w:t>Α.</w:t>
      </w:r>
      <w:r w:rsidRPr="0004371F">
        <w:tab/>
        <w:t>λαμβάνοντας υπόψη ότι, σύμφωνα με την κατάσταση εσόδων και δαπανών του</w:t>
      </w:r>
      <w:r w:rsidRPr="0004371F">
        <w:rPr>
          <w:rStyle w:val="FootnoteReference"/>
          <w:rFonts w:eastAsia="Times New Roman"/>
          <w:lang w:eastAsia="en-GB"/>
        </w:rPr>
        <w:footnoteReference w:id="11"/>
      </w:r>
      <w:r w:rsidRPr="0004371F">
        <w:t>, ο οριστικός προϋπολογισμός του Οργανισμού της Ευρωπαϊκής Ένωσης για την Κατάρτιση στον Τομέα της Επιβολής του Νόμου (ΕΑΑ) (</w:t>
      </w:r>
      <w:r w:rsidR="00F02B67" w:rsidRPr="0004371F">
        <w:t>«</w:t>
      </w:r>
      <w:r w:rsidRPr="0004371F">
        <w:t>Οργανισμός</w:t>
      </w:r>
      <w:r w:rsidR="00F02B67" w:rsidRPr="0004371F">
        <w:t>»</w:t>
      </w:r>
      <w:r w:rsidRPr="0004371F">
        <w:t>) για το οικονομικό έτος 2022 ανήλθε σε 28 295 362 EUR, ποσό που συνιστά μείωση κατά 5,82 % σε σύγκριση με το 2021· λαμβάνοντας υπόψη ότι ο Οργανισμός χρηματοδοτείται από συνεισφορά της Ένωσης και εξωτερικά έσοδα για ειδικό προορισμό για συγκεκριμένα έργα·</w:t>
      </w:r>
    </w:p>
    <w:p w:rsidR="003B4C01" w:rsidRPr="0004371F" w:rsidRDefault="003B4C01" w:rsidP="0091287E">
      <w:pPr>
        <w:widowControl/>
        <w:spacing w:after="240"/>
        <w:ind w:left="567" w:hanging="567"/>
        <w:rPr>
          <w:szCs w:val="24"/>
        </w:rPr>
      </w:pPr>
      <w:r w:rsidRPr="0004371F">
        <w:t>Β.</w:t>
      </w:r>
      <w:r w:rsidRPr="0004371F">
        <w:tab/>
        <w:t>λαμβάνοντας υπόψη ότι το Ελεγκτικό Συνέδριο, στην έκθεσή του για τους ετήσιους λογαριασμούς του Οργανισμού για το οικονομικό έτος 2022 (</w:t>
      </w:r>
      <w:r w:rsidR="00F02B67" w:rsidRPr="0004371F">
        <w:t>«</w:t>
      </w:r>
      <w:r w:rsidRPr="0004371F">
        <w:t>έκθεση του Ελεγκτικού Συνεδρίου</w:t>
      </w:r>
      <w:r w:rsidR="00F02B67" w:rsidRPr="0004371F">
        <w:t>»</w:t>
      </w:r>
      <w:r w:rsidRPr="0004371F">
        <w:t xml:space="preserve">), δηλώνει πως αποκόμισε εύλογη βεβαιότητα ότι οι ετήσιοι λογαριασμοί του Οργανισμού είναι αξιόπιστοι και ότι οι υποκείμενες πράξεις όσον αφορά τα έσοδα είναι, από κάθε ουσιώδη πλευρά, νόμιμες και κανονικές· λαμβάνοντας υπόψη ότι το Ελεγκτικό Συνέδριο εντόπισε παράτυπες πληρωμές συνολικού ύψους 4,2 εκατομμυρίων EUR, εκ των οποίων 4,1 εκατομμύρια EUR σχετίζονταν με 359 πληρωμές που πραγματοποιήθηκαν βάσει δύο συμβάσεων-πλαισίων, οι οποίες εκτελέστηκαν μέσω αιτημάτων παροχής υπηρεσιών που εστάλησαν από μέλη του προσωπικού τα οποία δεν είχαν την αρμοδιότητα να αναλάβουν νομικές δεσμεύσεις για λογαριασμό του Οργανισμού, και 152 655 EUR αντιστοιχούσαν σε πληρωμές που πραγματοποιήθηκαν το 2022 βάσει σύμβασης-πλαισίου για τις οποίες ορισμένα από τα καταβληθέντα ποσά δεν συμφωνούσαν με τις παρασχεθείσες υπηρεσίες· οι συνολικές πληρωμές αντιστοιχούν στο 13,5 % των πιστώσεων πληρωμών που ήταν διαθέσιμες το 2022 και, ως εκ τούτου, υπερβαίνουν το όριο σημαντικότητας που είχε καθοριστεί για τον έλεγχο, με αποτέλεσμα τη διατύπωση γνώμης με επιφύλαξη σχετικά με τη νομιμότητα και κανονικότητα των πληρωμών στις οποίες βασίζονται οι λογαριασμοί· λαμβάνοντας υπόψη ότι, εκτός από τις εν λόγω μη συμμορφούμενες πληρωμές, το Ελεγκτικό Συνέδριο κατέληξε στο συμπέρασμα ότι οι υποκείμενες πράξεις όσον αφορά </w:t>
      </w:r>
      <w:r w:rsidRPr="0004371F">
        <w:lastRenderedPageBreak/>
        <w:t>τις πληρωμές για το έτος που έληξε την 31η Δεκεμβρίου 2022 είναι, από κάθε ουσιώδη πλευρά, νόμιμες και κανονικές·</w:t>
      </w:r>
    </w:p>
    <w:p w:rsidR="003B4C01" w:rsidRPr="0004371F" w:rsidRDefault="003B4C01" w:rsidP="0091287E">
      <w:pPr>
        <w:widowControl/>
        <w:spacing w:after="240"/>
        <w:ind w:left="567" w:hanging="567"/>
        <w:rPr>
          <w:b/>
          <w:i/>
          <w:szCs w:val="24"/>
        </w:rPr>
      </w:pPr>
      <w:r w:rsidRPr="0004371F">
        <w:rPr>
          <w:b/>
          <w:i/>
        </w:rPr>
        <w:t>Δημοσιονομική και χρηματοοικονομική διαχείριση</w:t>
      </w:r>
    </w:p>
    <w:p w:rsidR="003B4C01" w:rsidRPr="0004371F" w:rsidRDefault="0004371F" w:rsidP="0004371F">
      <w:pPr>
        <w:spacing w:after="240"/>
        <w:ind w:left="570" w:hanging="570"/>
      </w:pPr>
      <w:r w:rsidRPr="0004371F">
        <w:rPr>
          <w:rFonts w:eastAsiaTheme="minorHAnsi"/>
          <w:szCs w:val="24"/>
          <w:lang w:eastAsia="en-US"/>
        </w:rPr>
        <w:t>1.</w:t>
      </w:r>
      <w:r w:rsidRPr="0004371F">
        <w:rPr>
          <w:rFonts w:eastAsiaTheme="minorHAnsi"/>
          <w:szCs w:val="24"/>
          <w:lang w:eastAsia="en-US"/>
        </w:rPr>
        <w:tab/>
      </w:r>
      <w:r w:rsidR="003B4C01" w:rsidRPr="0004371F">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του προϋπολογισμού 100 %, το οποίο συνιστά αύξηση 3,21 % σε σύγκριση με το 2021· σημειώνει ότι το ποσοστό εκτέλεσης των πιστώσεων πληρωμών ήταν 84,66 %, το οποίο συνιστά αύξηση 12,93 % σε σύγκριση με το 2021· σημειώνει, επιπλέον, ότι 1,6 εκατομμύρια EUR, που αντιστοιχούν στο 15 % των αναλήψεων υποχρεώσεων το 2022, μεταφέρθηκαν στο 2023· σημειώνει ότι το ποσοστό εκτέλεσης του προϋπολογισμού όσον αφορά τα κονδύλια εξωτερικής βοήθειας της Ένωσης που προορίζονται για την παροχή βοήθειας σε τρίτες χώρες με σκοπό την ανάπτυξη των ικανοτήτων τους σε σχετικούς τομείς πολιτικής για την επιβολή του νόμου ανήλθε σε 48,5 % έως το τέλος του 2022·</w:t>
      </w:r>
    </w:p>
    <w:p w:rsidR="003B4C01" w:rsidRPr="0004371F" w:rsidRDefault="003B4C01" w:rsidP="0091287E">
      <w:pPr>
        <w:widowControl/>
        <w:spacing w:after="240"/>
        <w:ind w:left="567" w:hanging="567"/>
        <w:rPr>
          <w:b/>
          <w:i/>
          <w:szCs w:val="24"/>
        </w:rPr>
      </w:pPr>
      <w:r w:rsidRPr="0004371F">
        <w:rPr>
          <w:b/>
          <w:i/>
        </w:rPr>
        <w:t>Επιδόσεις</w:t>
      </w:r>
    </w:p>
    <w:p w:rsidR="003B4C01" w:rsidRPr="0004371F" w:rsidRDefault="0004371F" w:rsidP="0004371F">
      <w:pPr>
        <w:spacing w:after="240"/>
        <w:ind w:left="570" w:hanging="570"/>
      </w:pPr>
      <w:r w:rsidRPr="0004371F">
        <w:rPr>
          <w:rFonts w:eastAsiaTheme="minorHAnsi"/>
          <w:szCs w:val="24"/>
          <w:lang w:eastAsia="en-US"/>
        </w:rPr>
        <w:t>2.</w:t>
      </w:r>
      <w:r w:rsidRPr="0004371F">
        <w:rPr>
          <w:rFonts w:eastAsiaTheme="minorHAnsi"/>
          <w:szCs w:val="24"/>
          <w:lang w:eastAsia="en-US"/>
        </w:rPr>
        <w:tab/>
      </w:r>
      <w:r w:rsidR="003B4C01" w:rsidRPr="0004371F">
        <w:t>συγχαίρει τον Οργανισμό για το ποσοστό εκτέλεσης του προγράμματος εργασίας του το 2022 το οποίο ανήλθε σε 100 %, με βάση το γεγονός ότι υλοποιήθηκαν 418 δραστηριότητες κατάρτισης έναντι 417 προγραμματισμένων· σημειώνει ότι το 2022 ο Οργανισμός συνέχισε να παρέχει κατάρτιση στην κοινότητα επιβολής του νόμου επαναφέροντας το διαδικτυακό περιβάλλον στον μέγιστο δυνατό βαθμό· εκτιμά το γεγονός ότι το ποσοστό ικανοποίησης των πελατών παρέμεινε υψηλό το 2022, δεδομένου ότι το 97 % των συμμετεχόντων στις δραστηριότητες κατάρτισης του Οργανισμού δήλωσαν ικανοποιημένοι ή πολύ ικανοποιημένοι·</w:t>
      </w:r>
    </w:p>
    <w:p w:rsidR="003B4C01" w:rsidRPr="0004371F" w:rsidRDefault="0004371F" w:rsidP="0004371F">
      <w:pPr>
        <w:spacing w:after="240"/>
        <w:ind w:left="570" w:hanging="570"/>
      </w:pPr>
      <w:r w:rsidRPr="0004371F">
        <w:rPr>
          <w:rFonts w:eastAsiaTheme="minorHAnsi"/>
          <w:szCs w:val="24"/>
          <w:lang w:eastAsia="en-US"/>
        </w:rPr>
        <w:t>3.</w:t>
      </w:r>
      <w:r w:rsidRPr="0004371F">
        <w:rPr>
          <w:rFonts w:eastAsiaTheme="minorHAnsi"/>
          <w:szCs w:val="24"/>
          <w:lang w:eastAsia="en-US"/>
        </w:rPr>
        <w:tab/>
      </w:r>
      <w:r w:rsidR="003B4C01" w:rsidRPr="0004371F">
        <w:t>σημειώνει με ικανοποίηση ότι ο Οργανισμός χρησιμοποιεί ορισμένους δείκτες μέτρησης ως βασικούς δείκτες επιδόσεων (ΒΔΕ) για την εκτίμηση της αξίας που προσθέτουν οι δραστηριότητές του και άλλα μέτρα στη βελτίωση της διαχείρισης του προϋπολογισμού του· σημειώνει ότι το 2022 επιτεύχθηκαν σχεδόν όλοι οι ΒΔΕ και μόνο ένας παρέμεινε σε εκκρεμότητα με προθεσμία έως το τέλος του 2023, συγκεκριμένα ο ΒΔΕ που σχετίζεται με το ποσοστό των συστάσεων ελέγχου που υλοποιήθηκαν σύμφωνα με το συμφωνηθέν σχέδιο δράσης·</w:t>
      </w:r>
    </w:p>
    <w:p w:rsidR="003B4C01" w:rsidRPr="0004371F" w:rsidRDefault="0004371F" w:rsidP="0004371F">
      <w:pPr>
        <w:spacing w:after="240"/>
        <w:ind w:left="570" w:hanging="570"/>
      </w:pPr>
      <w:r w:rsidRPr="0004371F">
        <w:rPr>
          <w:rFonts w:eastAsiaTheme="minorHAnsi"/>
          <w:szCs w:val="24"/>
          <w:lang w:eastAsia="en-US"/>
        </w:rPr>
        <w:t>4.</w:t>
      </w:r>
      <w:r w:rsidRPr="0004371F">
        <w:rPr>
          <w:rFonts w:eastAsiaTheme="minorHAnsi"/>
          <w:szCs w:val="24"/>
          <w:lang w:eastAsia="en-US"/>
        </w:rPr>
        <w:tab/>
      </w:r>
      <w:r w:rsidR="003B4C01" w:rsidRPr="0004371F">
        <w:t xml:space="preserve">σημειώνει με ικανοποίηση ότι το 2022 παρακολούθησαν τα προγράμματα κατάρτισης του Οργανισμού 43 838 συμμετέχοντες, αριθμός που αντιπροσωπεύει σημαντική απήχηση σε σύγκριση με τον αναμενόμενο αριθμό των 27 800 συμμετεχόντων· επαινεί τον Οργανισμό για τη δημοσίευση της δεύτερης αξιολόγησης των στρατηγικών αναγκών κατάρτισης της ΕΕ, η οποία προσδιορίζει τις στρατηγικές ανάγκες και τις ανάγκες κατάρτισης των υπαλλήλων επιβολής του νόμου για τον επόμενο κύκλο της Ευρωπαϊκής Πολυκλαδικής Πλατφόρμας κατά των Εγκληματικών Απειλών 2022-2025, και την έναρξη της εφαρμογής της· σημειώνει, επιπλέον, ότι η </w:t>
      </w:r>
      <w:proofErr w:type="spellStart"/>
      <w:r w:rsidR="003B4C01" w:rsidRPr="0004371F">
        <w:t>νεοδιορισθείσα</w:t>
      </w:r>
      <w:proofErr w:type="spellEnd"/>
      <w:r w:rsidR="003B4C01" w:rsidRPr="0004371F">
        <w:t xml:space="preserve"> εκτελεστική διευθύντρια του Οργανισμού ξεκίνησε το 2022 την εκπόνηση νέας στρατηγικής που καθορίζει τον προσανατολισμό του Οργανισμού για την περίοδο 2023-2027· εκφράζει επίσης την ικανοποίησή του για το έγγραφο στρατηγικής της ομάδας εμπειρογνωμόνων για τα θεμελιώδη δικαιώματα, το οποίο αποσκοπεί στην ενσωμάτωση της πτυχής των θεμελιωδών δικαιωμάτων σε όλες τις δραστηριότητες κατάρτισης· σημειώνει με ικανοποίηση ότι το 2022 διοργανώθηκε ειδική κατάρτιση σχετικά με την προστασία των ερευνητών δημοσιογράφων· επικροτεί τις ειδικές </w:t>
      </w:r>
      <w:r w:rsidR="003B4C01" w:rsidRPr="0004371F">
        <w:lastRenderedPageBreak/>
        <w:t>δράσεις κατάρτισης με θέμα τα εγκλήματα μίσους και τη διάδοση γνώσεων σχετικά με αποτελεσματικές λύσεις για την υποστήριξη των θυμάτων·</w:t>
      </w:r>
    </w:p>
    <w:p w:rsidR="003B4C01" w:rsidRPr="0004371F" w:rsidRDefault="0004371F" w:rsidP="0004371F">
      <w:pPr>
        <w:pStyle w:val="NormalHanging12a"/>
        <w:widowControl/>
        <w:ind w:left="570" w:hanging="570"/>
      </w:pPr>
      <w:r w:rsidRPr="0004371F">
        <w:t>5.</w:t>
      </w:r>
      <w:r w:rsidRPr="0004371F">
        <w:tab/>
      </w:r>
      <w:r w:rsidR="003B4C01" w:rsidRPr="0004371F">
        <w:t>συγχαίρει τον Οργανισμό για την ταχεία αντίδρασή του στον αδικαιολόγητο πόλεμο στην Ουκρανία και για την πραγματοποίηση ενός εξατομικευμένου κύκλου μαθημάτων πληροφοριών ανοικτής πηγής για τη Γενική Εισαγγελία της Ουκρανίας, σε συνεργασία με το Συμβούλιο της Ευρώπης·</w:t>
      </w:r>
    </w:p>
    <w:p w:rsidR="003B4C01" w:rsidRPr="0004371F" w:rsidRDefault="0004371F" w:rsidP="0004371F">
      <w:pPr>
        <w:spacing w:after="240"/>
        <w:ind w:left="570" w:hanging="570"/>
      </w:pPr>
      <w:r w:rsidRPr="0004371F">
        <w:rPr>
          <w:rFonts w:eastAsiaTheme="minorHAnsi"/>
          <w:szCs w:val="24"/>
          <w:lang w:eastAsia="en-US"/>
        </w:rPr>
        <w:t>6.</w:t>
      </w:r>
      <w:r w:rsidRPr="0004371F">
        <w:rPr>
          <w:rFonts w:eastAsiaTheme="minorHAnsi"/>
          <w:szCs w:val="24"/>
          <w:lang w:eastAsia="en-US"/>
        </w:rPr>
        <w:tab/>
      </w:r>
      <w:r w:rsidR="003B4C01" w:rsidRPr="0004371F">
        <w:t>σημειώνει, με βάση την ενοποιημένη ετήσια έκθεση δραστηριοτήτων του Οργανισμού για το 2022, ότι η εκθετική αύξηση των προγραμμάτων κατάρτισης που προσφέρθηκαν τα τελευταία έτη (από 18 000 το 2016 σε σχεδόν 44 000 το 2022) αντικατοπτρίζει την αυξανόμενη ζήτηση για δραστηριότητες κατάρτισης στην οποία καλείται να ανταποκριθεί ο Οργανισμός· σημειώνει, στο πλαίσιο αυτό, ότι το 2022, λόγω ανεπάρκειας των πόρων, η ζήτηση αυτή ήταν δυνατόν να καλυφθεί μόνο με την αύξηση του διαδικτυακού σκέλους της μάθησης, κάτι το οποίο δεν ικανοποιεί πλήρως τις ανάγκες των ενδιαφερόμενων μερών· στηρίζει τον στόχο του Οργανισμού να συνεχίσει να παρέχει πολυκλαδικές δραστηριότητες που προσελκύουν συμμετέχοντες από την αστυνομία, τις τελωνειακές αρχές, αλλά και συνοριακούς υπαλλήλους·</w:t>
      </w:r>
    </w:p>
    <w:p w:rsidR="003B4C01" w:rsidRPr="0004371F" w:rsidRDefault="0004371F" w:rsidP="0004371F">
      <w:pPr>
        <w:spacing w:after="240"/>
        <w:ind w:left="570" w:hanging="570"/>
      </w:pPr>
      <w:r w:rsidRPr="0004371F">
        <w:rPr>
          <w:rFonts w:eastAsiaTheme="minorHAnsi"/>
          <w:szCs w:val="24"/>
          <w:lang w:eastAsia="en-US"/>
        </w:rPr>
        <w:t>7.</w:t>
      </w:r>
      <w:r w:rsidRPr="0004371F">
        <w:rPr>
          <w:rFonts w:eastAsiaTheme="minorHAnsi"/>
          <w:szCs w:val="24"/>
          <w:lang w:eastAsia="en-US"/>
        </w:rPr>
        <w:tab/>
      </w:r>
      <w:r w:rsidR="003B4C01" w:rsidRPr="0004371F">
        <w:t xml:space="preserve">σημειώνει ότι το 2022 ο Οργανισμός συνέχισε να υλοποιεί με επιτυχία τέσσερα έργα ανάπτυξης ικανοτήτων σε τρίτες χώρες, συμβάλλοντας άμεσα στην ενίσχυση της εσωτερικής ασφάλειας της Ένωσης, καθώς και δραστηριότητες κατάρτισης υπό την αιγίδα του Κέντρου Γνώσης της ΕΑΑ για την καταπολέμηση της τρομοκρατίας και του Κέντρου Γνώσης της ΕΑΑ για τη συνεργασία στον τομέα της επιβολής του νόμου, την ανταλλαγή πληροφοριών και τη διαλειτουργικότητα· εκφράζει την ικανοποίησή του για την επιτυχή υλοποίηση του συνεδρίου έρευνας και επιστήμης της ΕΑΑ σε συνεργασία με το Πανεπιστήμιο </w:t>
      </w:r>
      <w:proofErr w:type="spellStart"/>
      <w:r w:rsidR="003B4C01" w:rsidRPr="0004371F">
        <w:t>Mykolas</w:t>
      </w:r>
      <w:proofErr w:type="spellEnd"/>
      <w:r w:rsidR="003B4C01" w:rsidRPr="0004371F">
        <w:t xml:space="preserve"> </w:t>
      </w:r>
      <w:proofErr w:type="spellStart"/>
      <w:r w:rsidR="003B4C01" w:rsidRPr="0004371F">
        <w:t>Romeris</w:t>
      </w:r>
      <w:proofErr w:type="spellEnd"/>
      <w:r w:rsidR="003B4C01" w:rsidRPr="0004371F">
        <w:t xml:space="preserve"> στο Βίλνιους της Λιθουανίας, το οποίο ενίσχυσε τη συνεργασία μεταξύ του τομέα επιβολής του νόμου και του τομέα της έρευνας, με τη συμμετοχή σχεδόν 200 συμμετεχόντων·</w:t>
      </w:r>
    </w:p>
    <w:p w:rsidR="003B4C01" w:rsidRPr="0004371F" w:rsidRDefault="0004371F" w:rsidP="0004371F">
      <w:pPr>
        <w:pStyle w:val="NormalHanging12a"/>
        <w:widowControl/>
        <w:ind w:left="570" w:hanging="570"/>
      </w:pPr>
      <w:r w:rsidRPr="0004371F">
        <w:t>8.</w:t>
      </w:r>
      <w:r w:rsidRPr="0004371F">
        <w:tab/>
      </w:r>
      <w:r w:rsidR="003B4C01" w:rsidRPr="0004371F">
        <w:t>υπενθυμίζει ότι η κατάρτιση στον τομέα της επιβολής του νόμου σε ενωσιακό επίπεδο πρέπει να αντικατοπτρίζει τις προτεραιότητες της Ένωσης σύμφωνα με τις ανάγκες κατάρτισης των κρατών μελών και να στηρίζει την αντίδραση της Ένωσης στο σοβαρό και οργανωμένο έγκλημα και σε άλλες απειλές κατά της εσωτερικής ασφάλειας, ενώ η προστασία των θεμελιωδών δικαιωμάτων θα πρέπει να αποτελεί κεντρικό πυλώνα των δραστηριοτήτων κατάρτισης του Οργανισμού· σημειώνει τις εκπαιδευτικές δραστηριότητες στον τομέα της καταπολέμησης της τρομοκρατίας, μεταξύ άλλων όσον αφορά τη χρηματοδότηση της τρομοκρατίας, την τρομοκρατία και τα πυροβόλα όπλα, τους αλλοδαπούς τρομοκράτες μαχητές, και τις δραστηριότητες που θέτουν στο στόχαστρο τον εξτρεμισμό και τη ριζοσπαστικοποίηση· ζητεί περαιτέρω κατάρτιση σχετικά με το κυβερνοέγκλημα, την εγκληματολογική έρευνα στον κυβερνοχώρο, την τεχνητή νοημοσύνη, την προστασία των δεδομένων, τα θεμελιώδη δικαιώματα και την καταπολέμηση του ρατσισμού σε ενωσιακό επίπεδο· ζητεί από τον Οργανισμό να μεριμνήσει ώστε όλες του οι δράσεις, ιδίως εκείνες μαζί με τρίτες χώρες, να χαρακτηρίζονται από πλήρη διαφάνεια και απόλυτο σεβασμό των θεμελιωδών δικαιωμάτων και του διεθνούς δικαίου·</w:t>
      </w:r>
    </w:p>
    <w:p w:rsidR="003B4C01" w:rsidRPr="0004371F" w:rsidRDefault="0004371F" w:rsidP="0004371F">
      <w:pPr>
        <w:spacing w:after="240"/>
        <w:ind w:left="570" w:hanging="570"/>
      </w:pPr>
      <w:r w:rsidRPr="0004371F">
        <w:rPr>
          <w:rFonts w:eastAsiaTheme="minorHAnsi"/>
          <w:szCs w:val="24"/>
          <w:lang w:eastAsia="en-US"/>
        </w:rPr>
        <w:t>9.</w:t>
      </w:r>
      <w:r w:rsidRPr="0004371F">
        <w:rPr>
          <w:rFonts w:eastAsiaTheme="minorHAnsi"/>
          <w:szCs w:val="24"/>
          <w:lang w:eastAsia="en-US"/>
        </w:rPr>
        <w:tab/>
      </w:r>
      <w:r w:rsidR="003B4C01" w:rsidRPr="0004371F">
        <w:t xml:space="preserve">σημειώνει ότι ο Οργανισμός διατήρησε επιτυχώς την πιστοποίησή του σύμφωνα με το πρότυπο ISO 9001:2015 Συστήματα Διαχείρισης της Ποιότητας και προέβη σε προετοιμασίες για την περαιτέρω επέκταση της χρήσης του προτύπου ISO 29993:2017 για τις υπηρεσίες μάθησης, γεγονός που εξακολουθεί να αποδεικνύει ότι ο Οργανισμός </w:t>
      </w:r>
      <w:r w:rsidR="003B4C01" w:rsidRPr="0004371F">
        <w:lastRenderedPageBreak/>
        <w:t>διασφαλίζει την αποτελεσματική λειτουργία του συστήματος ποιότητας·</w:t>
      </w:r>
    </w:p>
    <w:p w:rsidR="003B4C01" w:rsidRPr="0004371F" w:rsidRDefault="003B4C01" w:rsidP="0091287E">
      <w:pPr>
        <w:widowControl/>
        <w:spacing w:after="240"/>
        <w:ind w:left="567" w:hanging="567"/>
        <w:rPr>
          <w:b/>
          <w:i/>
          <w:szCs w:val="24"/>
        </w:rPr>
      </w:pPr>
      <w:r w:rsidRPr="0004371F">
        <w:rPr>
          <w:b/>
          <w:i/>
        </w:rPr>
        <w:t>Αποδοτικότητα και βελτιώσεις</w:t>
      </w:r>
    </w:p>
    <w:p w:rsidR="003B4C01" w:rsidRPr="0004371F" w:rsidRDefault="0004371F" w:rsidP="0004371F">
      <w:pPr>
        <w:spacing w:after="240"/>
        <w:ind w:left="570" w:hanging="570"/>
      </w:pPr>
      <w:r w:rsidRPr="0004371F">
        <w:rPr>
          <w:rFonts w:eastAsiaTheme="minorHAnsi"/>
          <w:szCs w:val="24"/>
          <w:lang w:eastAsia="en-US"/>
        </w:rPr>
        <w:t>10.</w:t>
      </w:r>
      <w:r w:rsidRPr="0004371F">
        <w:rPr>
          <w:rFonts w:eastAsiaTheme="minorHAnsi"/>
          <w:szCs w:val="24"/>
          <w:lang w:eastAsia="en-US"/>
        </w:rPr>
        <w:tab/>
      </w:r>
      <w:r w:rsidR="003B4C01" w:rsidRPr="0004371F">
        <w:t xml:space="preserve">σημειώνει ότι ο Οργανισμός εξακολουθεί να συνεργάζεται στενά με το Δίκτυο των Οργανισμών Δικαιοσύνης και Εσωτερικών Υποθέσεων και με τους οργανισμούς που το απαρτίζουν, συμπεριλαμβανομένων ιδίως του </w:t>
      </w:r>
      <w:r w:rsidR="003B4C01" w:rsidRPr="0004371F">
        <w:rPr>
          <w:rStyle w:val="pointer"/>
        </w:rPr>
        <w:t>Οργανισμού της Ευρωπαϊκής Ένωσης για τη Συνεργασία στον Τομέα της Επιβολής του Νόμου (Ευρωπόλ)</w:t>
      </w:r>
      <w:r w:rsidR="003B4C01" w:rsidRPr="0004371F">
        <w:t xml:space="preserve"> και του Ευρωπαϊκού Οργανισμού Συνοριοφυλακής και Ακτοφυλακής, ανταλλάσσοντας δραστηριότητες κατάρτισης και διοργανώνοντας από κοινού μαθήματα· σημειώνει ότι, στο πλαίσιο αυτό, ο Οργανισμός άσκησε την προεδρία του Δικτύου των Οργανισμών Δικαιοσύνης και Εσωτερικών Υποθέσεων το 2022· σημειώνει περαιτέρω ότι ο Οργανισμός έχει συνάψει συμφωνία, από το 2023, με το Ευρωπαϊκό Κέντρο Παρακολούθησης Ναρκωτικών και Τοξικομανίας (EMCDDA) για τη δωρεάν μίσθωση χώρου στην πλατφόρμα μάθησης </w:t>
      </w:r>
      <w:proofErr w:type="spellStart"/>
      <w:r w:rsidR="003B4C01" w:rsidRPr="0004371F">
        <w:t>LEEd</w:t>
      </w:r>
      <w:proofErr w:type="spellEnd"/>
      <w:r w:rsidR="003B4C01" w:rsidRPr="0004371F">
        <w:t xml:space="preserve"> του Οργανισμού, παρέχοντας κατ’ αυτόν τον τρόπο στο EMCDDA μια σύγχρονη πλατφόρμα μάθησης για την κοινότητά του· καλεί τον Οργανισμό να συνεχίσει τη συνεργασία του με άλλους οργανισμούς, ώστε να χρησιμοποιηθούν όλοι οι διαθέσιμοι πόροι·</w:t>
      </w:r>
    </w:p>
    <w:p w:rsidR="003B4C01" w:rsidRPr="0004371F" w:rsidRDefault="0004371F" w:rsidP="0004371F">
      <w:pPr>
        <w:spacing w:after="240"/>
        <w:ind w:left="570" w:hanging="570"/>
      </w:pPr>
      <w:r w:rsidRPr="0004371F">
        <w:rPr>
          <w:rFonts w:eastAsiaTheme="minorHAnsi"/>
          <w:szCs w:val="24"/>
          <w:lang w:eastAsia="en-US"/>
        </w:rPr>
        <w:t>11.</w:t>
      </w:r>
      <w:r w:rsidRPr="0004371F">
        <w:rPr>
          <w:rFonts w:eastAsiaTheme="minorHAnsi"/>
          <w:szCs w:val="24"/>
          <w:lang w:eastAsia="en-US"/>
        </w:rPr>
        <w:tab/>
      </w:r>
      <w:r w:rsidR="003B4C01" w:rsidRPr="0004371F">
        <w:t>επαινεί τον Οργανισμό για την επίτευξη σχετικά υψηλού επιπέδου ψηφιοποίησης καθώς πολλές από τις διαδικασίες του έχουν γίνει ηλεκτρονικές ή διαδικασίες χωρίς χαρτί, για παράδειγμα το σύστημα υποβολής ηλεκτρονικών δημόσιων συμβάσεων για ανοικτές διαδικασίες και η ηλεκτρονική υποβολή προσφορών, οι ηλεκτρονικές προσλήψεις, η ηλεκτρονική διαχείριση ανθρώπινων πόρων (SYSPER), η ηλεκτρονική τιμολόγηση, οι ηλεκτρονικές κρατήσεις ταξιδιών, συχνά σε στενή συνεργασία με τη Γενική Διεύθυνση Ψηφιακών Υπηρεσιών·</w:t>
      </w:r>
    </w:p>
    <w:p w:rsidR="003B4C01" w:rsidRPr="0004371F" w:rsidRDefault="0004371F" w:rsidP="0004371F">
      <w:pPr>
        <w:spacing w:after="240"/>
        <w:ind w:left="570" w:hanging="570"/>
      </w:pPr>
      <w:r w:rsidRPr="0004371F">
        <w:rPr>
          <w:rFonts w:eastAsiaTheme="minorHAnsi"/>
          <w:szCs w:val="24"/>
          <w:lang w:eastAsia="en-US"/>
        </w:rPr>
        <w:t>12.</w:t>
      </w:r>
      <w:r w:rsidRPr="0004371F">
        <w:rPr>
          <w:rFonts w:eastAsiaTheme="minorHAnsi"/>
          <w:szCs w:val="24"/>
          <w:lang w:eastAsia="en-US"/>
        </w:rPr>
        <w:tab/>
      </w:r>
      <w:r w:rsidR="003B4C01" w:rsidRPr="0004371F">
        <w:t>σημειώνει ότι ο Οργανισμός έχει θεσπίσει εσωτερικούς κανόνες σύμφωνα με τους οποίους, για μικρές αποστάσεις, το προσωπικό (και οι συμμετέχοντες σε δραστηριότητες κατάρτισης) θα πρέπει να χρησιμοποιούν εναλλακτικές λύσεις αντί των πτήσεων, όπως τρένο ή λεωφορείο· σημειώνει με ικανοποίηση ότι από το 2022 ο Οργανισμός προσφέρει στο προσωπικό του επιστροφή των εξόδων μετακίνησης με τα μέσα δημόσιας συγκοινωνίας· σημειώνει περαιτέρω ότι πολλές συνεδριάσεις ομάδων εμπειρογνωμόνων που προηγουμένως πραγματοποιούνταν επιτόπου πραγματοποιούνται πλέον διαδικτυακά· εκφράζει τη λύπη του για το γεγονός ότι ο Οργανισμός δεν διαθέτει σύστημα για την αντικειμενική και αναλυτική παρακολούθηση της εξέλιξης των βελτιώσεων και των εξοικονομήσεων κατά τη διάρκεια των ετών και καλεί τον Οργανισμό να δημιουργήσει ένα τέτοιο σύστημα·</w:t>
      </w:r>
    </w:p>
    <w:p w:rsidR="003B4C01" w:rsidRPr="0004371F" w:rsidRDefault="0004371F" w:rsidP="0004371F">
      <w:pPr>
        <w:spacing w:after="240"/>
        <w:ind w:left="570" w:hanging="570"/>
      </w:pPr>
      <w:r w:rsidRPr="0004371F">
        <w:rPr>
          <w:rFonts w:eastAsiaTheme="minorHAnsi"/>
          <w:szCs w:val="24"/>
          <w:lang w:eastAsia="en-US"/>
        </w:rPr>
        <w:t>13.</w:t>
      </w:r>
      <w:r w:rsidRPr="0004371F">
        <w:rPr>
          <w:rFonts w:eastAsiaTheme="minorHAnsi"/>
          <w:szCs w:val="24"/>
          <w:lang w:eastAsia="en-US"/>
        </w:rPr>
        <w:tab/>
      </w:r>
      <w:r w:rsidR="003B4C01" w:rsidRPr="0004371F">
        <w:t>σημειώνει, με βάση την έκθεση του Ελεγκτικού Συνεδρίου, ότι ο Οργανισμός δεν διαθέτει σχέδιο για τη βελτίωση της ενεργειακής απόδοσης και της κλιματικής ουδετερότητας των δραστηριοτήτων του· εκφράζει τη λύπη του για το γεγονός ότι ο Οργανισμός δεν έχει ακόμη ξεκινήσει τη διαδικασία πιστοποίησης βάσει του συστήματος οικολογικής διαχείρισης και οικολογικού ελέγχου (EMAS)· σημειώνει, ωστόσο, ότι στις απαιτήσεις για το νέο κτίριο της έδρας του, ο Οργανισμός δήλωσε ότι θα προβεί σε ενέργειες για την πιστοποίηση EMAS στο εγγύς μέλλον· σημειώνει, στο ίδιο πλαίσιο, ότι ο Οργανισμός ακολουθεί την καθοδήγηση της Επιτροπής, σύμφωνα με την οποία στην πλειονότητα των διαδικασιών σύναψης συμβάσεων περιλαμβάνονται επίσης κριτήρια ανάθεσης που σχετίζονται με περιβαλλοντικές παραμέτρους· καλεί τον Οργανισμό να ακολουθήσει παραδείγματα άλλων οργανισμών όσον αφορά τις πράσινες συμβάσεις·</w:t>
      </w:r>
    </w:p>
    <w:p w:rsidR="003B4C01" w:rsidRPr="0004371F" w:rsidRDefault="003B4C01" w:rsidP="0091287E">
      <w:pPr>
        <w:widowControl/>
        <w:spacing w:after="240"/>
        <w:ind w:left="567" w:hanging="567"/>
        <w:rPr>
          <w:b/>
          <w:i/>
          <w:szCs w:val="24"/>
        </w:rPr>
      </w:pPr>
      <w:r w:rsidRPr="0004371F">
        <w:rPr>
          <w:b/>
          <w:i/>
        </w:rPr>
        <w:lastRenderedPageBreak/>
        <w:t>Πολιτική προσωπικού</w:t>
      </w:r>
    </w:p>
    <w:p w:rsidR="003B4C01" w:rsidRPr="0004371F" w:rsidRDefault="0004371F" w:rsidP="0004371F">
      <w:pPr>
        <w:spacing w:after="240"/>
        <w:ind w:left="570" w:hanging="570"/>
      </w:pPr>
      <w:r w:rsidRPr="0004371F">
        <w:rPr>
          <w:rFonts w:eastAsiaTheme="minorHAnsi"/>
          <w:szCs w:val="24"/>
          <w:lang w:eastAsia="en-US"/>
        </w:rPr>
        <w:t>14.</w:t>
      </w:r>
      <w:r w:rsidRPr="0004371F">
        <w:rPr>
          <w:rFonts w:eastAsiaTheme="minorHAnsi"/>
          <w:szCs w:val="24"/>
          <w:lang w:eastAsia="en-US"/>
        </w:rPr>
        <w:tab/>
      </w:r>
      <w:r w:rsidR="003B4C01" w:rsidRPr="0004371F">
        <w:t>σημειώνει ότι, στις 31 Δεκεμβρίου 2022, το ποσοστό εκτέλεσης του πίνακα προσωπικού ήταν 79 % και ότι καλύφθηκαν οι 26 από τις 33 θέσεις έκτακτων υπαλλήλων που είχαν εγκριθεί στο πλαίσιο του προϋπολογισμού της Ένωσης (ο ίδιος αριθμός εγκεκριμένων θέσεων το 2021)· σημειώνει, επιπλέον, ότι 59 συμβασιούχοι υπάλληλοι (εκ των οποίων 20 τοποθετήθηκαν σε τακτικές δραστηριότητες και 39 σε έργα ανάπτυξης ικανοτήτων με εξωτερική χρηματοδότηση) και 6 αποσπασμένοι εθνικοί εμπειρογνώμονες εργάστηκαν για τον Οργανισμό το 2022· σημειώνει επίσης ότι, στις 31 Δεκεμβρίου 2022, προσελήφθησαν 24 προσωρινοί υπάλληλοι με καθήκοντα που σχετίζονται με βασικές επιχειρησιακές δραστηριότητες, όπως η ηλεκτρονική μάθηση, η τεχνολογία πληροφοριών και επικοινωνιών, η νομική υποστήριξη και η υποστήριξη της διαχείρισης·</w:t>
      </w:r>
    </w:p>
    <w:p w:rsidR="003B4C01" w:rsidRPr="0004371F" w:rsidRDefault="0004371F" w:rsidP="0004371F">
      <w:pPr>
        <w:spacing w:after="240"/>
        <w:ind w:left="570" w:hanging="570"/>
      </w:pPr>
      <w:r w:rsidRPr="0004371F">
        <w:rPr>
          <w:rFonts w:eastAsiaTheme="minorHAnsi"/>
          <w:szCs w:val="24"/>
          <w:lang w:eastAsia="en-US"/>
        </w:rPr>
        <w:t>15.</w:t>
      </w:r>
      <w:r w:rsidRPr="0004371F">
        <w:rPr>
          <w:rFonts w:eastAsiaTheme="minorHAnsi"/>
          <w:szCs w:val="24"/>
          <w:lang w:eastAsia="en-US"/>
        </w:rPr>
        <w:tab/>
      </w:r>
      <w:r w:rsidR="003B4C01" w:rsidRPr="0004371F">
        <w:t>σημειώνει ότι οι διακυμάνσεις του προσωπικού εξακολούθησαν να είναι σχετικά υψηλές το 2022 και είχαν σημαντικό αντίκτυπο στον Οργανισμό· σημειώνει, στο πλαίσιο αυτό, ότι το 2022 υπήρξαν 4 παραιτήσεις λόγω νέων ευκαιριών απασχόλησης εντός και εκτός του Οργανισμού, 3 αποχωρήσεις λόγω συνταξιοδότησης και, στις 31 Δεκεμβρίου 2022, 4 μέλη του προσωπικού έλαβαν άδεια άνευ αποδοχών·</w:t>
      </w:r>
    </w:p>
    <w:p w:rsidR="003B4C01" w:rsidRPr="0004371F" w:rsidRDefault="0004371F" w:rsidP="0004371F">
      <w:pPr>
        <w:spacing w:after="240"/>
        <w:ind w:left="570" w:hanging="570"/>
      </w:pPr>
      <w:r w:rsidRPr="0004371F">
        <w:rPr>
          <w:rFonts w:eastAsiaTheme="minorHAnsi"/>
          <w:szCs w:val="24"/>
          <w:lang w:eastAsia="en-US"/>
        </w:rPr>
        <w:t>16.</w:t>
      </w:r>
      <w:r w:rsidRPr="0004371F">
        <w:rPr>
          <w:rFonts w:eastAsiaTheme="minorHAnsi"/>
          <w:szCs w:val="24"/>
          <w:lang w:eastAsia="en-US"/>
        </w:rPr>
        <w:tab/>
      </w:r>
      <w:r w:rsidR="003B4C01" w:rsidRPr="0004371F">
        <w:t xml:space="preserve">επαναλαμβάνει την υποστήριξή του για την αύξηση του αριθμού του προσωπικού του Οργανισμού, ανάλογα με τα καθήκοντα και τις φιλοδοξίες που θέτει η τρέχουσα εντολή του Οργανισμού· σημειώνει με ικανοποίηση ότι, με βάση την έκθεση παρακολούθησης του Οργανισμού με τίτλο «CEPOL </w:t>
      </w:r>
      <w:proofErr w:type="spellStart"/>
      <w:r w:rsidR="003B4C01" w:rsidRPr="0004371F">
        <w:t>Action</w:t>
      </w:r>
      <w:proofErr w:type="spellEnd"/>
      <w:r w:rsidR="003B4C01" w:rsidRPr="0004371F">
        <w:t xml:space="preserve"> </w:t>
      </w:r>
      <w:proofErr w:type="spellStart"/>
      <w:r w:rsidR="003B4C01" w:rsidRPr="0004371F">
        <w:t>Plan</w:t>
      </w:r>
      <w:proofErr w:type="spellEnd"/>
      <w:r w:rsidR="003B4C01" w:rsidRPr="0004371F">
        <w:t xml:space="preserve"> in </w:t>
      </w:r>
      <w:proofErr w:type="spellStart"/>
      <w:r w:rsidR="003B4C01" w:rsidRPr="0004371F">
        <w:t>response</w:t>
      </w:r>
      <w:proofErr w:type="spellEnd"/>
      <w:r w:rsidR="003B4C01" w:rsidRPr="0004371F">
        <w:t xml:space="preserve"> </w:t>
      </w:r>
      <w:proofErr w:type="spellStart"/>
      <w:r w:rsidR="003B4C01" w:rsidRPr="0004371F">
        <w:t>to</w:t>
      </w:r>
      <w:proofErr w:type="spellEnd"/>
      <w:r w:rsidR="003B4C01" w:rsidRPr="0004371F">
        <w:t xml:space="preserve"> the EP </w:t>
      </w:r>
      <w:proofErr w:type="spellStart"/>
      <w:r w:rsidR="003B4C01" w:rsidRPr="0004371F">
        <w:t>discharge</w:t>
      </w:r>
      <w:proofErr w:type="spellEnd"/>
      <w:r w:rsidR="003B4C01" w:rsidRPr="0004371F">
        <w:t xml:space="preserve"> </w:t>
      </w:r>
      <w:proofErr w:type="spellStart"/>
      <w:r w:rsidR="003B4C01" w:rsidRPr="0004371F">
        <w:t>decision</w:t>
      </w:r>
      <w:proofErr w:type="spellEnd"/>
      <w:r w:rsidR="003B4C01" w:rsidRPr="0004371F">
        <w:t xml:space="preserve"> for </w:t>
      </w:r>
      <w:proofErr w:type="spellStart"/>
      <w:r w:rsidR="003B4C01" w:rsidRPr="0004371F">
        <w:t>financial</w:t>
      </w:r>
      <w:proofErr w:type="spellEnd"/>
      <w:r w:rsidR="003B4C01" w:rsidRPr="0004371F">
        <w:t xml:space="preserve"> </w:t>
      </w:r>
      <w:proofErr w:type="spellStart"/>
      <w:r w:rsidR="003B4C01" w:rsidRPr="0004371F">
        <w:t>year</w:t>
      </w:r>
      <w:proofErr w:type="spellEnd"/>
      <w:r w:rsidR="003B4C01" w:rsidRPr="0004371F">
        <w:t xml:space="preserve"> 2021» (Σχέδιο δράσης της ΕΑΑ σε απάντηση στην απόφαση απαλλαγής του ΕΚ για το οικονομικό έτος 2021</w:t>
      </w:r>
      <w:r w:rsidR="00F02B67" w:rsidRPr="0004371F">
        <w:t>)</w:t>
      </w:r>
      <w:r w:rsidR="003B4C01" w:rsidRPr="0004371F">
        <w:t xml:space="preserve">,  </w:t>
      </w:r>
      <w:r w:rsidR="00F02B67" w:rsidRPr="0004371F">
        <w:t>(«</w:t>
      </w:r>
      <w:r w:rsidR="003B4C01" w:rsidRPr="0004371F">
        <w:t>έκθεση παρακολούθησης του Οργανισμού</w:t>
      </w:r>
      <w:r w:rsidR="00F02B67" w:rsidRPr="0004371F">
        <w:t>»</w:t>
      </w:r>
      <w:r w:rsidR="003B4C01" w:rsidRPr="0004371F">
        <w:t>), προκειμένου να τεκμηριωθεί μελλοντικό αίτημα για πόρους, η εκτελεστική διευθύντρια του Οργανισμού έχει συγκροτήσει ειδική ομάδα για τη συστηματική τεκμηρίωση και αιτιολόγηση των αναγκών για πρόσθετους δημοσιονομικούς και ανθρώπινους πόρους, στο πλαίσιο της νέας στρατηγικής 2023-2027·</w:t>
      </w:r>
    </w:p>
    <w:p w:rsidR="003B4C01" w:rsidRPr="0004371F" w:rsidRDefault="0004371F" w:rsidP="0004371F">
      <w:pPr>
        <w:spacing w:after="240"/>
        <w:ind w:left="570" w:hanging="570"/>
      </w:pPr>
      <w:r w:rsidRPr="0004371F">
        <w:rPr>
          <w:rFonts w:eastAsiaTheme="minorHAnsi"/>
          <w:szCs w:val="24"/>
          <w:lang w:eastAsia="en-US"/>
        </w:rPr>
        <w:t>17.</w:t>
      </w:r>
      <w:r w:rsidRPr="0004371F">
        <w:rPr>
          <w:rFonts w:eastAsiaTheme="minorHAnsi"/>
          <w:szCs w:val="24"/>
          <w:lang w:eastAsia="en-US"/>
        </w:rPr>
        <w:tab/>
      </w:r>
      <w:r w:rsidR="003B4C01" w:rsidRPr="0004371F">
        <w:t>σημειώνει ότι το ποσοστό εναλλαγής προσωπικού παρέμεινε υψηλό το 2022, στο 11,8 %, με σημαντικό αντίκτυπο στην οργάνωση· σημειώνει, με βάση την έκθεση παρακολούθησης του Οργανισμού, ότι το ποσοστό εναλλαγής διαφεύγει του ελέγχου του Οργανισμού, καθώς οι κύριες αιτίες είναι ο χαμηλός διορθωτικός συντελεστής της χώρας και οι σχετικά χαμηλόβαθμες θέσεις για βασικές αρμοδιότητες υποστήριξης στον Οργανισμό· σημειώνει ότι το 2022 ο Οργανισμός συνέχισε να εφαρμόζει μέτρα διατήρησης του προσωπικού και επιχειρησιακής συνέχειας, χρησιμοποιώντας έναν αριθμό προσωρινών υπαλλήλων και αποσπασμένων εθνικών εμπειρογνωμόνων για την κάλυψη των απουσιών του προσωπικού, μέχρι την ολοκλήρωση της πρόσληψης μόνιμου προσωπικού, και συνεχίζοντας την ανακατάταξη του προσωπικού και των καθηκόντων, με διατήρηση των κοινωνικών ρυθμίσεων (π.χ. σχολική φοίτηση για τα παιδιά του προσωπικού), της τηλεργασίας και των ρυθμίσεων για ευέλικτο ωράριο· καλεί εκ νέου την Επιτροπή να αναθεωρήσει τον διορθωτικό συντελεστή προκειμένου να αποτυπώνεται καλύτερα η οικονομική πραγματικότητα της μετεγκατάστασης και της διαμονής στην πόλη όπου είναι εγκατεστημένος ο Οργανισμός·</w:t>
      </w:r>
    </w:p>
    <w:p w:rsidR="003B4C01" w:rsidRPr="0004371F" w:rsidRDefault="0004371F" w:rsidP="0004371F">
      <w:pPr>
        <w:spacing w:after="240"/>
        <w:ind w:left="570" w:hanging="570"/>
      </w:pPr>
      <w:r w:rsidRPr="0004371F">
        <w:rPr>
          <w:rFonts w:eastAsiaTheme="minorHAnsi"/>
          <w:szCs w:val="24"/>
          <w:lang w:eastAsia="en-US"/>
        </w:rPr>
        <w:t>18.</w:t>
      </w:r>
      <w:r w:rsidRPr="0004371F">
        <w:rPr>
          <w:rFonts w:eastAsiaTheme="minorHAnsi"/>
          <w:szCs w:val="24"/>
          <w:lang w:eastAsia="en-US"/>
        </w:rPr>
        <w:tab/>
      </w:r>
      <w:r w:rsidR="003B4C01" w:rsidRPr="0004371F">
        <w:t xml:space="preserve">σημειώνει με ικανοποίηση, όσον αφορά το εργαλείο SYSPER, ότι ο Οργανισμός έχει ενσωματώσει ενότητες όπως οι REPORTING, ETHICS και STAGE και καταβάλλει προσπάθειες για την ενσωμάτωση άλλων ενοτήτων </w:t>
      </w:r>
      <w:proofErr w:type="spellStart"/>
      <w:r w:rsidR="003B4C01" w:rsidRPr="0004371F">
        <w:t>Sysper</w:t>
      </w:r>
      <w:proofErr w:type="spellEnd"/>
      <w:r w:rsidR="003B4C01" w:rsidRPr="0004371F">
        <w:t xml:space="preserve"> (π.χ. EVAL/PROMO)·</w:t>
      </w:r>
    </w:p>
    <w:p w:rsidR="003B4C01" w:rsidRPr="0004371F" w:rsidRDefault="0004371F" w:rsidP="0004371F">
      <w:pPr>
        <w:spacing w:after="240"/>
        <w:ind w:left="570" w:hanging="570"/>
      </w:pPr>
      <w:r w:rsidRPr="0004371F">
        <w:rPr>
          <w:rFonts w:eastAsiaTheme="minorHAnsi"/>
          <w:szCs w:val="24"/>
          <w:lang w:eastAsia="en-US"/>
        </w:rPr>
        <w:lastRenderedPageBreak/>
        <w:t>19.</w:t>
      </w:r>
      <w:r w:rsidRPr="0004371F">
        <w:rPr>
          <w:rFonts w:eastAsiaTheme="minorHAnsi"/>
          <w:szCs w:val="24"/>
          <w:lang w:eastAsia="en-US"/>
        </w:rPr>
        <w:tab/>
      </w:r>
      <w:r w:rsidR="003B4C01" w:rsidRPr="0004371F">
        <w:t>εκφράζει την ικανοποίησή του για την καταγεγραμμένη σύνθεση του προσωπικού του Οργανισμού ανά φύλο για το 2022, με 3 άνδρες και 3 γυναίκες να καταλαμβάνουν διευθυντικές θέσεις (1 ανώτερο διευθυντικό στέλεχος και 5 μεσαία διευθυντικά στελέχη), με 15 άνδρες (56 %) και 12 γυναίκες (44 %) στο διοικητικό συμβούλιο, και συνολικό προσωπικό 37 ανδρών (44 %) και 48 γυναικών (56 %)· συγχαίρει τον Οργανισμό για την ισόρροπη εκπροσώπηση των φύλων που επιτεύχθηκε το 2022·</w:t>
      </w:r>
    </w:p>
    <w:p w:rsidR="003B4C01" w:rsidRPr="0004371F" w:rsidRDefault="0004371F" w:rsidP="0004371F">
      <w:pPr>
        <w:pStyle w:val="NormalHanging12a"/>
        <w:widowControl/>
        <w:ind w:left="570" w:hanging="570"/>
      </w:pPr>
      <w:r w:rsidRPr="0004371F">
        <w:t>20.</w:t>
      </w:r>
      <w:r w:rsidRPr="0004371F">
        <w:tab/>
      </w:r>
      <w:r w:rsidR="003B4C01" w:rsidRPr="0004371F">
        <w:t>σημειώνει, με βάση την ενοποιημένη ετήσια έκθεση δραστηριοτήτων του Οργανισμού για το 2022, ότι στο προσωπικό του Οργανισμού το 2022 εκπροσωπούνταν 17 κράτη μέλη· σημειώνει ότι το 39 % του προσωπικού του είναι υπήκοοι του κράτους μέλους όπου έχει την έδρα του ο Οργανισμός· υπενθυμίζει τη σημασία της γεωγραφικής ισορροπίας και καλεί τον Οργανισμό να λάβει τα αναγκαία μέτρα για να έχει ισόρροπη και δίκαιη γεωγραφική εκπροσώπηση·</w:t>
      </w:r>
    </w:p>
    <w:p w:rsidR="003B4C01" w:rsidRPr="0004371F" w:rsidRDefault="0004371F" w:rsidP="0004371F">
      <w:pPr>
        <w:spacing w:after="240"/>
        <w:ind w:left="570" w:hanging="570"/>
      </w:pPr>
      <w:r w:rsidRPr="0004371F">
        <w:rPr>
          <w:rFonts w:eastAsiaTheme="minorHAnsi"/>
          <w:szCs w:val="24"/>
          <w:lang w:eastAsia="en-US"/>
        </w:rPr>
        <w:t>21.</w:t>
      </w:r>
      <w:r w:rsidRPr="0004371F">
        <w:rPr>
          <w:rFonts w:eastAsiaTheme="minorHAnsi"/>
          <w:szCs w:val="24"/>
          <w:lang w:eastAsia="en-US"/>
        </w:rPr>
        <w:tab/>
      </w:r>
      <w:r w:rsidR="003B4C01" w:rsidRPr="0004371F">
        <w:t>εκφράζει την ικανοποίησή του για το γεγονός ότι το 2022 ο Οργανισμός εξέδωσε μια νέα απόφαση η οποία εδράζεται στην προσανατολισμένη στα αποτελέσματα διαχείριση βάσει στόχων και σε μια νοοτροπία εμπιστοσύνης· σημειώνει ότι η εν λόγω απόφαση εισήγαγε μεγαλύτερη ευελιξία για το προσωπικό, τόσο όσον αφορά τον χρόνο εργασίας όσο και την τηλεργασία, παρέχοντας το δικαίωμα αποσύνδεσης και καθορίζοντας με σαφήνεια ένα χρονικό διάστημα αποσύνδεσης που αναμένεται να συμβάλει στην καλύτερη ισορροπία μεταξύ επαγγελματικής και ιδιωτικής ζωής και να προστατεύσει το προσωπικό από τον υπερβολικό φόρτο εργασίας σε ψηφιακό περιβάλλον·</w:t>
      </w:r>
    </w:p>
    <w:p w:rsidR="003B4C01" w:rsidRPr="0004371F" w:rsidRDefault="0004371F" w:rsidP="0004371F">
      <w:pPr>
        <w:spacing w:after="240"/>
        <w:ind w:left="570" w:hanging="570"/>
        <w:rPr>
          <w:color w:val="000000"/>
        </w:rPr>
      </w:pPr>
      <w:r w:rsidRPr="0004371F">
        <w:rPr>
          <w:rFonts w:eastAsiaTheme="minorHAnsi"/>
          <w:color w:val="000000"/>
          <w:szCs w:val="24"/>
          <w:lang w:eastAsia="en-US"/>
        </w:rPr>
        <w:t>22.</w:t>
      </w:r>
      <w:r w:rsidRPr="0004371F">
        <w:rPr>
          <w:rFonts w:eastAsiaTheme="minorHAnsi"/>
          <w:color w:val="000000"/>
          <w:szCs w:val="24"/>
          <w:lang w:eastAsia="en-US"/>
        </w:rPr>
        <w:tab/>
      </w:r>
      <w:r w:rsidR="003B4C01" w:rsidRPr="0004371F">
        <w:rPr>
          <w:color w:val="000000"/>
        </w:rPr>
        <w:t>εκφράζει την ικανοποίησή του, με βάση την έκθεση παρακολούθησης του Οργανισμού, όσον αφορά την παρατήρηση σχετικά με το προσωπικό που εργάζεται για τις διαδικασίες σύναψης συμβάσεων, ότι ο πίνακας προσωπικού για το 2023 προβλέπει τη μετατροπή της σχετικής θέσης AST-5 (βαθμός πρόσληψης AST-3) σε θέση AD-5·</w:t>
      </w:r>
    </w:p>
    <w:p w:rsidR="003B4C01" w:rsidRPr="0004371F" w:rsidRDefault="003B4C01" w:rsidP="0091287E">
      <w:pPr>
        <w:widowControl/>
        <w:spacing w:after="240"/>
        <w:ind w:left="567" w:hanging="567"/>
        <w:rPr>
          <w:rFonts w:eastAsiaTheme="minorHAnsi"/>
          <w:b/>
          <w:i/>
          <w:szCs w:val="24"/>
        </w:rPr>
      </w:pPr>
      <w:r w:rsidRPr="0004371F">
        <w:rPr>
          <w:b/>
          <w:i/>
        </w:rPr>
        <w:t>Σύναψη συμβάσεων</w:t>
      </w:r>
    </w:p>
    <w:p w:rsidR="003B4C01" w:rsidRPr="0004371F" w:rsidRDefault="0004371F" w:rsidP="0004371F">
      <w:pPr>
        <w:pStyle w:val="NormalHanging12a"/>
        <w:widowControl/>
        <w:ind w:left="570" w:hanging="570"/>
      </w:pPr>
      <w:r w:rsidRPr="0004371F">
        <w:t>23.</w:t>
      </w:r>
      <w:r w:rsidRPr="0004371F">
        <w:tab/>
      </w:r>
      <w:r w:rsidR="003B4C01" w:rsidRPr="0004371F">
        <w:t xml:space="preserve">σημειώνει με ανησυχία, με βάση την έκθεση του Ελεγκτικού Συνεδρίου, ότι από το οικονομικό έτος 2020 και μετά το Ελεγκτικό Συνέδριο απευθύνει κάθε έτος νέες παρατηρήσεις προς τον Οργανισμό σχετικά με τη σύναψη συμβάσεων· επισημαίνει, με βάση την έκθεση του Ελεγκτικού Συνεδρίου, την παρατήρηση που αποτελεί τη βάση για τη γνώμη με επιφύλαξη του Ελεγκτικού Συνεδρίου σχετικά με τη νομιμότητα και κανονικότητα 359 πληρωμών συνολικής αξίας 4,1 εκατομμυρίων EUR που πραγματοποιήθηκαν το 2022 βάσει δύο συμβάσεων-πλαισίων που εκτελέστηκαν απευθείας μέσω δελτίων παραγγελίας (αιτήματα παροχής υπηρεσιών), τα οποία απεστάλησαν από μέλη του προσωπικού του Οργανισμού που δεν είχαν την αρμοδιότητα να αναλαμβάνουν νομικές δεσμεύσεις εξ ονόματος του Οργανισμού ή από προσωρινά απασχολούμενους στους οποίους δεν μπορούσε νομίμως να μεταβιβασθεί η αρμοδιότητα λόγω του προσωρινού χαρακτήρα της θέσης τους· λαμβάνει υπόψη την απάντηση του Οργανισμού στην παρατήρηση του Ελεγκτικού Συνεδρίου ότι, ακόμη και αν υπήρχε αδυναμία στην τυποποίηση της νομικής δέσμευσης, οι υπηρεσίες παραγγέλθηκαν σύμφωνα με τις ανάγκες του Οργανισμού και οι έλεγχοι εφαρμόστηκαν πλήρως για να διασφαλιστεί ότι τα κονδύλια χρησιμοποιήθηκαν για τον επιδιωκόμενο σκοπό και ότι δεν προκλήθηκε καμία πραγματική ζημία· σημειώνει, με βάση τις απαντήσεις του Οργανισμού στις γραπτές ερωτήσεις του Κοινοβουλίου, ότι οι εν λόγω συμβάσεις δεν επηρεάστηκαν από άλλες παρατυπίες και ότι ο Οργανισμός έχει λάβει μέτρα για τη διευθέτηση της παρατήρησης του Ελεγκτικού Συνεδρίου με την τροποποίηση των εσωτερικών διαδικασιών του, ώστε να διασφαλιστεί ότι οι </w:t>
      </w:r>
      <w:r w:rsidR="003B4C01" w:rsidRPr="0004371F">
        <w:lastRenderedPageBreak/>
        <w:t>παραγγελίες θα διαβιβάζονται στο ταξιδιωτικό γραφείο μόνο από μόνιμο προσωπικό, στο οποίο έχει ανατεθεί από διατάκτη η ανάληψη νομικής δέσμευσης· σημειώνει την απάντηση του Οργανισμού, σύμφωνα με την οποία ο Οργανισμός θέσπισε αμέσως διορθωτικά μέτρα, ακόμη και πριν από το τέλος της διαδικασίας ελέγχου· καλεί τον Οργανισμό να διευθετήσει πλήρως τις εν λόγω παρατηρήσεις και να βελτιώσει τις διαδικασίες σύναψης συμβάσεων, προκειμένου να αποφευχθούν παρόμοιες καταστάσεις στο μέλλον·</w:t>
      </w:r>
    </w:p>
    <w:p w:rsidR="003B4C01" w:rsidRPr="0004371F" w:rsidRDefault="0004371F" w:rsidP="0004371F">
      <w:pPr>
        <w:pStyle w:val="NormalHanging12a"/>
        <w:widowControl/>
        <w:ind w:left="570" w:hanging="570"/>
      </w:pPr>
      <w:r w:rsidRPr="0004371F">
        <w:t>24.</w:t>
      </w:r>
      <w:r w:rsidRPr="0004371F">
        <w:tab/>
      </w:r>
      <w:r w:rsidR="003B4C01" w:rsidRPr="0004371F">
        <w:t xml:space="preserve">επισημαίνει περαιτέρω, με βάση την έκθεση του Ελεγκτικού Συνεδρίου, τη γνώμη με επιφύλαξη, σύμφωνα με την οποία όλα τα ποσά που καταβλήθηκαν το 2022 (152 655 EUR) για την εκτέλεση σύμβασης-πλαισίου (για υπηρεσίες επιμέλειας εκπαιδευτικών κειμένων) δεν συμφωνούσαν με τις παρεχόμενες υπηρεσίες και ορισμένες κατηγορίες καθηκόντων δεν αντικατόπτριζαν τη φύση της εργασίας που είχε πράγματι εκτελεστεί και, για ορισμένες κατηγορίες, ο όγκος της αμειβόμενης εργασίας δεν αντιστοιχούσε στον όγκο που πράγματι εκτελέστηκε, με αποτέλεσμα τα εν λόγω ποσά να είναι παράτυπα· σημειώνει την εξήγηση του Οργανισμού ότι ο αριθμός των σελίδων που παραγγέλθηκαν, παραδόθηκαν και πληρώθηκαν δεν αντιστοιχούσε πλήρως, δεδομένου ότι, λόγω της φύσης των εργασιών, δηλαδή της παροχής υπηρεσιών επιμέλειας κειμένων και ανάπτυξης εκπαιδευτικού περιεχομένου, ο αριθμός αυτός δεν ήταν πάντα επακριβώς </w:t>
      </w:r>
      <w:proofErr w:type="spellStart"/>
      <w:r w:rsidR="003B4C01" w:rsidRPr="0004371F">
        <w:t>ποσοτικοποιήσιμος</w:t>
      </w:r>
      <w:proofErr w:type="spellEnd"/>
      <w:r w:rsidR="003B4C01" w:rsidRPr="0004371F">
        <w:t xml:space="preserve"> εκ των προτέρων· σημειώνει περαιτέρω ότι, σύμφωνα με την απάντηση του Οργανισμού, διενεργήθηκαν έλεγχοι στα παραδοτέα και ότι οι κατηγορίες καθηκόντων βασίστηκαν σε εκείνες που είχαν περιληφθεί σε προηγούμενη σύμβαση με την Υπηρεσία Εκδόσεων· καλεί τον Οργανισμό να θεσπίσει μέτρα που θα επιτρέπουν στον Οργανισμό να </w:t>
      </w:r>
      <w:proofErr w:type="spellStart"/>
      <w:r w:rsidR="003B4C01" w:rsidRPr="0004371F">
        <w:t>ποσοτικοποιεί</w:t>
      </w:r>
      <w:proofErr w:type="spellEnd"/>
      <w:r w:rsidR="003B4C01" w:rsidRPr="0004371F">
        <w:t xml:space="preserve"> καλύτερα τα παραδοτέα εκ των προτέρων και να αποφεύγει τέτοιες καταστάσεις στο μέλλον·</w:t>
      </w:r>
    </w:p>
    <w:p w:rsidR="003B4C01" w:rsidRPr="0004371F" w:rsidRDefault="0004371F" w:rsidP="0004371F">
      <w:pPr>
        <w:spacing w:after="240"/>
        <w:ind w:left="570" w:hanging="570"/>
        <w:rPr>
          <w:color w:val="000000"/>
        </w:rPr>
      </w:pPr>
      <w:r w:rsidRPr="0004371F">
        <w:rPr>
          <w:rFonts w:eastAsiaTheme="minorHAnsi"/>
          <w:color w:val="000000"/>
          <w:szCs w:val="24"/>
          <w:lang w:eastAsia="en-US"/>
        </w:rPr>
        <w:t>25.</w:t>
      </w:r>
      <w:r w:rsidRPr="0004371F">
        <w:rPr>
          <w:rFonts w:eastAsiaTheme="minorHAnsi"/>
          <w:color w:val="000000"/>
          <w:szCs w:val="24"/>
          <w:lang w:eastAsia="en-US"/>
        </w:rPr>
        <w:tab/>
      </w:r>
      <w:r w:rsidR="003B4C01" w:rsidRPr="0004371F">
        <w:rPr>
          <w:color w:val="000000"/>
        </w:rPr>
        <w:t>σημειώνει, με βάση την έκθεση του Ελεγκτικού Συνεδρίου για το οικονομικό έτος 2021, ότι μία παρατήρηση παρέμεινε σε εκκρεμότητα, όσον αφορά τη διαδικασία αξιολόγησης μιας διαδικασίας σύναψης σύμβασης, στο πλαίσιο της οποίας ο Οργανισμός έδωσε έμφαση σε ένα κριτήριο που δεν διατυπωνόταν με σαφήνεια στη συγγραφή υποχρεώσεων, με αποτέλεσμα να υπάρχει κίνδυνος άνισης μεταχείρισης των προσφερόντων· λαμβάνει υπόψη ότι η σύμβαση ίσχυε έως τον Σεπτέμβριο του 2023 και ότι, κατά τον χρόνο της επανεξέτασης της κατάστασης της εν λόγω παρατήρησης από το Ελεγκτικό Συνέδριο, ο Οργανισμός δεν είχε την πρόθεση να ανανεώσει τη σύμβαση για άλλους 12 μήνες·</w:t>
      </w:r>
    </w:p>
    <w:p w:rsidR="003B4C01" w:rsidRPr="0004371F" w:rsidRDefault="0004371F" w:rsidP="0004371F">
      <w:pPr>
        <w:spacing w:after="240"/>
        <w:ind w:left="570" w:hanging="570"/>
        <w:rPr>
          <w:color w:val="000000"/>
        </w:rPr>
      </w:pPr>
      <w:r w:rsidRPr="0004371F">
        <w:rPr>
          <w:rFonts w:eastAsiaTheme="minorHAnsi"/>
          <w:color w:val="000000"/>
          <w:szCs w:val="24"/>
          <w:lang w:eastAsia="en-US"/>
        </w:rPr>
        <w:t>26.</w:t>
      </w:r>
      <w:r w:rsidRPr="0004371F">
        <w:rPr>
          <w:rFonts w:eastAsiaTheme="minorHAnsi"/>
          <w:color w:val="000000"/>
          <w:szCs w:val="24"/>
          <w:lang w:eastAsia="en-US"/>
        </w:rPr>
        <w:tab/>
      </w:r>
      <w:r w:rsidR="003B4C01" w:rsidRPr="0004371F">
        <w:rPr>
          <w:color w:val="000000"/>
        </w:rPr>
        <w:t>επαινεί τον Οργανισμό για το γεγονός ότι ενσωμάτωσε το εργαλείο για τη διαχείριση των δημόσιων συμβάσεων, το οποίο χρησιμοποιείται από τον Οκτώβριο του 2022 για όλα τα είδη διαδικασιών σύναψης συμβάσεων· καλεί τον Οργανισμό να επιταχύνει την υιοθέτηση και εφαρμογή εργαλείων που επιτρέπουν τη χρήση της ηλεκτρονικής υπογραφής για την απόκτηση εγκρίσεων και υπογραφών τόσο από εσωτερικούς όσο και από εξωτερικούς αντισυμβαλλομένους σε έγγραφα προμηθειών και συμβάσεων·</w:t>
      </w:r>
    </w:p>
    <w:p w:rsidR="003B4C01" w:rsidRPr="0004371F" w:rsidRDefault="003B4C01" w:rsidP="0091287E">
      <w:pPr>
        <w:pStyle w:val="ListParagraph"/>
        <w:spacing w:after="240"/>
        <w:ind w:left="567" w:hanging="567"/>
        <w:contextualSpacing w:val="0"/>
        <w:jc w:val="left"/>
        <w:rPr>
          <w:rFonts w:eastAsia="Times New Roman"/>
        </w:rPr>
      </w:pPr>
      <w:r w:rsidRPr="0004371F">
        <w:rPr>
          <w:b/>
          <w:i/>
        </w:rPr>
        <w:t>Πρόληψη και διαχείριση συγκρούσεων συμφερόντων και διαφάνεια</w:t>
      </w:r>
    </w:p>
    <w:p w:rsidR="003B4C01" w:rsidRPr="0004371F" w:rsidRDefault="0004371F" w:rsidP="0004371F">
      <w:pPr>
        <w:spacing w:after="240"/>
        <w:ind w:left="570" w:hanging="570"/>
      </w:pPr>
      <w:r w:rsidRPr="0004371F">
        <w:rPr>
          <w:rFonts w:eastAsiaTheme="minorHAnsi"/>
          <w:szCs w:val="24"/>
          <w:lang w:eastAsia="en-US"/>
        </w:rPr>
        <w:t>27.</w:t>
      </w:r>
      <w:r w:rsidRPr="0004371F">
        <w:rPr>
          <w:rFonts w:eastAsiaTheme="minorHAnsi"/>
          <w:szCs w:val="24"/>
          <w:lang w:eastAsia="en-US"/>
        </w:rPr>
        <w:tab/>
      </w:r>
      <w:r w:rsidR="003B4C01" w:rsidRPr="0004371F">
        <w:t xml:space="preserve">σημειώνει με ικανοποίηση τα υφιστάμενα μέτρα του Οργανισμού και τις συνεχιζόμενες προσπάθειες που καταβάλλει για τη διασφάλιση της διαφάνειας και την πρόληψη και τη διαχείριση των συγκρούσεων συμφερόντων· σημειώνει με ικανοποίηση ότι οι δηλώσεις συμφερόντων και τα βιογραφικά σημειώματα των μελών του διοικητικού συμβουλίου και των ανώτερων διοικητικών στελεχών δημοσιεύονται στον ιστότοπο του Οργανισμού και ότι ο μορφότυπος των δηλώσεων επιτρέπει την καταγραφή των </w:t>
      </w:r>
      <w:r w:rsidR="003B4C01" w:rsidRPr="0004371F">
        <w:lastRenderedPageBreak/>
        <w:t>επαγγελματικών, οικονομικών, προσωπικών και άλλων συμφερόντων που θα μπορούσαν να σχετίζονται με τις δραστηριότητες του Οργανισμού· σημειώνει, με βάση την έκθεση παρακολούθησης του Οργανισμού, όσον αφορά την παρατήρηση της αρμόδιας για την απαλλαγή αρχής ότι οι δηλώσεις σχετικά με τις συγκρούσεις συμφερόντων και την εμπιστευτικότητα για τους αμειβόμενους εμπειρογνώμονες δεν δημοσιεύονται στον ιστότοπο του Οργανισμού, ότι ο Οργανισμός εκτίμησε, λόγω προβληματισμών σχετικά με την προστασία των δεδομένων, ότι η δημοσίευση των αιτήσεων και των βιογραφικών σημειωμάτων των εμπειρογνωμόνων θα οδηγούσε σε σημαντικά μειωμένο αριθμό αιτήσεων από εμπειρογνώμονες, δεδομένου ότι οι περισσότεροι από τους εμπειρογνώμονες που εργάζονται για τον Οργανισμό έχουν προϋπηρεσία στον τομέα της επιβολής του νόμου·</w:t>
      </w:r>
    </w:p>
    <w:p w:rsidR="003B4C01" w:rsidRPr="0004371F" w:rsidRDefault="0004371F" w:rsidP="0004371F">
      <w:pPr>
        <w:spacing w:after="240"/>
        <w:ind w:left="570" w:hanging="570"/>
      </w:pPr>
      <w:r w:rsidRPr="0004371F">
        <w:rPr>
          <w:rFonts w:eastAsiaTheme="minorHAnsi"/>
          <w:szCs w:val="24"/>
          <w:lang w:eastAsia="en-US"/>
        </w:rPr>
        <w:t>28.</w:t>
      </w:r>
      <w:r w:rsidRPr="0004371F">
        <w:rPr>
          <w:rFonts w:eastAsiaTheme="minorHAnsi"/>
          <w:szCs w:val="24"/>
          <w:lang w:eastAsia="en-US"/>
        </w:rPr>
        <w:tab/>
      </w:r>
      <w:r w:rsidR="003B4C01" w:rsidRPr="0004371F">
        <w:t>σημειώνει με ικανοποίηση, με βάση την έκθεση παρακολούθησης του Οργανισμού, ότι με την έναρξη λειτουργίας του νέου δικτυακού τόπου του το 2022 ο Οργανισμός βελτίωσε το δημόσιο μητρώο εγγράφων του και οι τεχνικές αλλαγές που εισήχθησαν παρέχουν στους πολίτες τη δυνατότητα να αναζητούν τα επίσημα έγγραφα του Οργανισμού ανά κατηγορία ή να ζητούν πρόσβαση σε έγγραφο μέσω ηλεκτρονικού εντύπου, όταν δεν παρέχεται άμεση πρόσβαση μέσω του δημόσιου μητρώου εγγράφων· σημειώνει ότι το 2022 ο Οργανισμός έλαβε πέντε αιτήσεις για πρόσβαση του κοινού σε έγγραφα και διεκπεραίωσε 920 ερωτήματα από πολίτες·</w:t>
      </w:r>
    </w:p>
    <w:p w:rsidR="003B4C01" w:rsidRPr="0004371F" w:rsidRDefault="003B4C01" w:rsidP="0091287E">
      <w:pPr>
        <w:widowControl/>
        <w:spacing w:after="240"/>
        <w:ind w:left="567" w:hanging="567"/>
        <w:rPr>
          <w:b/>
          <w:i/>
          <w:szCs w:val="24"/>
        </w:rPr>
      </w:pPr>
      <w:r w:rsidRPr="0004371F">
        <w:rPr>
          <w:b/>
          <w:i/>
        </w:rPr>
        <w:t>Εσωτερικός έλεγχος</w:t>
      </w:r>
    </w:p>
    <w:p w:rsidR="003B4C01" w:rsidRPr="0004371F" w:rsidRDefault="0004371F" w:rsidP="0004371F">
      <w:pPr>
        <w:spacing w:after="240"/>
        <w:ind w:left="570" w:hanging="570"/>
      </w:pPr>
      <w:r w:rsidRPr="0004371F">
        <w:rPr>
          <w:rFonts w:eastAsiaTheme="minorHAnsi"/>
          <w:szCs w:val="24"/>
          <w:lang w:eastAsia="en-US"/>
        </w:rPr>
        <w:t>29.</w:t>
      </w:r>
      <w:r w:rsidRPr="0004371F">
        <w:rPr>
          <w:rFonts w:eastAsiaTheme="minorHAnsi"/>
          <w:szCs w:val="24"/>
          <w:lang w:eastAsia="en-US"/>
        </w:rPr>
        <w:tab/>
      </w:r>
      <w:r w:rsidR="003B4C01" w:rsidRPr="0004371F">
        <w:t>σημειώνει, με βάση την έκθεση παρακολούθησης του Οργανισμού, ότι, όσον αφορά τις διάφορες αδυναμίες του συστήματος εσωτερικού ελέγχου του Οργανισμού, ιδίως σε σχέση με τις διαδικασίες σύναψης συμβάσεων και τη διαχείριση των δημοσιονομικών δεσμεύσεων, ο Οργανισμός έχει λάβει μέτρα, συμπεριλαμβανομένων της επιμόρφωσης και εργαστηρίων, για την αύξηση της ευαισθητοποίησης και τη μείωση της εμφάνισης διοικητικών σφαλμάτων· σημειώνει στο πλαίσιο αυτό, με βάση την έκθεση του Ελεγκτικού Συνεδρίου, ότι οι παρατηρήσεις του (για το οικονομικό έτος 2021) σε σχέση με τις εν λόγω αδυναμίες έχουν διευθετηθεί·</w:t>
      </w:r>
    </w:p>
    <w:p w:rsidR="003B4C01" w:rsidRPr="0004371F" w:rsidRDefault="0004371F" w:rsidP="0004371F">
      <w:pPr>
        <w:spacing w:after="240"/>
        <w:ind w:left="570" w:hanging="570"/>
      </w:pPr>
      <w:r w:rsidRPr="0004371F">
        <w:rPr>
          <w:rFonts w:eastAsiaTheme="minorHAnsi"/>
          <w:szCs w:val="24"/>
          <w:lang w:eastAsia="en-US"/>
        </w:rPr>
        <w:t>30.</w:t>
      </w:r>
      <w:r w:rsidRPr="0004371F">
        <w:rPr>
          <w:rFonts w:eastAsiaTheme="minorHAnsi"/>
          <w:szCs w:val="24"/>
          <w:lang w:eastAsia="en-US"/>
        </w:rPr>
        <w:tab/>
      </w:r>
      <w:r w:rsidR="003B4C01" w:rsidRPr="0004371F">
        <w:t>σημειώνει ότι ο Οργανισμός εξέτασε το σύστημα εσωτερικού ελέγχου του το 2022 και κατέληξε στο συμπέρασμα ότι είναι αποτελεσματικό, λειτουργεί σωστά και ότι απαιτούνται μόνο μικρές βελτιώσεις· καλεί τον Οργανισμό να αντιμετωπίσει τις ελλείψεις που εντοπίστηκαν όσον αφορά τις συνιστώσες εσωτερικού ελέγχου «Δραστηριότητες ελέγχου» και «Πληροφόρηση και επικοινωνία» και να τηρεί ενήμερη την αρμόδια για την απαλλαγή αρχή σχετικά με την πρόοδο στο θέμα αυτό· σημειώνει με ικανοποίηση, με βάση την έκθεση παρακολούθησης του Οργανισμού, ότι κατά την αξιολόγηση της συνιστώσας «Δραστηριότητες παρακολούθησης», αρχή 17 «αξιολόγηση και κοινοποίηση ελλείψεων», ο Οργανισμός έλαβε υπόψη τις σχετικές παρατηρήσεις του Ελεγκτικού Συνεδρίου από προηγούμενα έτη· καλεί τον Οργανισμό να συνεχίσει να διευθετεί όλες τις παρατηρήσεις που προέκυψαν από τον έλεγχο του Οργανισμού σχετικά με τη «Διαχείριση ανθρώπινων πόρων και δεοντολογία στην ΕΑΑ» που διενεργήθηκε το 2021 από την υπηρεσία εσωτερικού λογιστικού ελέγχου·</w:t>
      </w:r>
    </w:p>
    <w:p w:rsidR="003B4C01" w:rsidRPr="0004371F" w:rsidRDefault="0004371F" w:rsidP="0004371F">
      <w:pPr>
        <w:spacing w:after="240"/>
        <w:ind w:left="570" w:hanging="570"/>
      </w:pPr>
      <w:r w:rsidRPr="0004371F">
        <w:rPr>
          <w:rFonts w:eastAsiaTheme="minorHAnsi"/>
          <w:szCs w:val="24"/>
          <w:lang w:eastAsia="en-US"/>
        </w:rPr>
        <w:t>31.</w:t>
      </w:r>
      <w:r w:rsidRPr="0004371F">
        <w:rPr>
          <w:rFonts w:eastAsiaTheme="minorHAnsi"/>
          <w:szCs w:val="24"/>
          <w:lang w:eastAsia="en-US"/>
        </w:rPr>
        <w:tab/>
      </w:r>
      <w:r w:rsidR="003B4C01" w:rsidRPr="0004371F">
        <w:t xml:space="preserve">σημειώνει ότι ο Οργανισμός εφαρμόζει διαδικασία καταχώρισης και έγκρισης εξαιρέσεων που αναλύονται για τον προσδιορισμό συγκεκριμένων τομέων ανησυχίας και σχετικών βελτιωτικών δράσεων· σημειώνει ότι η έκθεση του 2022 σχετικά με τις εξαιρέσεις επιβεβαιώνει ότι το σύστημα εσωτερικού ελέγχου του Οργανισμού λειτουργεί εύρυθμα και ότι τα περιστατικά μη συμμόρφωσης εντοπίζονται και </w:t>
      </w:r>
      <w:r w:rsidR="003B4C01" w:rsidRPr="0004371F">
        <w:lastRenderedPageBreak/>
        <w:t>μετριάζονται με διορθωτικά και προληπτικά μέτρα· σημειώνει περαιτέρω ότι το 2022 τέθηκαν συνολικά 46 εξαιρέσεις (σε σύγκριση με 27 εξαιρέσεις το 2021), αξίας 51 697 EUR (σε σύγκριση με 257 825 EUR το 2021), ενώ 13 από τις εξαιρέσεις αυτές είχαν δημοσιονομικό αντίκτυπο άνω των 1 000 EUR (που κυμαινόταν από 1 053 EUR έως 12 240 EUR)·</w:t>
      </w:r>
    </w:p>
    <w:p w:rsidR="003B4C01" w:rsidRPr="0004371F" w:rsidRDefault="003B4C01" w:rsidP="0091287E">
      <w:pPr>
        <w:widowControl/>
        <w:spacing w:after="240"/>
        <w:ind w:left="567" w:hanging="567"/>
        <w:rPr>
          <w:b/>
          <w:i/>
          <w:szCs w:val="24"/>
        </w:rPr>
      </w:pPr>
      <w:r w:rsidRPr="0004371F">
        <w:rPr>
          <w:b/>
          <w:i/>
        </w:rPr>
        <w:t>Λοιπές παρατηρήσεις</w:t>
      </w:r>
    </w:p>
    <w:p w:rsidR="003B4C01" w:rsidRPr="0004371F" w:rsidRDefault="0004371F" w:rsidP="0004371F">
      <w:pPr>
        <w:spacing w:after="240"/>
        <w:ind w:left="570" w:hanging="570"/>
      </w:pPr>
      <w:r w:rsidRPr="0004371F">
        <w:rPr>
          <w:rFonts w:eastAsiaTheme="minorHAnsi"/>
          <w:szCs w:val="24"/>
          <w:lang w:eastAsia="en-US"/>
        </w:rPr>
        <w:t>32.</w:t>
      </w:r>
      <w:r w:rsidRPr="0004371F">
        <w:rPr>
          <w:rFonts w:eastAsiaTheme="minorHAnsi"/>
          <w:szCs w:val="24"/>
          <w:lang w:eastAsia="en-US"/>
        </w:rPr>
        <w:tab/>
      </w:r>
      <w:r w:rsidR="003B4C01" w:rsidRPr="0004371F">
        <w:t>σημειώνει, με βάση την έκθεση παρακολούθησης του Οργανισμού, όσον αφορά το ζήτημα της έλλειψης επαρκούς χώρου γραφείων και χώρου για επιχειρησιακές δραστηριότητες, ότι η ουγγρική κυβέρνηση δεσμεύτηκε να διασφαλίσει τη συνέχεια και να παράσχει στον Οργανισμό κατάλληλες εγκαταστάσεις με την έκδοση απόφασης για την εξασφάλιση της νέας έδρας (6 000 τ.μ.) μέσω μίσθωσης· σημειώνει περαιτέρω ότι η μετακόμιση σε νέες εγκαταστάσεις μπορεί να πραγματοποιηθεί έως το τέλος του 2024, παράλληλα με την υπογραφή νέας συμφωνίας για την έδρα·</w:t>
      </w:r>
    </w:p>
    <w:p w:rsidR="003B4C01" w:rsidRPr="0004371F" w:rsidRDefault="0004371F" w:rsidP="0004371F">
      <w:pPr>
        <w:pStyle w:val="NormalHanging12a"/>
        <w:widowControl/>
        <w:ind w:left="570" w:hanging="570"/>
      </w:pPr>
      <w:r w:rsidRPr="0004371F">
        <w:t>33.</w:t>
      </w:r>
      <w:r w:rsidRPr="0004371F">
        <w:tab/>
      </w:r>
      <w:r w:rsidR="003B4C01" w:rsidRPr="0004371F">
        <w:t>συγχαίρει τον Οργανισμό για τις προσπάθειές του να αυξήσει τη δημόσια προβολή και τη διαδικτυακή παρουσία του· εκφράζει, στο πλαίσιο αυτό, την ικανοποίησή του για την έναρξη λειτουργίας του νέου ιστοτόπου του Οργανισμού το 2022, ο οποίος ενσωματώνει βασικές βελτιώσεις, όπως σαφέστερη παρουσίαση και δομή, βελτιωμένη εμφάνιση και σχεδιασμό που προσαρμόζεται σε ποικιλία φορητών συσκευών· σημειώνει περαιτέρω ότι το 2022 η δραστηριότητα του Οργανισμού στα μέσα κοινωνικής δικτύωσης ήταν σημαντική, με 1 590 μεταφορτώσεις περιεχομένου, αριθμό που αντιστοιχεί σε 54 % περισσότερες δημοσιεύσεις σε σύγκριση με το προηγούμενο έτος· σημειώνει, στο πλαίσιο αυτό, την ανοδική τάση όσον αφορά τους χρήστες του ιστοτόπου του Οργανισμού, που κατέγραψε περισσότερες από 200 000 επισκέψεις, και τη δημοτικότητά του στα μέσα κοινωνικής δικτύωσης, με 38 500 ακολούθους στο LinkedIn, το X (πρώην Twitter) και το Facebook·</w:t>
      </w:r>
    </w:p>
    <w:p w:rsidR="003B4C01" w:rsidRPr="0004371F" w:rsidRDefault="003B4C01" w:rsidP="0091287E">
      <w:pPr>
        <w:pStyle w:val="NormalCenter12a"/>
        <w:widowControl/>
        <w:ind w:left="567" w:hanging="567"/>
      </w:pPr>
      <w:r w:rsidRPr="0004371F">
        <w:t>°</w:t>
      </w:r>
    </w:p>
    <w:p w:rsidR="003B4C01" w:rsidRPr="0004371F" w:rsidRDefault="003B4C01" w:rsidP="0091287E">
      <w:pPr>
        <w:pStyle w:val="NormalCenter12a"/>
        <w:widowControl/>
        <w:ind w:left="567" w:hanging="567"/>
      </w:pPr>
      <w:r w:rsidRPr="0004371F">
        <w:t>°</w:t>
      </w:r>
      <w:r w:rsidRPr="0004371F">
        <w:tab/>
        <w:t>°</w:t>
      </w:r>
    </w:p>
    <w:p w:rsidR="003B4C01" w:rsidRPr="0004371F" w:rsidRDefault="0004371F" w:rsidP="0004371F">
      <w:pPr>
        <w:pStyle w:val="NormalHanging12a"/>
        <w:widowControl/>
        <w:ind w:left="570" w:hanging="570"/>
      </w:pPr>
      <w:r w:rsidRPr="0004371F">
        <w:t>34.</w:t>
      </w:r>
      <w:r w:rsidRPr="0004371F">
        <w:tab/>
      </w:r>
      <w:r w:rsidR="003B4C01" w:rsidRPr="0004371F">
        <w:t xml:space="preserve">παραπέμπει, όσον αφορά άλλες παρατηρήσεις οριζόντιου χαρακτήρα που συνοδεύουν την απόφαση απαλλαγής, στο ψήφισμά του της </w:t>
      </w:r>
      <w:r w:rsidR="00F02B67" w:rsidRPr="0004371F">
        <w:t>11ης Απριλίου 2024</w:t>
      </w:r>
      <w:r w:rsidR="003B4C01" w:rsidRPr="0004371F">
        <w:rPr>
          <w:rStyle w:val="FootnoteReference"/>
        </w:rPr>
        <w:footnoteReference w:id="12"/>
      </w:r>
      <w:r w:rsidR="003B4C01" w:rsidRPr="0004371F">
        <w:t xml:space="preserve"> σχετικά με τις επιδόσεις, τη χρηματοοικονομική διαχείριση και τον έλεγχο των οργανισμών.</w:t>
      </w:r>
    </w:p>
    <w:p w:rsidR="0091287E" w:rsidRPr="0004371F" w:rsidRDefault="0091287E">
      <w:pPr>
        <w:widowControl/>
        <w:spacing w:after="240"/>
        <w:ind w:left="567" w:hanging="567"/>
      </w:pPr>
      <w:bookmarkStart w:id="13" w:name="TextBodyEnd"/>
      <w:bookmarkEnd w:id="13"/>
    </w:p>
    <w:sectPr w:rsidR="0091287E" w:rsidRPr="0004371F" w:rsidSect="003C64D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083" w:rsidRPr="003C64DD" w:rsidRDefault="00DD5083">
      <w:r w:rsidRPr="003C64DD">
        <w:separator/>
      </w:r>
    </w:p>
  </w:endnote>
  <w:endnote w:type="continuationSeparator" w:id="0">
    <w:p w:rsidR="00DD5083" w:rsidRPr="003C64DD" w:rsidRDefault="00DD5083">
      <w:r w:rsidRPr="003C64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C01" w:rsidRPr="003C64DD" w:rsidRDefault="003B4C01" w:rsidP="007E514C">
    <w:pPr>
      <w:pStyle w:val="EPFooter"/>
    </w:pPr>
    <w:r w:rsidRPr="003C64DD">
      <w:t>PE</w:t>
    </w:r>
    <w:r w:rsidRPr="003C64DD">
      <w:rPr>
        <w:rStyle w:val="HideTWBExt"/>
      </w:rPr>
      <w:t>&lt;NoPE&gt;</w:t>
    </w:r>
    <w:r w:rsidRPr="003C64DD">
      <w:t>753.510</w:t>
    </w:r>
    <w:r w:rsidRPr="003C64DD">
      <w:rPr>
        <w:rStyle w:val="HideTWBExt"/>
      </w:rPr>
      <w:t>&lt;/NoPE&gt;&lt;Version&gt;</w:t>
    </w:r>
    <w:r w:rsidRPr="003C64DD">
      <w:t>v02-00</w:t>
    </w:r>
    <w:r w:rsidRPr="003C64DD">
      <w:rPr>
        <w:rStyle w:val="HideTWBExt"/>
      </w:rPr>
      <w:t>&lt;/Version&gt;</w:t>
    </w:r>
    <w:r w:rsidRPr="003C64DD">
      <w:tab/>
    </w:r>
    <w:r w:rsidRPr="003C64DD">
      <w:fldChar w:fldCharType="begin"/>
    </w:r>
    <w:r w:rsidRPr="003C64DD">
      <w:instrText xml:space="preserve"> PAGE  \* MERGEFORMAT </w:instrText>
    </w:r>
    <w:r w:rsidRPr="003C64DD">
      <w:fldChar w:fldCharType="separate"/>
    </w:r>
    <w:r w:rsidR="003C64DD" w:rsidRPr="003C64DD">
      <w:rPr>
        <w:noProof/>
      </w:rPr>
      <w:t>2</w:t>
    </w:r>
    <w:r w:rsidRPr="003C64DD">
      <w:fldChar w:fldCharType="end"/>
    </w:r>
    <w:r w:rsidRPr="003C64DD">
      <w:t>/</w:t>
    </w:r>
    <w:r w:rsidR="0004371F">
      <w:fldChar w:fldCharType="begin"/>
    </w:r>
    <w:r w:rsidR="0004371F">
      <w:instrText xml:space="preserve"> NUMPAGES  \* MERGEFORMAT </w:instrText>
    </w:r>
    <w:r w:rsidR="0004371F">
      <w:fldChar w:fldCharType="separate"/>
    </w:r>
    <w:r w:rsidR="003C64DD" w:rsidRPr="003C64DD">
      <w:rPr>
        <w:noProof/>
      </w:rPr>
      <w:t>4</w:t>
    </w:r>
    <w:r w:rsidR="0004371F">
      <w:rPr>
        <w:noProof/>
      </w:rPr>
      <w:fldChar w:fldCharType="end"/>
    </w:r>
    <w:r w:rsidRPr="003C64DD">
      <w:tab/>
    </w:r>
    <w:r w:rsidRPr="003C64DD">
      <w:rPr>
        <w:rStyle w:val="HideTWBExt"/>
      </w:rPr>
      <w:t>&lt;PathFdR&gt;</w:t>
    </w:r>
    <w:r w:rsidRPr="003C64DD">
      <w:t>RR\1298754EL.docx</w:t>
    </w:r>
    <w:r w:rsidRPr="003C64DD">
      <w:rPr>
        <w:rStyle w:val="HideTWBExt"/>
      </w:rPr>
      <w:t>&lt;/PathFdR&gt;</w:t>
    </w:r>
  </w:p>
  <w:p w:rsidR="003B4C01" w:rsidRPr="003C64DD" w:rsidRDefault="003B4C01" w:rsidP="007E514C">
    <w:pPr>
      <w:pStyle w:val="EPFooter2"/>
    </w:pPr>
    <w:r w:rsidRPr="003C64D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C01" w:rsidRPr="003C64DD" w:rsidRDefault="003B4C01" w:rsidP="007E514C">
    <w:pPr>
      <w:pStyle w:val="EPFooter"/>
    </w:pPr>
    <w:r w:rsidRPr="003C64DD">
      <w:rPr>
        <w:rStyle w:val="HideTWBExt"/>
      </w:rPr>
      <w:t>&lt;PathFdR&gt;</w:t>
    </w:r>
    <w:r w:rsidRPr="003C64DD">
      <w:t>RR\1298754EL.docx</w:t>
    </w:r>
    <w:r w:rsidRPr="003C64DD">
      <w:rPr>
        <w:rStyle w:val="HideTWBExt"/>
      </w:rPr>
      <w:t>&lt;/PathFdR&gt;</w:t>
    </w:r>
    <w:r w:rsidRPr="003C64DD">
      <w:tab/>
    </w:r>
    <w:r w:rsidRPr="003C64DD">
      <w:tab/>
      <w:t>PE</w:t>
    </w:r>
    <w:r w:rsidRPr="003C64DD">
      <w:rPr>
        <w:rStyle w:val="HideTWBExt"/>
      </w:rPr>
      <w:t>&lt;NoPE&gt;</w:t>
    </w:r>
    <w:r w:rsidRPr="003C64DD">
      <w:t>753.510</w:t>
    </w:r>
    <w:r w:rsidRPr="003C64DD">
      <w:rPr>
        <w:rStyle w:val="HideTWBExt"/>
      </w:rPr>
      <w:t>&lt;/NoPE&gt;&lt;Version&gt;</w:t>
    </w:r>
    <w:r w:rsidRPr="003C64DD">
      <w:t>v02-00</w:t>
    </w:r>
    <w:r w:rsidRPr="003C64DD">
      <w:rPr>
        <w:rStyle w:val="HideTWBExt"/>
      </w:rPr>
      <w:t>&lt;/Version&gt;</w:t>
    </w:r>
  </w:p>
  <w:p w:rsidR="003B4C01" w:rsidRPr="003C64DD" w:rsidRDefault="003B4C01" w:rsidP="007E514C">
    <w:pPr>
      <w:pStyle w:val="EPFooter2"/>
    </w:pPr>
    <w:r w:rsidRPr="003C64DD">
      <w:t>EL</w:t>
    </w:r>
    <w:r w:rsidRPr="003C64DD">
      <w:tab/>
    </w:r>
    <w:r w:rsidRPr="003C64DD">
      <w:rPr>
        <w:b w:val="0"/>
        <w:i/>
        <w:color w:val="C0C0C0"/>
        <w:sz w:val="22"/>
      </w:rPr>
      <w:t>Ενωμένη στην πολυμορφία</w:t>
    </w:r>
    <w:r w:rsidRPr="003C64D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083" w:rsidRPr="003C64DD" w:rsidRDefault="00DD5083">
      <w:r w:rsidRPr="003C64DD">
        <w:separator/>
      </w:r>
    </w:p>
  </w:footnote>
  <w:footnote w:type="continuationSeparator" w:id="0">
    <w:p w:rsidR="00DD5083" w:rsidRPr="003C64DD" w:rsidRDefault="00DD5083">
      <w:r w:rsidRPr="003C64DD">
        <w:continuationSeparator/>
      </w:r>
    </w:p>
  </w:footnote>
  <w:footnote w:id="1">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C, C/2023/594, 27.10.2023.</w:t>
      </w:r>
    </w:p>
  </w:footnote>
  <w:footnote w:id="2">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C, C/2023/112, 12.10.2023.</w:t>
      </w:r>
    </w:p>
  </w:footnote>
  <w:footnote w:id="3">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193 της 30.7.2018, σ. 1.</w:t>
      </w:r>
    </w:p>
  </w:footnote>
  <w:footnote w:id="4">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319 της 4.12.2015, σ. 1.</w:t>
      </w:r>
    </w:p>
  </w:footnote>
  <w:footnote w:id="5">
    <w:p w:rsidR="003B4C01" w:rsidRPr="003C64DD" w:rsidRDefault="003B4C01" w:rsidP="0004371F">
      <w:pPr>
        <w:pStyle w:val="FootnoteText"/>
        <w:spacing w:line="240" w:lineRule="auto"/>
        <w:ind w:left="567" w:hanging="567"/>
        <w:rPr>
          <w:sz w:val="24"/>
          <w:szCs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122 της 10.5.2019, σ. 1.</w:t>
      </w:r>
    </w:p>
  </w:footnote>
  <w:footnote w:id="6">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C, C/2023/594, 27.10.2023.</w:t>
      </w:r>
    </w:p>
  </w:footnote>
  <w:footnote w:id="7">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C, C/2023/112, 12.10.2023.</w:t>
      </w:r>
    </w:p>
  </w:footnote>
  <w:footnote w:id="8">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193 της 30.7.2018, σ. 1.</w:t>
      </w:r>
    </w:p>
  </w:footnote>
  <w:footnote w:id="9">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319 της 4.12.2015, σ. 1.</w:t>
      </w:r>
    </w:p>
  </w:footnote>
  <w:footnote w:id="10">
    <w:p w:rsidR="003B4C01" w:rsidRPr="003C64DD" w:rsidRDefault="003B4C01" w:rsidP="0004371F">
      <w:pPr>
        <w:pStyle w:val="FootnoteText"/>
        <w:spacing w:line="240" w:lineRule="auto"/>
        <w:ind w:left="567" w:hanging="567"/>
        <w:rPr>
          <w:sz w:val="24"/>
          <w:szCs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L 122 της 10.5.2019, σ. 1.</w:t>
      </w:r>
    </w:p>
  </w:footnote>
  <w:footnote w:id="11">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ΕΕ C 73 της 28.2.2023, σ. 44.</w:t>
      </w:r>
    </w:p>
  </w:footnote>
  <w:footnote w:id="12">
    <w:p w:rsidR="003B4C01" w:rsidRPr="003C64DD" w:rsidRDefault="003B4C01" w:rsidP="0004371F">
      <w:pPr>
        <w:pStyle w:val="FootnoteText"/>
        <w:spacing w:line="240" w:lineRule="auto"/>
        <w:ind w:left="567" w:hanging="567"/>
        <w:rPr>
          <w:sz w:val="24"/>
          <w:lang w:val="el-GR"/>
        </w:rPr>
      </w:pPr>
      <w:r w:rsidRPr="003C64DD">
        <w:rPr>
          <w:rStyle w:val="FootnoteReference"/>
          <w:sz w:val="24"/>
          <w:lang w:val="el-GR"/>
        </w:rPr>
        <w:footnoteRef/>
      </w:r>
      <w:r w:rsidR="003C64DD" w:rsidRPr="003C64DD">
        <w:rPr>
          <w:sz w:val="24"/>
          <w:lang w:val="el-GR"/>
        </w:rPr>
        <w:t xml:space="preserve"> </w:t>
      </w:r>
      <w:r w:rsidR="003C64DD" w:rsidRPr="003C64DD">
        <w:rPr>
          <w:sz w:val="24"/>
          <w:lang w:val="el-GR"/>
        </w:rPr>
        <w:tab/>
      </w:r>
      <w:r w:rsidRPr="003C64DD">
        <w:rPr>
          <w:sz w:val="24"/>
          <w:lang w:val="el-GR"/>
        </w:rPr>
        <w:t>Κείμενα που εγκρίθηκαν, P9_TA(2024)0</w:t>
      </w:r>
      <w:r w:rsidR="0004371F">
        <w:rPr>
          <w:sz w:val="24"/>
          <w:lang w:val="el-GR"/>
        </w:rPr>
        <w:t>28</w:t>
      </w:r>
      <w:r w:rsidRPr="003C64DD">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64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43A77BE"/>
    <w:multiLevelType w:val="hybridMultilevel"/>
    <w:tmpl w:val="09D8F0E8"/>
    <w:lvl w:ilvl="0" w:tplc="83FAA45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77210759"/>
    <w:multiLevelType w:val="multilevel"/>
    <w:tmpl w:val="076C1C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EL"/>
    <w:docVar w:name="dvnumam" w:val="0"/>
    <w:docVar w:name="dvpe" w:val="753.510"/>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ΕΑΑ) για το οικονομικό έτος 2022(2023/2144(DEC))"/>
  </w:docVars>
  <w:rsids>
    <w:rsidRoot w:val="00DD5083"/>
    <w:rsid w:val="00002272"/>
    <w:rsid w:val="0004371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4C01"/>
    <w:rsid w:val="003C64D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87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5083"/>
    <w:rsid w:val="00E365E1"/>
    <w:rsid w:val="00E820A4"/>
    <w:rsid w:val="00EB006A"/>
    <w:rsid w:val="00EB4772"/>
    <w:rsid w:val="00ED169E"/>
    <w:rsid w:val="00ED4235"/>
    <w:rsid w:val="00F02B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1294B"/>
  <w15:chartTrackingRefBased/>
  <w15:docId w15:val="{EB9C82C8-E9ED-464F-97E8-C9735ED7A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4C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4C01"/>
    <w:pPr>
      <w:spacing w:before="480" w:after="240"/>
    </w:pPr>
  </w:style>
  <w:style w:type="paragraph" w:customStyle="1" w:styleId="PageHeading">
    <w:name w:val="PageHeading"/>
    <w:basedOn w:val="Normal"/>
    <w:rsid w:val="003B4C01"/>
    <w:pPr>
      <w:keepNext/>
      <w:spacing w:after="480"/>
      <w:jc w:val="center"/>
    </w:pPr>
    <w:rPr>
      <w:rFonts w:ascii="Arial" w:hAnsi="Arial" w:cs="Arial"/>
      <w:b/>
    </w:rPr>
  </w:style>
  <w:style w:type="paragraph" w:customStyle="1" w:styleId="NormalBold">
    <w:name w:val="NormalBold"/>
    <w:basedOn w:val="Normal"/>
    <w:rsid w:val="003B4C01"/>
    <w:rPr>
      <w:b/>
    </w:rPr>
  </w:style>
  <w:style w:type="paragraph" w:customStyle="1" w:styleId="NormalHanging12a">
    <w:name w:val="NormalHanging12a"/>
    <w:basedOn w:val="Normal"/>
    <w:link w:val="NormalHanging12aChar"/>
    <w:rsid w:val="003B4C01"/>
    <w:pPr>
      <w:spacing w:after="240"/>
      <w:ind w:left="567" w:hanging="567"/>
    </w:pPr>
  </w:style>
  <w:style w:type="paragraph" w:customStyle="1" w:styleId="NormalCenter12a">
    <w:name w:val="NormalCenter12a"/>
    <w:basedOn w:val="Normal"/>
    <w:rsid w:val="003B4C01"/>
    <w:pPr>
      <w:spacing w:after="240"/>
      <w:jc w:val="center"/>
    </w:pPr>
  </w:style>
  <w:style w:type="paragraph" w:styleId="Header">
    <w:name w:val="header"/>
    <w:basedOn w:val="Normal"/>
    <w:link w:val="HeaderChar"/>
    <w:rsid w:val="003B4C01"/>
    <w:pPr>
      <w:tabs>
        <w:tab w:val="center" w:pos="4513"/>
        <w:tab w:val="right" w:pos="9026"/>
      </w:tabs>
    </w:pPr>
  </w:style>
  <w:style w:type="character" w:customStyle="1" w:styleId="HeaderChar">
    <w:name w:val="Header Char"/>
    <w:basedOn w:val="DefaultParagraphFont"/>
    <w:link w:val="Header"/>
    <w:rsid w:val="003B4C01"/>
    <w:rPr>
      <w:sz w:val="24"/>
      <w:lang w:val="el-GR"/>
    </w:rPr>
  </w:style>
  <w:style w:type="paragraph" w:customStyle="1" w:styleId="EPFooter">
    <w:name w:val="EPFooter"/>
    <w:basedOn w:val="Normal"/>
    <w:rsid w:val="003B4C01"/>
    <w:pPr>
      <w:tabs>
        <w:tab w:val="center" w:pos="4535"/>
        <w:tab w:val="right" w:pos="9071"/>
      </w:tabs>
      <w:spacing w:before="240" w:after="240"/>
    </w:pPr>
    <w:rPr>
      <w:color w:val="010000"/>
      <w:sz w:val="22"/>
    </w:rPr>
  </w:style>
  <w:style w:type="paragraph" w:styleId="ListParagraph">
    <w:name w:val="List Paragraph"/>
    <w:basedOn w:val="Normal"/>
    <w:uiPriority w:val="34"/>
    <w:qFormat/>
    <w:rsid w:val="003B4C01"/>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3B4C01"/>
    <w:rPr>
      <w:sz w:val="24"/>
      <w:lang w:val="el-GR"/>
    </w:rPr>
  </w:style>
  <w:style w:type="character" w:customStyle="1" w:styleId="pointer">
    <w:name w:val="pointer"/>
    <w:basedOn w:val="DefaultParagraphFont"/>
    <w:rsid w:val="003B4C01"/>
  </w:style>
  <w:style w:type="paragraph" w:styleId="Footer">
    <w:name w:val="footer"/>
    <w:basedOn w:val="Normal"/>
    <w:link w:val="FooterChar"/>
    <w:rsid w:val="0091287E"/>
    <w:pPr>
      <w:tabs>
        <w:tab w:val="center" w:pos="4513"/>
        <w:tab w:val="right" w:pos="9026"/>
      </w:tabs>
    </w:pPr>
  </w:style>
  <w:style w:type="character" w:customStyle="1" w:styleId="FooterChar">
    <w:name w:val="Footer Char"/>
    <w:basedOn w:val="DefaultParagraphFont"/>
    <w:link w:val="Footer"/>
    <w:rsid w:val="0091287E"/>
    <w:rPr>
      <w:sz w:val="24"/>
      <w:lang w:val="el-GR"/>
    </w:rPr>
  </w:style>
  <w:style w:type="paragraph" w:styleId="BalloonText">
    <w:name w:val="Balloon Text"/>
    <w:basedOn w:val="Normal"/>
    <w:link w:val="BalloonTextChar"/>
    <w:rsid w:val="0091287E"/>
    <w:rPr>
      <w:rFonts w:ascii="Segoe UI" w:hAnsi="Segoe UI" w:cs="Segoe UI"/>
      <w:sz w:val="18"/>
      <w:szCs w:val="18"/>
    </w:rPr>
  </w:style>
  <w:style w:type="character" w:customStyle="1" w:styleId="BalloonTextChar">
    <w:name w:val="Balloon Text Char"/>
    <w:basedOn w:val="DefaultParagraphFont"/>
    <w:link w:val="BalloonText"/>
    <w:rsid w:val="0091287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E96D0-2AC8-4A0B-94E0-04AEA5492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5099</Words>
  <Characters>30447</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2024-04-11T11:48:00Z</dcterms:created>
  <dcterms:modified xsi:type="dcterms:W3CDTF">2024-04-11T11:48:00Z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A9-0098/2024</vt:lpwstr>
  </property>
  <property fmtid="{D5CDD505-2E9C-101B-9397-08002B2CF9AE}" pid="4" name="&lt;Type&gt;">
    <vt:lpwstr>RR</vt:lpwstr>
  </property>
</Properties>
</file>