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B0F93" w:rsidTr="0010095E">
        <w:trPr>
          <w:trHeight w:hRule="exact" w:val="1418"/>
        </w:trPr>
        <w:tc>
          <w:tcPr>
            <w:tcW w:w="6804" w:type="dxa"/>
            <w:shd w:val="clear" w:color="auto" w:fill="auto"/>
            <w:vAlign w:val="center"/>
          </w:tcPr>
          <w:p w:rsidR="00751A4A" w:rsidRPr="004B0F93" w:rsidRDefault="00671C43" w:rsidP="0010095E">
            <w:pPr>
              <w:pStyle w:val="EPName"/>
            </w:pPr>
            <w:r w:rsidRPr="004B0F93">
              <w:t>Euroopan parlamentti</w:t>
            </w:r>
          </w:p>
          <w:p w:rsidR="00751A4A" w:rsidRPr="004B0F93" w:rsidRDefault="00817416" w:rsidP="00756632">
            <w:pPr>
              <w:pStyle w:val="EPTerm"/>
              <w:rPr>
                <w:rStyle w:val="HideTWBExt"/>
                <w:noProof w:val="0"/>
                <w:vanish w:val="0"/>
                <w:color w:val="auto"/>
              </w:rPr>
            </w:pPr>
            <w:r w:rsidRPr="004B0F93">
              <w:t>2019-2024</w:t>
            </w:r>
          </w:p>
        </w:tc>
        <w:tc>
          <w:tcPr>
            <w:tcW w:w="2268" w:type="dxa"/>
            <w:shd w:val="clear" w:color="auto" w:fill="auto"/>
          </w:tcPr>
          <w:p w:rsidR="00751A4A" w:rsidRPr="004B0F93" w:rsidRDefault="00187494" w:rsidP="0010095E">
            <w:pPr>
              <w:pStyle w:val="EPLogo"/>
            </w:pPr>
            <w:r w:rsidRPr="004B0F9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B0F93" w:rsidRDefault="00D058B8" w:rsidP="004C5D52">
      <w:pPr>
        <w:pStyle w:val="LineTop"/>
      </w:pPr>
    </w:p>
    <w:p w:rsidR="00680577" w:rsidRPr="004B0F93" w:rsidRDefault="00671C43" w:rsidP="00680577">
      <w:pPr>
        <w:pStyle w:val="EPBodyTA1"/>
      </w:pPr>
      <w:r w:rsidRPr="004B0F93">
        <w:t>HYVÄKSYTYT TEKSTIT</w:t>
      </w:r>
    </w:p>
    <w:p w:rsidR="00D058B8" w:rsidRPr="004B0F93" w:rsidRDefault="00D058B8" w:rsidP="00D058B8">
      <w:pPr>
        <w:pStyle w:val="LineBottom"/>
      </w:pPr>
    </w:p>
    <w:p w:rsidR="00671C43" w:rsidRPr="004B0F93" w:rsidRDefault="00671C43" w:rsidP="00671C43">
      <w:pPr>
        <w:pStyle w:val="ATHeading1"/>
      </w:pPr>
      <w:bookmarkStart w:id="0" w:name="TANumber"/>
      <w:r w:rsidRPr="004B0F93">
        <w:t>P9_</w:t>
      </w:r>
      <w:proofErr w:type="gramStart"/>
      <w:r w:rsidRPr="004B0F93">
        <w:t>TA(</w:t>
      </w:r>
      <w:proofErr w:type="gramEnd"/>
      <w:r w:rsidRPr="004B0F93">
        <w:t>2024)0</w:t>
      </w:r>
      <w:r w:rsidR="000F6D8C" w:rsidRPr="004B0F93">
        <w:t>254</w:t>
      </w:r>
      <w:bookmarkEnd w:id="0"/>
    </w:p>
    <w:p w:rsidR="00671C43" w:rsidRPr="004B0F93" w:rsidRDefault="00671C43" w:rsidP="00671C43">
      <w:pPr>
        <w:pStyle w:val="ATHeading2"/>
      </w:pPr>
      <w:bookmarkStart w:id="1" w:name="title"/>
      <w:r w:rsidRPr="004B0F93">
        <w:t>Vastuuvapaus 2022: Euroopan unionin lainvalvontakoulutusvirasto (CEPOL)</w:t>
      </w:r>
      <w:bookmarkEnd w:id="1"/>
    </w:p>
    <w:p w:rsidR="00671C43" w:rsidRPr="004B0F93" w:rsidRDefault="00671C43" w:rsidP="00671C43">
      <w:pPr>
        <w:rPr>
          <w:i/>
          <w:vanish/>
        </w:rPr>
      </w:pPr>
      <w:r w:rsidRPr="004B0F93">
        <w:rPr>
          <w:i/>
        </w:rPr>
        <w:fldChar w:fldCharType="begin"/>
      </w:r>
      <w:r w:rsidRPr="004B0F93">
        <w:rPr>
          <w:i/>
        </w:rPr>
        <w:instrText xml:space="preserve"> TC"(</w:instrText>
      </w:r>
      <w:bookmarkStart w:id="2" w:name="DocNumber"/>
      <w:r w:rsidRPr="004B0F93">
        <w:rPr>
          <w:i/>
        </w:rPr>
        <w:instrText>A9-0098/2024</w:instrText>
      </w:r>
      <w:bookmarkEnd w:id="2"/>
      <w:r w:rsidRPr="004B0F93">
        <w:rPr>
          <w:i/>
        </w:rPr>
        <w:instrText xml:space="preserve"> - Esittelijä: Petri Sarvamaa)"\l3 \n&gt; \* MERGEFORMAT </w:instrText>
      </w:r>
      <w:r w:rsidRPr="004B0F93">
        <w:rPr>
          <w:i/>
        </w:rPr>
        <w:fldChar w:fldCharType="end"/>
      </w:r>
    </w:p>
    <w:p w:rsidR="00671C43" w:rsidRPr="004B0F93" w:rsidRDefault="00671C43" w:rsidP="00671C43">
      <w:pPr>
        <w:rPr>
          <w:vanish/>
        </w:rPr>
      </w:pPr>
      <w:bookmarkStart w:id="3" w:name="Commission"/>
      <w:r w:rsidRPr="004B0F93">
        <w:rPr>
          <w:vanish/>
        </w:rPr>
        <w:t>Talousarvion valvontavaliokunta</w:t>
      </w:r>
      <w:bookmarkEnd w:id="3"/>
    </w:p>
    <w:p w:rsidR="00671C43" w:rsidRPr="004B0F93" w:rsidRDefault="00671C43" w:rsidP="00671C43">
      <w:pPr>
        <w:rPr>
          <w:vanish/>
        </w:rPr>
      </w:pPr>
      <w:bookmarkStart w:id="4" w:name="PE"/>
      <w:r w:rsidRPr="004B0F93">
        <w:rPr>
          <w:vanish/>
        </w:rPr>
        <w:t>PE753.510</w:t>
      </w:r>
      <w:bookmarkEnd w:id="4"/>
    </w:p>
    <w:p w:rsidR="00671C43" w:rsidRPr="004B0F93" w:rsidRDefault="00503A8C" w:rsidP="00671C43">
      <w:pPr>
        <w:pStyle w:val="ATHeading3"/>
      </w:pPr>
      <w:bookmarkStart w:id="5" w:name="Sujet"/>
      <w:r w:rsidRPr="004B0F93">
        <w:t>1. E</w:t>
      </w:r>
      <w:r w:rsidR="00671C43" w:rsidRPr="004B0F93">
        <w:t>uroopan parlamentin päätös 11. huhtikuuta 2024 vastuuvapauden myöntämisestä Euroopan unionin lainvalvontakoulutusviraston (CEPOL) talousarvion toteuttamisesta varainhoitovuonna 2022</w:t>
      </w:r>
      <w:bookmarkEnd w:id="5"/>
      <w:r w:rsidR="00671C43" w:rsidRPr="004B0F93">
        <w:t xml:space="preserve"> </w:t>
      </w:r>
      <w:bookmarkStart w:id="6" w:name="References"/>
      <w:r w:rsidR="00671C43" w:rsidRPr="004B0F93">
        <w:t>(2023/2144(DEC))</w:t>
      </w:r>
      <w:bookmarkEnd w:id="6"/>
    </w:p>
    <w:p w:rsidR="005938BA" w:rsidRPr="004B0F93" w:rsidRDefault="005938BA" w:rsidP="00F678F2">
      <w:pPr>
        <w:pStyle w:val="EPComma"/>
        <w:widowControl/>
      </w:pPr>
      <w:bookmarkStart w:id="7" w:name="TextBodyBegin"/>
      <w:bookmarkEnd w:id="7"/>
      <w:r w:rsidRPr="004B0F93">
        <w:rPr>
          <w:i/>
        </w:rPr>
        <w:t>Euroopan parlamentti</w:t>
      </w:r>
      <w:r w:rsidRPr="004B0F93">
        <w:t>, joka</w:t>
      </w:r>
    </w:p>
    <w:p w:rsidR="005938BA" w:rsidRPr="004B0F93" w:rsidRDefault="005938BA" w:rsidP="00F678F2">
      <w:pPr>
        <w:pStyle w:val="NormalHanging12a"/>
        <w:widowControl/>
      </w:pPr>
      <w:r w:rsidRPr="004B0F93">
        <w:t>–</w:t>
      </w:r>
      <w:r w:rsidRPr="004B0F93">
        <w:tab/>
        <w:t>ottaa huomioon Euroopan unionin lainvalvontakoulutusviraston (CEPOL) lopullisen tilinpäätöksen varainhoitovuodelta 2022,</w:t>
      </w:r>
    </w:p>
    <w:p w:rsidR="005938BA" w:rsidRPr="004B0F93" w:rsidRDefault="005938BA" w:rsidP="00F678F2">
      <w:pPr>
        <w:pStyle w:val="NormalHanging12a"/>
        <w:widowControl/>
      </w:pPr>
      <w:r w:rsidRPr="004B0F93">
        <w:t>–</w:t>
      </w:r>
      <w:r w:rsidRPr="004B0F93">
        <w:tab/>
        <w:t>ottaa huomioon tilintarkastustuomioistuimen vuosikertomuksen EU:n virastoista varainhoitovuodelta 2022 sekä virastojen vastaukset</w:t>
      </w:r>
      <w:r w:rsidRPr="004B0F93">
        <w:rPr>
          <w:rStyle w:val="FootnoteReference"/>
        </w:rPr>
        <w:footnoteReference w:id="1"/>
      </w:r>
      <w:r w:rsidRPr="004B0F93">
        <w:t>,</w:t>
      </w:r>
    </w:p>
    <w:p w:rsidR="005938BA" w:rsidRPr="004B0F93" w:rsidRDefault="005938BA" w:rsidP="00F678F2">
      <w:pPr>
        <w:pStyle w:val="NormalHanging12a"/>
        <w:widowControl/>
      </w:pPr>
      <w:r w:rsidRPr="004B0F93">
        <w:t>–</w:t>
      </w:r>
      <w:r w:rsidRPr="004B0F93">
        <w:tab/>
        <w:t>ottaa huomioon tilintarkastustuomioistuimen Euroopan unionin toiminnasta tehdyn sopimuksen 287 artiklan mukaisesti antaman varainhoitovuotta 2022 koskevan lausuman tilien luotettavuudesta</w:t>
      </w:r>
      <w:r w:rsidRPr="004B0F93">
        <w:rPr>
          <w:rStyle w:val="FootnoteReference"/>
        </w:rPr>
        <w:footnoteReference w:id="2"/>
      </w:r>
      <w:r w:rsidRPr="004B0F93">
        <w:t xml:space="preserve"> sekä tilien perustana olevien toimien laillisuudesta ja asianmukaisuudesta (sääntöjenmukaisuudesta),</w:t>
      </w:r>
    </w:p>
    <w:p w:rsidR="005938BA" w:rsidRPr="004B0F93" w:rsidRDefault="005938BA" w:rsidP="00F678F2">
      <w:pPr>
        <w:pStyle w:val="NormalHanging12a"/>
        <w:widowControl/>
      </w:pPr>
      <w:r w:rsidRPr="004B0F93">
        <w:t>–</w:t>
      </w:r>
      <w:r w:rsidRPr="004B0F93">
        <w:tab/>
        <w:t>ottaa huomioon neuvoston 22. helmikuuta 2024 antaman suosituksen varainhoitovuoden 2022 talousarvion toteuttamista koskevan vastuuvapauden myöntämisestä virastolle (</w:t>
      </w:r>
      <w:r w:rsidR="00F678F2" w:rsidRPr="004B0F93">
        <w:t>06180/2024 – C9</w:t>
      </w:r>
      <w:r w:rsidR="00F678F2" w:rsidRPr="004B0F93">
        <w:noBreakHyphen/>
        <w:t>0082/2024</w:t>
      </w:r>
      <w:r w:rsidRPr="004B0F93">
        <w:t>),</w:t>
      </w:r>
    </w:p>
    <w:p w:rsidR="005938BA" w:rsidRPr="004B0F93" w:rsidRDefault="005938BA" w:rsidP="00F678F2">
      <w:pPr>
        <w:pStyle w:val="NormalHanging12a"/>
        <w:widowControl/>
      </w:pPr>
      <w:r w:rsidRPr="004B0F93">
        <w:t>–</w:t>
      </w:r>
      <w:r w:rsidRPr="004B0F93">
        <w:tab/>
        <w:t>ottaa huomioon Euroopan unionin toiminnasta tehdyn sopimuksen 319 artiklan,</w:t>
      </w:r>
    </w:p>
    <w:p w:rsidR="005938BA" w:rsidRPr="004B0F93" w:rsidRDefault="005938BA" w:rsidP="00F678F2">
      <w:pPr>
        <w:pStyle w:val="NormalHanging12a"/>
        <w:widowControl/>
      </w:pPr>
      <w:r w:rsidRPr="004B0F93">
        <w:t>–</w:t>
      </w:r>
      <w:r w:rsidRPr="004B0F93">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4B0F93">
        <w:rPr>
          <w:rStyle w:val="FootnoteReference"/>
        </w:rPr>
        <w:footnoteReference w:id="3"/>
      </w:r>
      <w:r w:rsidRPr="004B0F93">
        <w:t xml:space="preserve"> ja erityisesti sen 70 artiklan,</w:t>
      </w:r>
    </w:p>
    <w:p w:rsidR="005938BA" w:rsidRPr="004B0F93" w:rsidRDefault="005938BA" w:rsidP="00F678F2">
      <w:pPr>
        <w:pStyle w:val="NormalHanging12a"/>
        <w:widowControl/>
      </w:pPr>
      <w:r w:rsidRPr="004B0F93">
        <w:t>–</w:t>
      </w:r>
      <w:r w:rsidRPr="004B0F93">
        <w:tab/>
        <w:t xml:space="preserve">ottaa huomioon Euroopan unionin lainvalvontakoulutusvirastosta (CEPOL) ja neuvoston päätöksen 2005/681/YOS korvaamisesta ja kumoamisesta 25. marraskuuta </w:t>
      </w:r>
      <w:r w:rsidRPr="004B0F93">
        <w:lastRenderedPageBreak/>
        <w:t>2015 annetun Euroopan parlamentin ja neuvoston asetuksen (EU) 2015/2219</w:t>
      </w:r>
      <w:r w:rsidRPr="004B0F93">
        <w:rPr>
          <w:rStyle w:val="FootnoteReference"/>
        </w:rPr>
        <w:footnoteReference w:id="4"/>
      </w:r>
      <w:r w:rsidRPr="004B0F93">
        <w:t xml:space="preserve"> ja erityisesti sen 20 artiklan,</w:t>
      </w:r>
    </w:p>
    <w:p w:rsidR="005938BA" w:rsidRPr="004B0F93" w:rsidRDefault="005938BA" w:rsidP="00F678F2">
      <w:pPr>
        <w:pStyle w:val="NormalHanging12a"/>
        <w:widowControl/>
      </w:pPr>
      <w:r w:rsidRPr="004B0F93">
        <w:t>–</w:t>
      </w:r>
      <w:r w:rsidRPr="004B0F93">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4B0F93">
        <w:rPr>
          <w:rStyle w:val="FootnoteReference"/>
        </w:rPr>
        <w:footnoteReference w:id="5"/>
      </w:r>
      <w:r w:rsidRPr="004B0F93">
        <w:t xml:space="preserve"> ja erityisesti sen 105 artiklan,</w:t>
      </w:r>
    </w:p>
    <w:p w:rsidR="005938BA" w:rsidRPr="004B0F93" w:rsidRDefault="005938BA" w:rsidP="00F678F2">
      <w:pPr>
        <w:pStyle w:val="NormalHanging12a"/>
        <w:widowControl/>
      </w:pPr>
      <w:r w:rsidRPr="004B0F93">
        <w:t>–</w:t>
      </w:r>
      <w:r w:rsidRPr="004B0F93">
        <w:tab/>
        <w:t>ottaa huomioon työjärjestyksen 100 artiklan ja liitteen V,</w:t>
      </w:r>
    </w:p>
    <w:p w:rsidR="005938BA" w:rsidRPr="004B0F93" w:rsidRDefault="005938BA" w:rsidP="00F678F2">
      <w:pPr>
        <w:pStyle w:val="NormalHanging12a"/>
        <w:widowControl/>
      </w:pPr>
      <w:r w:rsidRPr="004B0F93">
        <w:t>–</w:t>
      </w:r>
      <w:r w:rsidRPr="004B0F93">
        <w:tab/>
        <w:t>ottaa huomioon kansalaisvapauksien sekä oikeus- ja sisäasioiden valiokunnan lausunnon,</w:t>
      </w:r>
    </w:p>
    <w:p w:rsidR="005938BA" w:rsidRPr="004B0F93" w:rsidRDefault="005938BA" w:rsidP="00F678F2">
      <w:pPr>
        <w:pStyle w:val="NormalHanging12a"/>
        <w:widowControl/>
      </w:pPr>
      <w:r w:rsidRPr="004B0F93">
        <w:t>–</w:t>
      </w:r>
      <w:r w:rsidRPr="004B0F93">
        <w:tab/>
        <w:t>ottaa huomioon talousarvion valvontavaliokunnan mie</w:t>
      </w:r>
      <w:bookmarkStart w:id="8" w:name="_GoBack"/>
      <w:bookmarkEnd w:id="8"/>
      <w:r w:rsidRPr="004B0F93">
        <w:t>tinnön (A9-0098/2024),</w:t>
      </w:r>
    </w:p>
    <w:p w:rsidR="005938BA" w:rsidRPr="004B0F93" w:rsidRDefault="005938BA" w:rsidP="00F678F2">
      <w:pPr>
        <w:pStyle w:val="NormalHanging12a"/>
        <w:widowControl/>
      </w:pPr>
      <w:r w:rsidRPr="004B0F93">
        <w:t>1.</w:t>
      </w:r>
      <w:r w:rsidRPr="004B0F93">
        <w:tab/>
        <w:t>myöntää Euroopan unionin lainvalvontakoulutusviraston (CEPOL) pääjohtajalle vastuuvapauden viraston talousarvion toteuttamisesta varainhoitovuonna 2022;</w:t>
      </w:r>
    </w:p>
    <w:p w:rsidR="005938BA" w:rsidRPr="004B0F93" w:rsidRDefault="005938BA" w:rsidP="00F678F2">
      <w:pPr>
        <w:pStyle w:val="NormalHanging12a"/>
        <w:widowControl/>
      </w:pPr>
      <w:r w:rsidRPr="004B0F93">
        <w:t>2.</w:t>
      </w:r>
      <w:r w:rsidRPr="004B0F93">
        <w:tab/>
        <w:t>esittää huomautuksensa oheisessa päätöslauselmassa;</w:t>
      </w:r>
    </w:p>
    <w:p w:rsidR="005938BA" w:rsidRPr="004B0F93" w:rsidRDefault="005938BA" w:rsidP="00F678F2">
      <w:pPr>
        <w:pStyle w:val="NormalHanging12a"/>
        <w:widowControl/>
      </w:pPr>
      <w:r w:rsidRPr="004B0F93">
        <w:t>3.</w:t>
      </w:r>
      <w:r w:rsidRPr="004B0F93">
        <w:tab/>
        <w:t xml:space="preserve">kehottaa puhemiestä välittämään tämän päätöksen ja siihen erottamattomasti kuuluvan päätöslauselman Euroopan unionin lainvalvontakoulutusviraston (CEPOL) pääjohtajalle, neuvostolle, komissiolle ja tilintarkastustuomioistuimelle sekä huolehtimaan niiden julkaisemisesta </w:t>
      </w:r>
      <w:r w:rsidRPr="004B0F93">
        <w:rPr>
          <w:i/>
        </w:rPr>
        <w:t>Euroopan unionin virallisessa lehdessä</w:t>
      </w:r>
      <w:r w:rsidRPr="004B0F93">
        <w:t xml:space="preserve"> (L-sarja).</w:t>
      </w:r>
    </w:p>
    <w:p w:rsidR="005938BA" w:rsidRPr="004B0F93" w:rsidRDefault="005938BA" w:rsidP="00F678F2">
      <w:pPr>
        <w:widowControl/>
        <w:rPr>
          <w:rFonts w:ascii="Arial" w:hAnsi="Arial" w:cs="Arial"/>
          <w:b/>
        </w:rPr>
        <w:sectPr w:rsidR="005938BA" w:rsidRPr="004B0F93" w:rsidSect="001B7D88">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5938BA" w:rsidRPr="004B0F93" w:rsidRDefault="00503A8C" w:rsidP="00DB583B">
      <w:pPr>
        <w:pStyle w:val="ATHeading3"/>
      </w:pPr>
      <w:r w:rsidRPr="004B0F93">
        <w:lastRenderedPageBreak/>
        <w:t>2. Euroopan parlamentin päätös 11. huhtikuuta 2024 E</w:t>
      </w:r>
      <w:r w:rsidR="005938BA" w:rsidRPr="004B0F93">
        <w:t>uroopan unionin lainvalvontakoulutusviraston (CEPOL) varainhoitovuoden 2022 tilien päättämisestä</w:t>
      </w:r>
      <w:r w:rsidRPr="004B0F93">
        <w:t xml:space="preserve"> </w:t>
      </w:r>
      <w:r w:rsidR="005938BA" w:rsidRPr="004B0F93">
        <w:t>(2023/2144(DEC))</w:t>
      </w:r>
    </w:p>
    <w:p w:rsidR="005938BA" w:rsidRPr="004B0F93" w:rsidRDefault="005938BA" w:rsidP="00F678F2">
      <w:pPr>
        <w:pStyle w:val="EPComma"/>
        <w:widowControl/>
      </w:pPr>
      <w:r w:rsidRPr="004B0F93">
        <w:rPr>
          <w:i/>
        </w:rPr>
        <w:t>Euroopan parlamentti</w:t>
      </w:r>
      <w:r w:rsidRPr="004B0F93">
        <w:t>, joka</w:t>
      </w:r>
    </w:p>
    <w:p w:rsidR="005938BA" w:rsidRPr="004B0F93" w:rsidRDefault="005938BA" w:rsidP="00F678F2">
      <w:pPr>
        <w:pStyle w:val="NormalHanging12a"/>
        <w:widowControl/>
      </w:pPr>
      <w:r w:rsidRPr="004B0F93">
        <w:t>–</w:t>
      </w:r>
      <w:r w:rsidRPr="004B0F93">
        <w:tab/>
        <w:t>ottaa huomioon Euroopan unionin lainvalvontakoulutusviraston (CEPOL) lopullisen tilinpäätöksen varainhoitovuodelta 2022,</w:t>
      </w:r>
    </w:p>
    <w:p w:rsidR="005938BA" w:rsidRPr="004B0F93" w:rsidRDefault="005938BA" w:rsidP="00F678F2">
      <w:pPr>
        <w:pStyle w:val="NormalHanging12a"/>
        <w:widowControl/>
      </w:pPr>
      <w:r w:rsidRPr="004B0F93">
        <w:t>–</w:t>
      </w:r>
      <w:r w:rsidRPr="004B0F93">
        <w:tab/>
        <w:t>ottaa huomioon tilintarkastustuomioistuimen vuosikertomuksen EU:n virastoista varainhoitovuodelta 2022 sekä virastojen vastaukset</w:t>
      </w:r>
      <w:r w:rsidRPr="004B0F93">
        <w:rPr>
          <w:rStyle w:val="FootnoteReference"/>
        </w:rPr>
        <w:footnoteReference w:id="6"/>
      </w:r>
      <w:r w:rsidRPr="004B0F93">
        <w:t>,</w:t>
      </w:r>
    </w:p>
    <w:p w:rsidR="005938BA" w:rsidRPr="004B0F93" w:rsidRDefault="005938BA" w:rsidP="00F678F2">
      <w:pPr>
        <w:pStyle w:val="NormalHanging12a"/>
        <w:widowControl/>
      </w:pPr>
      <w:r w:rsidRPr="004B0F93">
        <w:t>–</w:t>
      </w:r>
      <w:r w:rsidRPr="004B0F93">
        <w:tab/>
        <w:t>ottaa huomioon tilintarkastustuomioistuimen Euroopan unionin toiminnasta tehdyn sopimuksen 287 artiklan mukaisesti antaman varainhoitovuotta 2022 koskevan lausuman tilien luotettavuudesta</w:t>
      </w:r>
      <w:r w:rsidRPr="004B0F93">
        <w:rPr>
          <w:rStyle w:val="FootnoteReference"/>
        </w:rPr>
        <w:footnoteReference w:id="7"/>
      </w:r>
      <w:r w:rsidRPr="004B0F93">
        <w:t xml:space="preserve"> sekä tilien perustana olevien toimien laillisuudesta ja asianmukaisuudesta (sääntöjenmukaisuudesta),</w:t>
      </w:r>
    </w:p>
    <w:p w:rsidR="005938BA" w:rsidRPr="004B0F93" w:rsidRDefault="005938BA" w:rsidP="00F678F2">
      <w:pPr>
        <w:pStyle w:val="NormalHanging12a"/>
        <w:widowControl/>
      </w:pPr>
      <w:r w:rsidRPr="004B0F93">
        <w:t>–</w:t>
      </w:r>
      <w:r w:rsidRPr="004B0F93">
        <w:tab/>
        <w:t>ottaa huomioon neuvoston 22. helmikuuta 2024 antaman suosituksen varainhoitovuoden 2022 talousarvion toteuttamista koskevan vastuuvapauden myöntämisestä virastolle (</w:t>
      </w:r>
      <w:r w:rsidR="00F678F2" w:rsidRPr="004B0F93">
        <w:t>06180/2024 – C9</w:t>
      </w:r>
      <w:r w:rsidR="00F678F2" w:rsidRPr="004B0F93">
        <w:noBreakHyphen/>
        <w:t>0082/2024</w:t>
      </w:r>
      <w:r w:rsidRPr="004B0F93">
        <w:t>),</w:t>
      </w:r>
    </w:p>
    <w:p w:rsidR="005938BA" w:rsidRPr="004B0F93" w:rsidRDefault="005938BA" w:rsidP="00F678F2">
      <w:pPr>
        <w:pStyle w:val="NormalHanging12a"/>
        <w:widowControl/>
      </w:pPr>
      <w:r w:rsidRPr="004B0F93">
        <w:t>–</w:t>
      </w:r>
      <w:r w:rsidRPr="004B0F93">
        <w:tab/>
        <w:t>ottaa huomioon Euroopan unionin toiminnasta tehdyn sopimuksen 319 artiklan,</w:t>
      </w:r>
    </w:p>
    <w:p w:rsidR="005938BA" w:rsidRPr="004B0F93" w:rsidRDefault="005938BA" w:rsidP="00F678F2">
      <w:pPr>
        <w:pStyle w:val="NormalHanging12a"/>
        <w:widowControl/>
      </w:pPr>
      <w:r w:rsidRPr="004B0F93">
        <w:t>–</w:t>
      </w:r>
      <w:r w:rsidRPr="004B0F93">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4B0F93">
        <w:rPr>
          <w:rStyle w:val="FootnoteReference"/>
        </w:rPr>
        <w:footnoteReference w:id="8"/>
      </w:r>
      <w:r w:rsidRPr="004B0F93">
        <w:t xml:space="preserve"> ja erityisesti sen 70 artiklan,</w:t>
      </w:r>
    </w:p>
    <w:p w:rsidR="005938BA" w:rsidRPr="004B0F93" w:rsidRDefault="005938BA" w:rsidP="00F678F2">
      <w:pPr>
        <w:pStyle w:val="NormalHanging12a"/>
        <w:widowControl/>
      </w:pPr>
      <w:r w:rsidRPr="004B0F93">
        <w:t>–</w:t>
      </w:r>
      <w:r w:rsidRPr="004B0F93">
        <w:tab/>
        <w:t>ottaa huomioon Euroopan unionin lainvalvontakoulutusvirastosta (CEPOL) ja neuvoston päätöksen 2005/681/YOS korvaamisesta ja kumoamisesta 25. marraskuuta 2015 annetun Euroopan parlamentin ja neuvoston asetuksen (EU) 2015/2219</w:t>
      </w:r>
      <w:r w:rsidRPr="004B0F93">
        <w:rPr>
          <w:rStyle w:val="FootnoteReference"/>
        </w:rPr>
        <w:footnoteReference w:id="9"/>
      </w:r>
      <w:r w:rsidRPr="004B0F93">
        <w:t xml:space="preserve"> ja erityisesti sen 20 artiklan,</w:t>
      </w:r>
    </w:p>
    <w:p w:rsidR="005938BA" w:rsidRPr="004B0F93" w:rsidRDefault="005938BA" w:rsidP="00F678F2">
      <w:pPr>
        <w:pStyle w:val="NormalHanging12a"/>
        <w:widowControl/>
      </w:pPr>
      <w:r w:rsidRPr="004B0F93">
        <w:t>–</w:t>
      </w:r>
      <w:r w:rsidRPr="004B0F93">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4B0F93">
        <w:rPr>
          <w:rStyle w:val="FootnoteReference"/>
        </w:rPr>
        <w:footnoteReference w:id="10"/>
      </w:r>
      <w:r w:rsidRPr="004B0F93">
        <w:t xml:space="preserve"> ja erityisesti sen 105 artiklan,</w:t>
      </w:r>
    </w:p>
    <w:p w:rsidR="005938BA" w:rsidRPr="004B0F93" w:rsidRDefault="005938BA" w:rsidP="00F678F2">
      <w:pPr>
        <w:pStyle w:val="NormalHanging12a"/>
        <w:widowControl/>
      </w:pPr>
      <w:r w:rsidRPr="004B0F93">
        <w:t>–</w:t>
      </w:r>
      <w:r w:rsidRPr="004B0F93">
        <w:tab/>
        <w:t>ottaa huomioon työjärjestyksen 100 artiklan ja liitteen V,</w:t>
      </w:r>
    </w:p>
    <w:p w:rsidR="005938BA" w:rsidRPr="004B0F93" w:rsidRDefault="005938BA" w:rsidP="00F678F2">
      <w:pPr>
        <w:pStyle w:val="NormalHanging12a"/>
        <w:widowControl/>
      </w:pPr>
      <w:r w:rsidRPr="004B0F93">
        <w:t>–</w:t>
      </w:r>
      <w:r w:rsidRPr="004B0F93">
        <w:tab/>
        <w:t>ottaa huomioon kansalaisvapauksien sekä oikeus- ja sisäasioiden valiokunnan lausunnon,</w:t>
      </w:r>
    </w:p>
    <w:p w:rsidR="005938BA" w:rsidRPr="004B0F93" w:rsidRDefault="005938BA" w:rsidP="00F678F2">
      <w:pPr>
        <w:pStyle w:val="NormalHanging12a"/>
        <w:widowControl/>
      </w:pPr>
      <w:r w:rsidRPr="004B0F93">
        <w:lastRenderedPageBreak/>
        <w:t>–</w:t>
      </w:r>
      <w:r w:rsidRPr="004B0F93">
        <w:tab/>
        <w:t>ottaa huomioon talousarvion valvontavaliokunnan mietinnön (A9-0098/2024),</w:t>
      </w:r>
    </w:p>
    <w:p w:rsidR="005938BA" w:rsidRPr="004B0F93" w:rsidRDefault="005938BA" w:rsidP="00F678F2">
      <w:pPr>
        <w:pStyle w:val="NormalHanging12a"/>
        <w:widowControl/>
      </w:pPr>
      <w:r w:rsidRPr="004B0F93">
        <w:t>1.</w:t>
      </w:r>
      <w:r w:rsidRPr="004B0F93">
        <w:tab/>
        <w:t>hyväksyy Euroopan unionin lainvalvontakoulutusviraston (CEPOL) varainhoitovuoden 2022 tilien päättämisen;</w:t>
      </w:r>
    </w:p>
    <w:p w:rsidR="005938BA" w:rsidRPr="004B0F93" w:rsidRDefault="005938BA" w:rsidP="00F678F2">
      <w:pPr>
        <w:pStyle w:val="NormalHanging12a"/>
        <w:widowControl/>
      </w:pPr>
      <w:r w:rsidRPr="004B0F93">
        <w:t>2.</w:t>
      </w:r>
      <w:r w:rsidRPr="004B0F93">
        <w:tab/>
        <w:t xml:space="preserve">kehottaa puhemiestä välittämään tämän päätöksen Euroopan unionin lainvalvontakoulutusviraston (CEPOL) pääjohtajalle, neuvostolle, komissiolle ja tilintarkastustuomioistuimelle sekä huolehtimaan sen julkaisemisesta </w:t>
      </w:r>
      <w:r w:rsidRPr="004B0F93">
        <w:rPr>
          <w:i/>
        </w:rPr>
        <w:t>Euroopan unionin virallisessa lehdessä</w:t>
      </w:r>
      <w:r w:rsidRPr="004B0F93">
        <w:t xml:space="preserve"> (L-sarja).</w:t>
      </w:r>
    </w:p>
    <w:p w:rsidR="005938BA" w:rsidRPr="004B0F93" w:rsidRDefault="005938BA" w:rsidP="00F678F2">
      <w:pPr>
        <w:widowControl/>
        <w:rPr>
          <w:rFonts w:ascii="Arial" w:hAnsi="Arial" w:cs="Arial"/>
          <w:b/>
        </w:rPr>
        <w:sectPr w:rsidR="005938BA" w:rsidRPr="004B0F93" w:rsidSect="001B7D88">
          <w:footnotePr>
            <w:numRestart w:val="eachPage"/>
          </w:footnotePr>
          <w:endnotePr>
            <w:numFmt w:val="decimal"/>
          </w:endnotePr>
          <w:pgSz w:w="11906" w:h="16838"/>
          <w:pgMar w:top="1134" w:right="1418" w:bottom="1418" w:left="1418" w:header="567" w:footer="567" w:gutter="0"/>
          <w:cols w:space="720"/>
          <w:docGrid w:linePitch="326"/>
        </w:sectPr>
      </w:pPr>
    </w:p>
    <w:p w:rsidR="005938BA" w:rsidRPr="004B0F93" w:rsidRDefault="00503A8C" w:rsidP="00DB583B">
      <w:pPr>
        <w:pStyle w:val="ATHeading3"/>
      </w:pPr>
      <w:r w:rsidRPr="004B0F93">
        <w:lastRenderedPageBreak/>
        <w:t xml:space="preserve">3. Euroopan parlamentin päätöslauselma 11. huhtikuuta 2024, joka </w:t>
      </w:r>
      <w:r w:rsidR="005938BA" w:rsidRPr="004B0F93">
        <w:t>sisältää huomautukset, jotka ovat erottamaton osa päätöstä vastuuvapauden myöntämisestä Euroopan unionin lainvalvontakoulutusviraston (CEPOL) talousarvion toteuttamisesta varainhoitovuonna 2022</w:t>
      </w:r>
      <w:r w:rsidRPr="004B0F93">
        <w:t xml:space="preserve"> </w:t>
      </w:r>
      <w:r w:rsidR="005938BA" w:rsidRPr="004B0F93">
        <w:t>(2023/2144(DEC))</w:t>
      </w:r>
    </w:p>
    <w:p w:rsidR="005938BA" w:rsidRPr="004B0F93" w:rsidRDefault="005938BA" w:rsidP="00F678F2">
      <w:pPr>
        <w:pStyle w:val="EPComma"/>
        <w:widowControl/>
      </w:pPr>
      <w:r w:rsidRPr="004B0F93">
        <w:rPr>
          <w:i/>
        </w:rPr>
        <w:t>Euroopan parlamentti</w:t>
      </w:r>
      <w:r w:rsidRPr="004B0F93">
        <w:t>, joka</w:t>
      </w:r>
    </w:p>
    <w:p w:rsidR="005938BA" w:rsidRPr="004B0F93" w:rsidRDefault="005938BA" w:rsidP="00F678F2">
      <w:pPr>
        <w:pStyle w:val="NormalHanging12a"/>
        <w:widowControl/>
      </w:pPr>
      <w:r w:rsidRPr="004B0F93">
        <w:t>–</w:t>
      </w:r>
      <w:r w:rsidRPr="004B0F93">
        <w:tab/>
        <w:t>ottaa huomioon päätöksensä vastuuvapauden myöntämisestä Euroopan unionin lainvalvontakoulutusviraston (CEPOL) talousarvion toteuttamisesta varainhoitovuonna 2022,</w:t>
      </w:r>
    </w:p>
    <w:p w:rsidR="005938BA" w:rsidRPr="004B0F93" w:rsidRDefault="005938BA" w:rsidP="00F678F2">
      <w:pPr>
        <w:pStyle w:val="NormalHanging12a"/>
        <w:widowControl/>
      </w:pPr>
      <w:r w:rsidRPr="004B0F93">
        <w:t>–</w:t>
      </w:r>
      <w:r w:rsidRPr="004B0F93">
        <w:tab/>
        <w:t>ottaa huomioon työjärjestyksen 100 artiklan ja liitteen V,</w:t>
      </w:r>
    </w:p>
    <w:p w:rsidR="005938BA" w:rsidRPr="004B0F93" w:rsidRDefault="005938BA" w:rsidP="00F678F2">
      <w:pPr>
        <w:pStyle w:val="NormalHanging12a"/>
        <w:widowControl/>
      </w:pPr>
      <w:r w:rsidRPr="004B0F93">
        <w:t>–</w:t>
      </w:r>
      <w:r w:rsidRPr="004B0F93">
        <w:tab/>
        <w:t>ottaa huomioon kansalaisvapauksien sekä oikeus- ja sisäasioiden valiokunnan lausunnon,</w:t>
      </w:r>
    </w:p>
    <w:p w:rsidR="005938BA" w:rsidRPr="004B0F93" w:rsidRDefault="005938BA" w:rsidP="00F678F2">
      <w:pPr>
        <w:pStyle w:val="NormalHanging12a"/>
        <w:widowControl/>
      </w:pPr>
      <w:r w:rsidRPr="004B0F93">
        <w:t>–</w:t>
      </w:r>
      <w:r w:rsidRPr="004B0F93">
        <w:tab/>
        <w:t>ottaa huomioon talousarvion valvontavaliokunnan mietinnön (A9-0098/2024),</w:t>
      </w:r>
    </w:p>
    <w:p w:rsidR="005938BA" w:rsidRPr="004B0F93" w:rsidRDefault="005938BA" w:rsidP="00F678F2">
      <w:pPr>
        <w:pStyle w:val="ListParagraph"/>
        <w:spacing w:after="240"/>
        <w:ind w:left="567" w:hanging="567"/>
        <w:contextualSpacing w:val="0"/>
        <w:jc w:val="left"/>
        <w:rPr>
          <w:rFonts w:eastAsia="Times New Roman"/>
        </w:rPr>
      </w:pPr>
      <w:r w:rsidRPr="004B0F93">
        <w:t>A.</w:t>
      </w:r>
      <w:r w:rsidRPr="004B0F93">
        <w:tab/>
        <w:t>toteaa, että Euroopan unionin lainvalvontakoulutusviraston (CEPOL) tulo- ja menotaulukon</w:t>
      </w:r>
      <w:r w:rsidRPr="004B0F93">
        <w:rPr>
          <w:rStyle w:val="FootnoteReference"/>
          <w:rFonts w:eastAsia="Times New Roman"/>
          <w:lang w:eastAsia="en-GB"/>
        </w:rPr>
        <w:footnoteReference w:id="11"/>
      </w:r>
      <w:r w:rsidRPr="004B0F93">
        <w:t xml:space="preserve"> mukaan sen lopullinen talousarvio varainhoitovuodeksi 2022 oli 28 295 362 euroa, mikä merkitsee 5,82 prosentin vähennystä vuoteen 2021 verrattuna; ottaa huomioon, että virastoa rahoitetaan unionin rahoitusosuudella ja tiettyjen hankkeiden osalta ulkoisilla käyttötarkoitukseensa sidotuilla tuloilla;</w:t>
      </w:r>
    </w:p>
    <w:p w:rsidR="005938BA" w:rsidRPr="004B0F93" w:rsidRDefault="005938BA" w:rsidP="00F678F2">
      <w:pPr>
        <w:widowControl/>
        <w:spacing w:after="240"/>
        <w:ind w:left="567" w:hanging="567"/>
        <w:rPr>
          <w:szCs w:val="24"/>
        </w:rPr>
      </w:pPr>
      <w:r w:rsidRPr="004B0F93">
        <w:t>B.</w:t>
      </w:r>
      <w:r w:rsidRPr="004B0F93">
        <w:tab/>
        <w:t>ottaa huomioon, että tilintarkastustuomioistuin on todennut kertomuksessaan viraston tilinpäätöksestä varainhoitovuodelta 2022 saaneensa kohtuullisen varmuuden siitä, että viraston tilit olivat luotettavat ja tilien perustana olevat tuloja koskevat toimet olivat kaikilta olennaisilta osiltaan lailliset ja asianmukaiset (sääntöjenmukaiset); ottaa huomioon, että tilintarkastustuomioistuimen mukaan sääntöjenvastaisia menoja oli yhteensä 4,2 miljoonaa euroa, joista 4,1 miljoonaa euroa liittyi kahteen puitesopimukseen, joiden nojalla virasto suoritti 359 maksua, jotka perustuivat palvelupyyntöihin, joiden lähettäjinä toimivat sellaiset henkilöstön jäsenet, joilla ei ollut valtuutusta tehdä oikeudellisia sitoumuksia viraston puolesta, ja 152 655 euroa liittyi vuonna 2022 erään puitesopimuksen nojalla suoritettuihin maksuihin, joissa osaa maksetuista määristä ei voitu täsmäyttää toimitettujen palvelujen kanssa, eli sääntöjenvastaisia menoja oli yhteensä 13,5 prosenttia vuonna 2022 käytettävissä olleista maksumäärärahoista, mikä ylitti tarkastuksen osalta määritetyn olennaisuusrajan ja johti varauman sisältävään lausuntoon viraston tilien perustana olevien maksujen laillisuudesta ja asianmukaisuudesta; ottaa huomioon, että näitä sääntöjenvastaisia maksuja lukuun ottamatta tilintarkastustuomioistuin totesi, että 31. joulukuuta 2022 päättyneen varainhoitovuoden tilien perustana olevat maksut ovat kaikilta olennaisilta osiltaan lailliset ja asianmukaiset (sääntöjenmukaiset);</w:t>
      </w:r>
    </w:p>
    <w:p w:rsidR="005938BA" w:rsidRPr="004B0F93" w:rsidRDefault="005938BA" w:rsidP="00F678F2">
      <w:pPr>
        <w:keepNext/>
        <w:widowControl/>
        <w:spacing w:after="240"/>
        <w:ind w:left="567" w:hanging="567"/>
        <w:rPr>
          <w:b/>
          <w:i/>
          <w:szCs w:val="24"/>
        </w:rPr>
      </w:pPr>
      <w:r w:rsidRPr="004B0F93">
        <w:rPr>
          <w:b/>
          <w:i/>
        </w:rPr>
        <w:t>Talousarvio- ja varainhallinto</w:t>
      </w:r>
    </w:p>
    <w:p w:rsidR="005938BA" w:rsidRPr="004B0F93" w:rsidRDefault="005938BA" w:rsidP="00F678F2">
      <w:pPr>
        <w:widowControl/>
        <w:spacing w:after="240"/>
        <w:ind w:left="567" w:hanging="567"/>
        <w:rPr>
          <w:szCs w:val="24"/>
        </w:rPr>
      </w:pPr>
      <w:r w:rsidRPr="004B0F93">
        <w:t>1.</w:t>
      </w:r>
      <w:r w:rsidRPr="004B0F93">
        <w:rPr>
          <w:color w:val="FFFFFF" w:themeColor="background1"/>
        </w:rPr>
        <w:tab/>
      </w:r>
      <w:r w:rsidRPr="004B0F93">
        <w:t xml:space="preserve">panee tyytyväisenä merkille, että varainhoitovuonna 2022 toteutetun talousarvion seurannan tuloksena talousarvion toteutusaste oli 100 prosenttia, mikä merkitsee 3,21 prosentin lisäystä vuoteen 2021 verrattuna; toteaa, että maksumäärärahojen käyttöaste oli 84,66 prosenttia, mikä merkitsee 12,93 prosentin lisäystä vuoteen 2021 </w:t>
      </w:r>
      <w:r w:rsidRPr="004B0F93">
        <w:lastRenderedPageBreak/>
        <w:t>verrattuna; panee lisäksi merkille, että 1,6 miljoonaa euroa eli 15 prosenttia vuoden 2022 sitoumuksista siirrettiin vuodelle 2023; panee merkille, että unionin ulkoisen avun varojen, joilla tuetaan kolmansien maiden valmiuksien kehittämistä asiankuuluvilla lainvalvontaa koskevilla toiminta-aloilla, talousarvion toteutusaste nousi 48,5 prosenttiin vuoden 2022 loppuun mennessä;</w:t>
      </w:r>
    </w:p>
    <w:p w:rsidR="005938BA" w:rsidRPr="004B0F93" w:rsidRDefault="005938BA" w:rsidP="00F678F2">
      <w:pPr>
        <w:keepNext/>
        <w:widowControl/>
        <w:spacing w:after="240"/>
        <w:ind w:left="567" w:hanging="567"/>
        <w:rPr>
          <w:b/>
          <w:i/>
          <w:szCs w:val="24"/>
        </w:rPr>
      </w:pPr>
      <w:r w:rsidRPr="004B0F93">
        <w:rPr>
          <w:b/>
          <w:i/>
        </w:rPr>
        <w:t>Toiminnan tuloksellisuus</w:t>
      </w:r>
    </w:p>
    <w:p w:rsidR="005938BA" w:rsidRPr="004B0F93" w:rsidRDefault="005938BA" w:rsidP="00F678F2">
      <w:pPr>
        <w:widowControl/>
        <w:spacing w:after="240"/>
        <w:ind w:left="567" w:hanging="567"/>
        <w:rPr>
          <w:szCs w:val="24"/>
        </w:rPr>
      </w:pPr>
      <w:r w:rsidRPr="004B0F93">
        <w:t>2.</w:t>
      </w:r>
      <w:r w:rsidRPr="004B0F93">
        <w:tab/>
        <w:t>antaa virastolle tunnustusta vuoden 2022 työohjelman 100-prosenttisesta täytäntöönpanoasteesta, joka perustuu 418 koulutustoimen toteuttamiseen suunniteltuun 417 koulutustoimeen verrattuna; panee merkille, että virasto jatkoi vuonna 2022 koulutuksen tarjoamista lainvalvontayhteisölle käyttäen verkkoympäristöä mahdollisimman laajasti; panee tyytyväisenä merkille, että asiakkaiden tyytyväisyysaste pysyi korkeana vuonna 2022 ja toteaa, että 97 prosenttia viraston koulutustoimintaan osallistuneista oli kertonut olevansa tyytyväisiä tai erittäin tyytyväisiä;</w:t>
      </w:r>
    </w:p>
    <w:p w:rsidR="005938BA" w:rsidRPr="004B0F93" w:rsidRDefault="005938BA" w:rsidP="00F678F2">
      <w:pPr>
        <w:widowControl/>
        <w:spacing w:after="240"/>
        <w:ind w:left="567" w:hanging="567"/>
        <w:rPr>
          <w:szCs w:val="24"/>
        </w:rPr>
      </w:pPr>
      <w:r w:rsidRPr="004B0F93">
        <w:t>3.</w:t>
      </w:r>
      <w:r w:rsidRPr="004B0F93">
        <w:tab/>
        <w:t>panee tyytyväisenä merkille, että virasto käyttää tiettyjä toimenpiteitä keskeisinä tulosindikaattoreina, joilla arvioidaan sen toiminnasta saatavaa lisäarvoa, ja muita toimenpiteitä, joilla parannetaan sen talousarviohallintoa; panee merkille, että vuonna 2022 saavutettiin lähes kaikki keskeiset tulosindikaattorit ja että vain yhden indikaattorin, jonka määräaika on vuoden 2023 loppu, eli sovitun toimintasuunnitelman mukaisesti päätökseen saatettujen tarkastussuositusten osuus, käsittely oli kesken;</w:t>
      </w:r>
    </w:p>
    <w:p w:rsidR="005938BA" w:rsidRPr="004B0F93" w:rsidRDefault="005938BA" w:rsidP="00F678F2">
      <w:pPr>
        <w:widowControl/>
        <w:spacing w:after="240"/>
        <w:ind w:left="567" w:hanging="567"/>
        <w:rPr>
          <w:szCs w:val="24"/>
        </w:rPr>
      </w:pPr>
      <w:r w:rsidRPr="004B0F93">
        <w:t>4.</w:t>
      </w:r>
      <w:r w:rsidRPr="004B0F93">
        <w:tab/>
        <w:t>panee tyytyväisenä merkille, että vuonna 2022 viraston koulutuksiin osallistui 43 838 osallistujaa, mikä ylittää merkittävästi suunnitellun määrän, joka oli 27 800 osallistujaa; antaa virastolle tunnustusta siitä, että se on julkaissut toisen EU:n strategisten koulutustarpeiden arvioinnin, jossa esitetään lainvalvontaviranomaisten strategiset ja koulutustarpeet seuraavan Euroopan monialaisen rikosuhkien torjuntafoorumin vuosien 2022–2025 toimintapoliittisen syklin osalta, ja aloittanut sen täytäntöönpanon; panee lisäksi merkille, että viraston vasta nimitetty pääjohtaja aloitti vuonna 2022 uuden strategian kehittämisen viraston ohjenuoraksi vuosille 2023–2027; panee lisäksi tyytyväisenä merkille perusoikeuksia käsittelevän asiantuntijaryhmän strategia-asiakirjan, jonka tavoitteena on sisällyttää perusoikeusulottuvuus kaikkiin koulutuksiin; panee tyytyväisenä merkille, että tutkivien toimittajien suojelusta järjestettiin tarveperusteista koulutusta vuonna 2022; pitää myönteisenä viharikoksia koskevia kohdennettuja koulutustoimia ja tiedon levittämistä tehokkaista ratkaisuista, joilla tuetaan uhreja;</w:t>
      </w:r>
    </w:p>
    <w:p w:rsidR="005938BA" w:rsidRPr="004B0F93" w:rsidRDefault="005938BA" w:rsidP="00F678F2">
      <w:pPr>
        <w:pStyle w:val="NormalHanging12a"/>
        <w:widowControl/>
      </w:pPr>
      <w:r w:rsidRPr="004B0F93">
        <w:t>5.</w:t>
      </w:r>
      <w:r w:rsidRPr="004B0F93">
        <w:tab/>
        <w:t>antaa virastolle tunnustusta siitä, että se reagoi nopeasti perusteettomaan Ukrainassa käytävään sotaan ja tarjosi Ukrainan syyttäjänviranomaiselle yhteistyössä Euroopan neuvoston kanssa räätälöidyn julkisiin lähteisiin perustuvan tiedustelun kurssin;</w:t>
      </w:r>
    </w:p>
    <w:p w:rsidR="005938BA" w:rsidRPr="004B0F93" w:rsidRDefault="005938BA" w:rsidP="00F678F2">
      <w:pPr>
        <w:widowControl/>
        <w:spacing w:after="240"/>
        <w:ind w:left="567" w:hanging="567"/>
        <w:rPr>
          <w:szCs w:val="24"/>
        </w:rPr>
      </w:pPr>
      <w:r w:rsidRPr="004B0F93">
        <w:t>6.</w:t>
      </w:r>
      <w:r w:rsidRPr="004B0F93">
        <w:tab/>
        <w:t xml:space="preserve">panee viraston vuoden 2022 </w:t>
      </w:r>
      <w:proofErr w:type="spellStart"/>
      <w:r w:rsidRPr="004B0F93">
        <w:t>konsolidoidusta</w:t>
      </w:r>
      <w:proofErr w:type="spellEnd"/>
      <w:r w:rsidRPr="004B0F93">
        <w:t xml:space="preserve"> vuotuisesta toimintakertomuksesta merkille, että tarjottujen koulutusten määrän eksponentiaalinen kasvu viime vuosina (18 000 vuonna 2016 ja lähes 44 000 vuonna 2022) kuvastaa lisääntyvää tarvetta koulutustoimille, jotka viraston on toteutettava; panee tässä yhteydessä merkille, että tähän tarpeeseen voitiin vuonna 2022 vastata riittämättömien resurssien vuoksi vain lisäämällä verkko-oppimiskomponenttia, mikä ei täysin vastaa sidosryhmien tarpeita; tukee viraston tavoitetta jatkaa sellaisen monialaisen toiminnan tarjoamista, joka houkuttelee osallistuja poliisin, tullin ja rajavalvonnan keskuudesta;</w:t>
      </w:r>
    </w:p>
    <w:p w:rsidR="005938BA" w:rsidRPr="004B0F93" w:rsidRDefault="005938BA" w:rsidP="00F678F2">
      <w:pPr>
        <w:widowControl/>
        <w:spacing w:after="240"/>
        <w:ind w:left="567" w:hanging="567"/>
        <w:rPr>
          <w:szCs w:val="24"/>
        </w:rPr>
      </w:pPr>
      <w:r w:rsidRPr="004B0F93">
        <w:lastRenderedPageBreak/>
        <w:t>7.</w:t>
      </w:r>
      <w:r w:rsidRPr="004B0F93">
        <w:tab/>
        <w:t xml:space="preserve">panee merkille, että virasto jatkoi vuonna 2022 menestyksekkäästi neljän valmiuksien kehittämishankkeen täytäntöönpanoa kolmansissa maissa ja edisti siten suoraan unionin sisäistä turvallisuutta sekä jatkoi koulutustoimien menestyksekästä toteuttamista </w:t>
      </w:r>
      <w:proofErr w:type="spellStart"/>
      <w:r w:rsidRPr="004B0F93">
        <w:t>CEPOLin</w:t>
      </w:r>
      <w:proofErr w:type="spellEnd"/>
      <w:r w:rsidRPr="004B0F93">
        <w:t xml:space="preserve"> terrorisminvastaisen tietokeskuksen ja </w:t>
      </w:r>
      <w:proofErr w:type="spellStart"/>
      <w:r w:rsidRPr="004B0F93">
        <w:t>CEPOLin</w:t>
      </w:r>
      <w:proofErr w:type="spellEnd"/>
      <w:r w:rsidRPr="004B0F93">
        <w:t xml:space="preserve"> lainvalvontayhteistyön, tietojenvaihdon ja yhteentoimivuuden tietokeskuksen puitteissa; panee tyytyväisenä merkille, että virasto järjesti menestyksekkäästi yhteistyössä </w:t>
      </w:r>
      <w:proofErr w:type="spellStart"/>
      <w:r w:rsidRPr="004B0F93">
        <w:t>Mykolas</w:t>
      </w:r>
      <w:proofErr w:type="spellEnd"/>
      <w:r w:rsidRPr="004B0F93">
        <w:t xml:space="preserve"> </w:t>
      </w:r>
      <w:proofErr w:type="spellStart"/>
      <w:r w:rsidRPr="004B0F93">
        <w:t>Romeris</w:t>
      </w:r>
      <w:proofErr w:type="spellEnd"/>
      <w:r w:rsidRPr="004B0F93">
        <w:t xml:space="preserve"> -yliopiston kanssa Liettuan Vilnassa lainvalvonta- ja tutkimussektorien yhteistyötä vahvistavan </w:t>
      </w:r>
      <w:proofErr w:type="spellStart"/>
      <w:r w:rsidRPr="004B0F93">
        <w:t>CEPOLin</w:t>
      </w:r>
      <w:proofErr w:type="spellEnd"/>
      <w:r w:rsidRPr="004B0F93">
        <w:t xml:space="preserve"> tutkimus- ja tiedekonferenssin, jossa oli lähes 200 osallistujaa;</w:t>
      </w:r>
    </w:p>
    <w:p w:rsidR="005938BA" w:rsidRPr="004B0F93" w:rsidRDefault="005938BA" w:rsidP="00F678F2">
      <w:pPr>
        <w:pStyle w:val="NormalHanging12a"/>
        <w:widowControl/>
      </w:pPr>
      <w:r w:rsidRPr="004B0F93">
        <w:t>8.</w:t>
      </w:r>
      <w:r w:rsidRPr="004B0F93">
        <w:tab/>
        <w:t xml:space="preserve">muistuttaa, että unionin tason lainvalvontakoulutuksessa on otettava huomioon unionin painopisteet jäsenvaltioiden koulutustarpeiden mukaisesti ja tuettava unionin toimia vakavaan ja järjestäytyneeseen rikollisuuteen sekä muihin sisäisiin turvallisuusuhkiin puuttumiseksi, ja että perusoikeuksien suojelun olisi oltava keskeisessä asemassa viraston koulutustoimissa; panee merkille terrorismin torjunnan alalla toteutetut koulutustoimet, joissa käsitellään myös terrorismin rahoitusta, terrorismia ja asekauppaa, terrorismiin syyllistyviä vierastaistelijoita sekä ääriliikkeiden ja radikalisoitumisen torjuntaan kohdistettuja toimia; kehottaa järjestämään enemmän koulutusta kyberrikollisuudesta, </w:t>
      </w:r>
      <w:proofErr w:type="spellStart"/>
      <w:r w:rsidRPr="004B0F93">
        <w:t>tietokoneforensiikasta</w:t>
      </w:r>
      <w:proofErr w:type="spellEnd"/>
      <w:r w:rsidRPr="004B0F93">
        <w:t>, tekoälystä, tietosuojasta, perusoikeuksista ja rasismin torjunnasta unionin tasolla; kehottaa virastoa varmistamaan kaikessa toiminnassaan, erityisesti kolmansien maiden kanssa toteutettavissa toimissa, täyden avoimuuden ja perusoikeuksien ja kansainvälisen oikeuden täyden kunnioittamisen;</w:t>
      </w:r>
    </w:p>
    <w:p w:rsidR="005938BA" w:rsidRPr="004B0F93" w:rsidRDefault="005938BA" w:rsidP="00F678F2">
      <w:pPr>
        <w:widowControl/>
        <w:spacing w:after="240"/>
        <w:ind w:left="567" w:hanging="567"/>
        <w:rPr>
          <w:szCs w:val="24"/>
        </w:rPr>
      </w:pPr>
      <w:r w:rsidRPr="004B0F93">
        <w:t>9.</w:t>
      </w:r>
      <w:r w:rsidRPr="004B0F93">
        <w:tab/>
        <w:t>panee merkille, että virasto säilytti onnistuneesti ISO 9001:2015 -laatujärjestelmän mukaisen sertifiointinsa ja valmisteli standardin ISO 29993:2017 laajentamisen entisestään oppimispalveluihin, mikä on lisäosoitus siitä, että virasto varmistaa laatujärjestelmän tehokkaan toteutuksen;</w:t>
      </w:r>
    </w:p>
    <w:p w:rsidR="005938BA" w:rsidRPr="004B0F93" w:rsidRDefault="005938BA" w:rsidP="00F678F2">
      <w:pPr>
        <w:keepNext/>
        <w:widowControl/>
        <w:spacing w:after="240"/>
        <w:ind w:left="567" w:hanging="567"/>
        <w:rPr>
          <w:b/>
          <w:i/>
          <w:szCs w:val="24"/>
        </w:rPr>
      </w:pPr>
      <w:r w:rsidRPr="004B0F93">
        <w:rPr>
          <w:b/>
          <w:i/>
        </w:rPr>
        <w:t>Tehokkuus ja hyödyt</w:t>
      </w:r>
    </w:p>
    <w:p w:rsidR="005938BA" w:rsidRPr="004B0F93" w:rsidRDefault="005938BA" w:rsidP="00F678F2">
      <w:pPr>
        <w:widowControl/>
        <w:spacing w:after="240"/>
        <w:ind w:left="567" w:hanging="567"/>
        <w:rPr>
          <w:szCs w:val="24"/>
        </w:rPr>
      </w:pPr>
      <w:r w:rsidRPr="004B0F93">
        <w:t>10.</w:t>
      </w:r>
      <w:r w:rsidRPr="004B0F93">
        <w:tab/>
        <w:t xml:space="preserve">panee merkille, että virasto jatkaa tiivistä yhteistyötään oikeus- ja sisäasioiden virastojen verkoston ja siihen kuuluvien virastojen ja erityisesti Euroopan unionin lainvalvontayhteistyöviraston (Europol) ja Euroopan raja- ja merivartioviraston kanssa jakamalla koulutustoimia ja järjestämällä kursseja yhdessä; panee tässä yhteydessä merkille, että virasto toimi oikeus- ja sisäasioiden virastojen verkoston puheenjohtajana vuonna 2022; panee lisäksi merkille, että virastolla on vuodesta 2023 alkaen ollut Euroopan huumausaineiden ja niiden väärinkäytön seurantakeskuksen (EMCDDA) kanssa sopimus, jonka mukaan virasto tarjoaa </w:t>
      </w:r>
      <w:proofErr w:type="spellStart"/>
      <w:r w:rsidRPr="004B0F93">
        <w:t>EMCDDAlle</w:t>
      </w:r>
      <w:proofErr w:type="spellEnd"/>
      <w:r w:rsidRPr="004B0F93">
        <w:t xml:space="preserve"> mahdollisuuden käyttää </w:t>
      </w:r>
      <w:proofErr w:type="spellStart"/>
      <w:r w:rsidRPr="004B0F93">
        <w:t>LEEd</w:t>
      </w:r>
      <w:proofErr w:type="spellEnd"/>
      <w:r w:rsidRPr="004B0F93">
        <w:t>-oppimisympäristöään eli se saa ilman kustannuksia käyttöönsä nykyaikaisen oppimisympäristön yhteisöään varten; kehottaa virastoa jatkamaan yhteistyötään muiden virastojen kanssa, jotta kaikki käytettävissä olevat resurssit voidaan hyödyntää;</w:t>
      </w:r>
    </w:p>
    <w:p w:rsidR="005938BA" w:rsidRPr="004B0F93" w:rsidRDefault="005938BA" w:rsidP="00F678F2">
      <w:pPr>
        <w:widowControl/>
        <w:spacing w:after="240"/>
        <w:ind w:left="567" w:hanging="567"/>
        <w:rPr>
          <w:szCs w:val="24"/>
        </w:rPr>
      </w:pPr>
      <w:r w:rsidRPr="004B0F93">
        <w:t>11.</w:t>
      </w:r>
      <w:r w:rsidRPr="004B0F93">
        <w:tab/>
        <w:t xml:space="preserve">antaa virastolle tunnustusta suhteellisen korkean </w:t>
      </w:r>
      <w:proofErr w:type="spellStart"/>
      <w:r w:rsidRPr="004B0F93">
        <w:t>digitalisaation</w:t>
      </w:r>
      <w:proofErr w:type="spellEnd"/>
      <w:r w:rsidRPr="004B0F93">
        <w:t xml:space="preserve"> tason saavuttamisesta siten, että monet sen menettelyistä on muutettu paperittomiksi tai sähköisiksi usein tiiviissä yhteistyössä komission digitaalisten palvelujen pääosaston kanssa, kuten sähköinen hankintamenettely avoimia menettelyjä varten ja tarjousten jättäminen sähköisesti, sähköinen rekrytointi, sähköinen henkilöstöhallinto (SYSPER), sähköinen laskutus ja sähköinen matkanvaraus;</w:t>
      </w:r>
    </w:p>
    <w:p w:rsidR="005938BA" w:rsidRPr="004B0F93" w:rsidRDefault="005938BA" w:rsidP="00F678F2">
      <w:pPr>
        <w:widowControl/>
        <w:spacing w:after="240"/>
        <w:ind w:left="567" w:hanging="567"/>
        <w:rPr>
          <w:szCs w:val="24"/>
        </w:rPr>
      </w:pPr>
      <w:r w:rsidRPr="004B0F93">
        <w:t>12.</w:t>
      </w:r>
      <w:r w:rsidRPr="004B0F93">
        <w:tab/>
        <w:t xml:space="preserve">panee merkille, että virastolla on sisäisiä sääntöjä, joiden mukaan henkilöstön jäsenten (ja koulutustoimintaan osallistuvien) on lyhyillä välimatkoilla käytettävä muita matkustusmuotoja kuin lentämistä, kuten junia tai linja-autoja; panee tyytyväisenä </w:t>
      </w:r>
      <w:r w:rsidRPr="004B0F93">
        <w:lastRenderedPageBreak/>
        <w:t>merkille, että virasto on vuodesta 2022 lähtien tarjonnut korvauksia henkilöstölleen julkisen liikenteen käytöstä aiheutuneista kustannuksista; panee lisäksi merkille, että useat aiemmin paikan päällä järjestetyt asiantuntijaryhmien kokoukset järjestetään nykyään verkossa; pitää valitettavana sitä, että virastolla ei ole käytössä järjestelmää, jolla seurattaisiin objektiivisesti ja yksityiskohtaisesti hyötyjen ja säästöjen kehitystä vuodesta toiseen, ja kehottaa virastoa perustamaan tällaisen järjestelmän;</w:t>
      </w:r>
    </w:p>
    <w:p w:rsidR="005938BA" w:rsidRPr="004B0F93" w:rsidRDefault="005938BA" w:rsidP="00F678F2">
      <w:pPr>
        <w:widowControl/>
        <w:spacing w:after="240"/>
        <w:ind w:left="567" w:hanging="567"/>
        <w:rPr>
          <w:szCs w:val="24"/>
        </w:rPr>
      </w:pPr>
      <w:r w:rsidRPr="004B0F93">
        <w:t>13.</w:t>
      </w:r>
      <w:r w:rsidRPr="004B0F93">
        <w:tab/>
        <w:t>panee tilintarkastustuomioistuimen kertomuksesta merkille, että virastolla ei ole toimintasuunnitelmaa toimintojensa energiatehokkuuden ja ilmastoneutraaliuden parantamiseksi; pitää valitettavana, että virasto ei ole vielä aloittanut ympäristöasioiden hallinta- ja auditointijärjestelmän (EMAS) mukaista sertifiointimenettelyä; panee kuitenkin merkille, että virasto mainitsi uutta pääkonttorirakennustaan koskevissa vaatimuksissa, että se on hankkimassa EMAS-sertifioinnin lähitulevaisuudessa; panee samassa yhteydessä merkille, että virasto noudattaa komission ohjetta, jonka mukaan suurimmassa osassa hankintamenettelyistä on käytettävä myös ympäristönäkökohtiin liittyviä hankintasopimuksen tekoperusteita; kehottaa virastoa seuraamaan muiden virastojen esimerkkejä vihreiden hankintojen alalla;</w:t>
      </w:r>
    </w:p>
    <w:p w:rsidR="005938BA" w:rsidRPr="004B0F93" w:rsidRDefault="005938BA" w:rsidP="00F678F2">
      <w:pPr>
        <w:keepNext/>
        <w:widowControl/>
        <w:spacing w:after="240"/>
        <w:ind w:left="567" w:hanging="567"/>
        <w:rPr>
          <w:b/>
          <w:i/>
          <w:szCs w:val="24"/>
        </w:rPr>
      </w:pPr>
      <w:r w:rsidRPr="004B0F93">
        <w:rPr>
          <w:b/>
          <w:i/>
        </w:rPr>
        <w:t>Henkilöstöpolitiikka</w:t>
      </w:r>
    </w:p>
    <w:p w:rsidR="005938BA" w:rsidRPr="004B0F93" w:rsidRDefault="005938BA" w:rsidP="00F678F2">
      <w:pPr>
        <w:widowControl/>
        <w:spacing w:after="240"/>
        <w:ind w:left="567" w:hanging="567"/>
        <w:rPr>
          <w:szCs w:val="24"/>
        </w:rPr>
      </w:pPr>
      <w:r w:rsidRPr="004B0F93">
        <w:t>14.</w:t>
      </w:r>
      <w:r w:rsidRPr="004B0F93">
        <w:tab/>
        <w:t>panee merkille, että 31. joulukuuta 2022 henkilöstötaulukosta oli täytettynä 79 prosenttia ja että unionin talousarviossa hyväksytyistä 33 väliaikaisesta toimesta 26 oli täytettynä (sama määrä hyväksyttyjä toimia kuin vuonna 2021); panee merkille, että virastolle työskenteli vuonna 2022 lisäksi 59 sopimussuhteista toimihenkilöä (joista 20 toimi tavanomaisissa tehtävissä ja 39 ulkoisesti rahoitetuissa valmiuksien kehittämisen hankkeissa) ja kuusi lähetettyä kansallista asiantuntijaa; panee lisäksi merkille, että 31. joulukuuta 2022 palveluksessa oli 24 tilapäistä työntekijää, joiden tehtävät liittyivät ydintoimintoihin, kuten sähköinen oppiminen, tieto- ja viestintätekniikka sekä oikeudellinen ja johdon tuki;</w:t>
      </w:r>
    </w:p>
    <w:p w:rsidR="005938BA" w:rsidRPr="004B0F93" w:rsidRDefault="005938BA" w:rsidP="00F678F2">
      <w:pPr>
        <w:widowControl/>
        <w:spacing w:after="240"/>
        <w:ind w:left="567" w:hanging="567"/>
        <w:rPr>
          <w:szCs w:val="24"/>
        </w:rPr>
      </w:pPr>
      <w:r w:rsidRPr="004B0F93">
        <w:t>15.</w:t>
      </w:r>
      <w:r w:rsidRPr="004B0F93">
        <w:tab/>
        <w:t>panee merkille, että työntekijöiden vaihtuvuus oli vuonna 2022 edelleen suhteellisen suurta ja että sillä oli merkittäviä vaikutuksia virastoon; panee tässä yhteydessä merkille, että vuonna 2022 virastosta irtisanoutui neljä henkilöä uusien työtilaisuuksien vuoksi viraston sisällä ja sen ulkopuolella, kolme henkilöä jäi eläkkeelle ja 31. joulukuuta 2022 neljä henkilöstön jäsentä oli palkattomalla vapaalla;</w:t>
      </w:r>
    </w:p>
    <w:p w:rsidR="005938BA" w:rsidRPr="004B0F93" w:rsidRDefault="005938BA" w:rsidP="00F678F2">
      <w:pPr>
        <w:widowControl/>
        <w:spacing w:after="240"/>
        <w:ind w:left="567" w:hanging="567"/>
        <w:rPr>
          <w:szCs w:val="24"/>
        </w:rPr>
      </w:pPr>
      <w:r w:rsidRPr="004B0F93">
        <w:t>16.</w:t>
      </w:r>
      <w:r w:rsidRPr="004B0F93">
        <w:tab/>
        <w:t xml:space="preserve">toistaa tukensa viraston henkilöstömäärän lisäämiselle oikeassa suhteessa viraston nykyisen toimeksiannon tehtäviin ja tavoitteisiin nähden; panee viraston seurantakertomuksesta (CEPOL Action Plan in </w:t>
      </w:r>
      <w:proofErr w:type="spellStart"/>
      <w:r w:rsidRPr="004B0F93">
        <w:t>response</w:t>
      </w:r>
      <w:proofErr w:type="spellEnd"/>
      <w:r w:rsidRPr="004B0F93">
        <w:t xml:space="preserve"> to </w:t>
      </w:r>
      <w:proofErr w:type="spellStart"/>
      <w:r w:rsidRPr="004B0F93">
        <w:t>the</w:t>
      </w:r>
      <w:proofErr w:type="spellEnd"/>
      <w:r w:rsidRPr="004B0F93">
        <w:t xml:space="preserve"> EP </w:t>
      </w:r>
      <w:proofErr w:type="spellStart"/>
      <w:r w:rsidRPr="004B0F93">
        <w:t>discharge</w:t>
      </w:r>
      <w:proofErr w:type="spellEnd"/>
      <w:r w:rsidRPr="004B0F93">
        <w:t xml:space="preserve"> </w:t>
      </w:r>
      <w:proofErr w:type="spellStart"/>
      <w:r w:rsidRPr="004B0F93">
        <w:t>decision</w:t>
      </w:r>
      <w:proofErr w:type="spellEnd"/>
      <w:r w:rsidRPr="004B0F93">
        <w:t xml:space="preserve"> for </w:t>
      </w:r>
      <w:proofErr w:type="spellStart"/>
      <w:r w:rsidRPr="004B0F93">
        <w:t>financial</w:t>
      </w:r>
      <w:proofErr w:type="spellEnd"/>
      <w:r w:rsidRPr="004B0F93">
        <w:t xml:space="preserve"> </w:t>
      </w:r>
      <w:proofErr w:type="spellStart"/>
      <w:r w:rsidRPr="004B0F93">
        <w:t>year</w:t>
      </w:r>
      <w:proofErr w:type="spellEnd"/>
      <w:r w:rsidRPr="004B0F93">
        <w:t xml:space="preserve"> 2021) tyytyväisenä merkille, että viraston pääjohtaja on tulevien resurssipyyntöjen tueksi perustanut työryhmän kirjaamaan ja perustelemaan järjestelmällisesti vuosien 2023–2027 uuteen strategiaan liittyvät lisärahoituksen ja </w:t>
      </w:r>
      <w:r w:rsidRPr="004B0F93">
        <w:noBreakHyphen/>
        <w:t>henkilöstöresurssien tarpeet;</w:t>
      </w:r>
    </w:p>
    <w:p w:rsidR="005938BA" w:rsidRPr="004B0F93" w:rsidRDefault="005938BA" w:rsidP="00F678F2">
      <w:pPr>
        <w:widowControl/>
        <w:spacing w:after="240"/>
        <w:ind w:left="567" w:hanging="567"/>
        <w:rPr>
          <w:szCs w:val="24"/>
        </w:rPr>
      </w:pPr>
      <w:r w:rsidRPr="004B0F93">
        <w:t>17.</w:t>
      </w:r>
      <w:r w:rsidRPr="004B0F93">
        <w:tab/>
        <w:t xml:space="preserve">panee merkille, että henkilöstön vaihtuvuusaste pysyi korkeana (11,8 prosenttia) vuonna 2022 ja sillä oli merkittävä vaikutus organisaatioon; panee viraston seurantakertomuksesta merkille, että vaihtuvuusaste ei ole viraston hallinnassa, koska sen suurimpana aiheuttajana ovat alhainen maakohtainen korjauskerroin ja suhteellisen alhaisen palkkaluokan toimet viraston keskeisissä tukitoiminnoissa; panee merkille, että vuonna 2022 virasto toteutti edelleen henkilöstön pysymistä ja toiminnan jatkuvuutta koskevia toimenpiteitä ja käytti useita tilapäisiä työntekijöitä ja kansallisia asiantuntijoita täyttämään henkilöstövajetta, kunnes henkilöstösääntöjen alaisen </w:t>
      </w:r>
      <w:r w:rsidRPr="004B0F93">
        <w:lastRenderedPageBreak/>
        <w:t xml:space="preserve">henkilöstön </w:t>
      </w:r>
      <w:proofErr w:type="spellStart"/>
      <w:r w:rsidRPr="004B0F93">
        <w:t>palvelukseenotto</w:t>
      </w:r>
      <w:proofErr w:type="spellEnd"/>
      <w:r w:rsidRPr="004B0F93">
        <w:t xml:space="preserve"> saatiin päätökseen, ja henkilöstön ja tehtävien luokittelua ja sosiaalisia järjestelyjä (esim. henkilöstön lasten koulunkäynti), etätyötä ja joustavaa työaikaa koskevia järjestelyjä jatkettiin; toistaa kehotuksensa komissiolle tarkistaa korjauskerrointa, jotta sillä voitaisiin ottaa paremmin huomioon viraston isäntäkaupunkiin muuttamisesta ja siellä elämisestä johtuvat taloudelliset realiteetit;</w:t>
      </w:r>
    </w:p>
    <w:p w:rsidR="005938BA" w:rsidRPr="004B0F93" w:rsidRDefault="005938BA" w:rsidP="00F678F2">
      <w:pPr>
        <w:widowControl/>
        <w:spacing w:after="240"/>
        <w:ind w:left="567" w:hanging="567"/>
        <w:rPr>
          <w:szCs w:val="24"/>
        </w:rPr>
      </w:pPr>
      <w:r w:rsidRPr="004B0F93">
        <w:t>18.</w:t>
      </w:r>
      <w:r w:rsidRPr="004B0F93">
        <w:tab/>
        <w:t>panee SYSPER-välineen osalta tyytyväisenä merkille, että virasto on ottanut käyttöön esimerkiksi sen moduulit REPORTING, ETHICS ja STAGE ja on ottamassa käyttöön muita SYSPER-moduuleja (kuten EVAL/PROMO);</w:t>
      </w:r>
    </w:p>
    <w:p w:rsidR="005938BA" w:rsidRPr="004B0F93" w:rsidRDefault="005938BA" w:rsidP="00F678F2">
      <w:pPr>
        <w:pStyle w:val="ListParagraph"/>
        <w:spacing w:after="240"/>
        <w:ind w:left="567" w:hanging="567"/>
        <w:contextualSpacing w:val="0"/>
        <w:jc w:val="left"/>
      </w:pPr>
      <w:r w:rsidRPr="004B0F93">
        <w:t>19.</w:t>
      </w:r>
      <w:r w:rsidRPr="004B0F93">
        <w:tab/>
        <w:t>panee tyytyväisenä merkille viraston vuonna 2022 ilmoittaman sukupuolijakauman, jonka mukaan johtotehtävissä oli kolme miestä ja kolme naista (yksi ylemmän johdon ja viisi keskijohdon tehtävissä), hallintoneuvostossa oli 15 miestä (56 prosenttia) ja 12 naista (44 prosenttia) ja koko henkilöstössä oli 37 miestä (44 prosenttia) ja 48 naista (56 prosenttia); antaa virastolle tunnustusta vuonna 2022 saavutetusta sukupuolten tasapuolisesta edustuksesta;</w:t>
      </w:r>
    </w:p>
    <w:p w:rsidR="005938BA" w:rsidRPr="004B0F93" w:rsidRDefault="005938BA" w:rsidP="00F678F2">
      <w:pPr>
        <w:pStyle w:val="NormalHanging12a"/>
        <w:widowControl/>
      </w:pPr>
      <w:r w:rsidRPr="004B0F93">
        <w:t>20.</w:t>
      </w:r>
      <w:r w:rsidRPr="004B0F93">
        <w:tab/>
        <w:t xml:space="preserve">panee viraston </w:t>
      </w:r>
      <w:proofErr w:type="spellStart"/>
      <w:r w:rsidRPr="004B0F93">
        <w:t>konsolidoidusta</w:t>
      </w:r>
      <w:proofErr w:type="spellEnd"/>
      <w:r w:rsidRPr="004B0F93">
        <w:t xml:space="preserve"> vuotuisesta toimintakertomuksesta 2022 merkille, että viraston henkilöstössä oli edustettuina 17 jäsenvaltiota vuonna 2022; panee merkille, että 39 prosenttia viraston henkilöstöstä on sen jäsenvaltion kansalaisia, jossa virasto sijaitsee; muistuttaa maantieteellisen tasapainon tärkeydestä ja kehottaa virastoa toteuttamaan tarvittavia toimenpiteitä tasapainoisen ja oikeudenmukaisen maantieteellisen edustuksen saavuttamiseksi;</w:t>
      </w:r>
    </w:p>
    <w:p w:rsidR="005938BA" w:rsidRPr="004B0F93" w:rsidRDefault="005938BA" w:rsidP="00F678F2">
      <w:pPr>
        <w:pStyle w:val="ListParagraph"/>
        <w:spacing w:after="240"/>
        <w:ind w:left="567" w:hanging="567"/>
        <w:contextualSpacing w:val="0"/>
        <w:jc w:val="left"/>
      </w:pPr>
      <w:r w:rsidRPr="004B0F93">
        <w:t>21.</w:t>
      </w:r>
      <w:r w:rsidRPr="004B0F93">
        <w:tab/>
        <w:t>panee tyytyväisenä merkille, että virasto hyväksyi vuonna 2022 uuden päätöksen, joka perustuu tavoitelähtöisen ja tuloshakuisen johtamisen periaatteisiin sekä luottamuksen kulttuuriin; panee merkille, että kyseisellä päätöksellä lisättiin joustavuutta henkilöstölle sekä työajan että etätyöskentelyn osalta myöntämällä oikeus olla tavoittamattomissa ja ilmoittaa selkeästi aika, jolloin henkilö on tavoittamattomissa, millä on tarkoitus edistää parempaa työ- ja yksityiselämän tasapainoa ja suojella henkilöstöä digitaalista työhön liittyvää ylikuormitusta vastaan;</w:t>
      </w:r>
    </w:p>
    <w:p w:rsidR="005938BA" w:rsidRPr="004B0F93" w:rsidRDefault="005938BA" w:rsidP="00F678F2">
      <w:pPr>
        <w:widowControl/>
        <w:spacing w:after="240"/>
        <w:ind w:left="567" w:hanging="567"/>
        <w:rPr>
          <w:color w:val="000000"/>
          <w:szCs w:val="24"/>
        </w:rPr>
      </w:pPr>
      <w:r w:rsidRPr="004B0F93">
        <w:rPr>
          <w:color w:val="000000"/>
        </w:rPr>
        <w:t>22.</w:t>
      </w:r>
      <w:r w:rsidRPr="004B0F93">
        <w:rPr>
          <w:color w:val="000000"/>
        </w:rPr>
        <w:tab/>
        <w:t>panee viraston seurantakertomuksen hankintoihin liittyvien menettelyjen parissa työskentelevää henkilöstöä koskevan huomautuksen osalta tyytyväisenä merkille, että henkilöstötaulukkoon vuodelle 2023 on sisällytetty asianomaisen AST-5-toimen (otettu toimeen palkkaluokassa AST-3) muuttaminen AD-5-toimeksi;</w:t>
      </w:r>
    </w:p>
    <w:p w:rsidR="005938BA" w:rsidRPr="004B0F93" w:rsidRDefault="005938BA" w:rsidP="00F678F2">
      <w:pPr>
        <w:keepNext/>
        <w:widowControl/>
        <w:spacing w:after="240"/>
        <w:ind w:left="567" w:hanging="567"/>
        <w:rPr>
          <w:rFonts w:eastAsiaTheme="minorHAnsi"/>
          <w:b/>
          <w:i/>
          <w:szCs w:val="24"/>
        </w:rPr>
      </w:pPr>
      <w:r w:rsidRPr="004B0F93">
        <w:rPr>
          <w:b/>
          <w:i/>
        </w:rPr>
        <w:t>Hankinnat</w:t>
      </w:r>
    </w:p>
    <w:p w:rsidR="005938BA" w:rsidRPr="004B0F93" w:rsidRDefault="005938BA" w:rsidP="00F678F2">
      <w:pPr>
        <w:pStyle w:val="NormalHanging12a"/>
        <w:widowControl/>
      </w:pPr>
      <w:r w:rsidRPr="004B0F93">
        <w:t>23.</w:t>
      </w:r>
      <w:r w:rsidRPr="004B0F93">
        <w:tab/>
        <w:t xml:space="preserve">panee tilintarkastustuomioistuimen kertomuksesta huolestuneena merkille, että varainhoitovuoden 2020 jälkeen tilintarkastustuomioistuin on esittänyt virastolle joka vuosi uusia hankintoihin liittyvä huomautuksia; korostaa tilintarkastustuomioistuimen kertomuksesta huomautusta, joka on perustana tilintarkastustuomioistuimen varauman sisältävälle laillisuutta ja säännönmukaisuutta koskevalle lausunnolle 359:stä vuonna 2022 suoritetusta yhteensä 4,1 miljoonan euron suuruisista maksuista, jotka perustuivat kahteen sellaisen henkilöstön jäsenen, jolla ei ollut valtuuksia tehdä oikeudellisia sitoumuksia viraston puolesta, tai sellaisen tilapäisen työntekijän, jolla ei tilapäisen työsuhteensa vuoksi voinut laillisesti olla tällaisia valtuuksia, lähettämän tilauslomakkeen (palvelupyynnön) välityksellä toteutettuun puitesopimukseen; panee merkille viraston tilintarkastustuomioistuimen huomautukseen antamasta vastauksesta, että vaikka oikeudelliset sitoumukset eivät olleet päteviä, palvelut tilattiin viraston tarpeiden mukaisesti, ja tarkastukset toteutettiin tinkimättä sen varmistamiseksi, että </w:t>
      </w:r>
      <w:r w:rsidRPr="004B0F93">
        <w:lastRenderedPageBreak/>
        <w:t>varat käytettiin aiottuun tarkoitukseen eikä tosiasiallisia vahinkoja aiheutunut; panee viraston parlamentin kirjallisiin kysymyksiin antamista vastauksista merkille, että asianomaisiin sopimuksiin ei liittynyt muita sääntöjenvastaisuuksia ja että virasto on ryhtynyt toimenpiteisiin ottaakseen tilintarkastustuomioistuimen huomautuksen huomioon muuttamalla viraston sisäisiä menettelyjä sen varmistamiseksi, että matkatoimistolle välittää tilauksia vain henkilöstösääntöjen alaiset henkilöstön jäsenet, jotka valtuutettu tulojen ja menojen hyväksyjä on valtuuttanut tekemään oikeudellisia sitoumuksia; panee merkille viraston vastauksen, jonka mukaan virasto ryhtyi välittömästi korjaaviin toimenpiteisiin jopa ennen tarkastusmenettelyn loppumista; kehottaa virastoa ottamaan nämä havainnot kaikilta osin huomioon ja parantamaan hankintamenettelyjään vastaavien tilanteiden välttämiseksi tulevina vuosina;</w:t>
      </w:r>
    </w:p>
    <w:p w:rsidR="005938BA" w:rsidRPr="004B0F93" w:rsidRDefault="005938BA" w:rsidP="00F678F2">
      <w:pPr>
        <w:pStyle w:val="NormalHanging12a"/>
        <w:widowControl/>
      </w:pPr>
      <w:r w:rsidRPr="004B0F93">
        <w:t>24.</w:t>
      </w:r>
      <w:r w:rsidRPr="004B0F93">
        <w:tab/>
        <w:t xml:space="preserve">korostaa lisäksi tilintarkastustuomioistuimen kertomuksen varauman sisältävää lausuntoa, jonka mukaan kaikkia (koulutuksen yhteydessä suoritettuja toimituksellisia palveluja koskevan) puitesopimuksen toteutuksesta vuonna 2022 maksettuja määriä (152 655 euroa) ei voitu täsmäyttää toimitettujen palvelujen kanssa ja jotkin tehtävätyypit eivät vastanneet sen työn luonnetta, joka oli tosiasiassa tehty, ja joidenkin tehtävätyyppien osalta työmäärä, josta oli maksettu, ei vastannut tosiasiassa tehtyä työmäärää, mikä teki näistä maksetuista määristä sääntöjenvastaisia; panee merkille viraston selityksen, jonka mukaan tilattujen ja toimitettujen sivujen määrä ei täysin vastannut maksettujen sivujen määrää, mikä johtui työn luonteesta, joka oli sisällön ja opetussisällön kehittämistä, jota ei aina voitu mitata tarkasti etukäteen; panee lisäksi merkille, että viraston vastauksen mukaan tuotokset tarkastettiin ja että tehtäväryhmät perustuivat julkaisutoimiston kanssa aiemmin tehdyssä sopimuksessa lueteltuihin tehtäviin; kehottaa virastoa ottamaan käyttöön toimenpiteitä, joiden avulla virasto voi </w:t>
      </w:r>
      <w:proofErr w:type="spellStart"/>
      <w:r w:rsidRPr="004B0F93">
        <w:t>kvantifioida</w:t>
      </w:r>
      <w:proofErr w:type="spellEnd"/>
      <w:r w:rsidRPr="004B0F93">
        <w:t xml:space="preserve"> tuotokset paremmin etukäteen ja välttää tällaiset tilanteet tulevaisuudessa;</w:t>
      </w:r>
    </w:p>
    <w:p w:rsidR="005938BA" w:rsidRPr="004B0F93" w:rsidRDefault="005938BA" w:rsidP="00F678F2">
      <w:pPr>
        <w:widowControl/>
        <w:spacing w:after="240"/>
        <w:ind w:left="567" w:hanging="567"/>
        <w:rPr>
          <w:color w:val="000000"/>
          <w:szCs w:val="24"/>
        </w:rPr>
      </w:pPr>
      <w:r w:rsidRPr="004B0F93">
        <w:rPr>
          <w:color w:val="000000"/>
        </w:rPr>
        <w:t>25.</w:t>
      </w:r>
      <w:r w:rsidRPr="004B0F93">
        <w:rPr>
          <w:color w:val="000000"/>
        </w:rPr>
        <w:tab/>
        <w:t>panee tilintarkastustuomioistuimen kertomuksesta varainhoitovuodelta 2021 merkille, että avoimeksi jäi yksi huomautus hankintamenettelyn arviointiprosessista, jossa virasto painotti perustetta, jota ei ollut esitetty selkeästi tarjouseritelmissä, mikä aiheutti vaaran tarjoajien eriarvoisesta kohtelusta; ottaa huomioon, että sopimus oli voimassa syyskuuhun 2023 asti ja että virastolla ei ollut aikomusta uusia sopimusta 12 kuukauden ajaksi tilintarkastustuomioistuimen arvioidessa huomautuksen käsittelyn edistymistä;</w:t>
      </w:r>
    </w:p>
    <w:p w:rsidR="005938BA" w:rsidRPr="004B0F93" w:rsidRDefault="005938BA" w:rsidP="00F678F2">
      <w:pPr>
        <w:widowControl/>
        <w:spacing w:after="240"/>
        <w:ind w:left="567" w:hanging="567"/>
        <w:rPr>
          <w:color w:val="000000"/>
          <w:szCs w:val="24"/>
        </w:rPr>
      </w:pPr>
      <w:r w:rsidRPr="004B0F93">
        <w:rPr>
          <w:color w:val="000000"/>
        </w:rPr>
        <w:t>26.</w:t>
      </w:r>
      <w:r w:rsidRPr="004B0F93">
        <w:rPr>
          <w:color w:val="000000"/>
        </w:rPr>
        <w:tab/>
        <w:t>antaa virastolle tunnustusta lokakuusta 2022 alkaen kaikenlaisissa hankintamenettelyissä käytetyn julkisten hankintojen hallinnointivälineen käyttöönotosta; kehottaa virastoa nopeuttamaan sellaisten välineiden hyväksymistä ja täytäntöönpanoa, jotka mahdollistavat sähköisen allekirjoituksen käytön sekä sisäisten että ulkoisten vastapuolten hyväksyntöjen ja allekirjoitusten hankkimiseen hankinta- ja sopimusasiakirjoihin;</w:t>
      </w:r>
    </w:p>
    <w:p w:rsidR="005938BA" w:rsidRPr="004B0F93" w:rsidRDefault="005938BA" w:rsidP="00F678F2">
      <w:pPr>
        <w:pStyle w:val="ListParagraph"/>
        <w:keepNext/>
        <w:spacing w:after="240"/>
        <w:ind w:left="567" w:hanging="567"/>
        <w:contextualSpacing w:val="0"/>
        <w:jc w:val="left"/>
        <w:rPr>
          <w:rFonts w:eastAsia="Times New Roman"/>
        </w:rPr>
      </w:pPr>
      <w:r w:rsidRPr="004B0F93">
        <w:rPr>
          <w:b/>
          <w:i/>
        </w:rPr>
        <w:t>Eturistiriitojen ennaltaehkäisy ja hallinta sekä avoimuus</w:t>
      </w:r>
    </w:p>
    <w:p w:rsidR="005938BA" w:rsidRPr="004B0F93" w:rsidRDefault="005938BA" w:rsidP="00F678F2">
      <w:pPr>
        <w:widowControl/>
        <w:spacing w:after="240"/>
        <w:ind w:left="567" w:hanging="567"/>
        <w:rPr>
          <w:szCs w:val="24"/>
        </w:rPr>
      </w:pPr>
      <w:r w:rsidRPr="004B0F93">
        <w:t>27.</w:t>
      </w:r>
      <w:r w:rsidRPr="004B0F93">
        <w:tab/>
        <w:t xml:space="preserve">panee tyytyväisenä merkille viraston nykyiset toimet ja jatkuvat pyrkimykset avoimuuden sekä eturistiriitojen ennaltaehkäisyn ja hallinnan varmistamiseksi; panee tyytyväisenä merkille, että hallintoneuvoston jäsenten ja ylimmän johdon sidonnaisuuksia koskevat ilmoitukset ja ansioluettelot julkaistaan viraston verkkosivustolla ja että ilmoitusten muoto mahdollistaa luettelon laatimisen viraston toimintaan mahdollisesti liittyvistä ammatillisista, taloudellisista, henkilökohtaisista ja muista sidonnaisuuksista; panee viraston seurantakertomuksesta merkille sen vastuuvapauden myöntävän viranomaisen huomautuksen osalta, jonka mukaan palkattujen asiantuntijoiden sidonnaisuuksia koskevia ilmoituksia ja </w:t>
      </w:r>
      <w:r w:rsidRPr="004B0F93">
        <w:lastRenderedPageBreak/>
        <w:t>luottamuksellisuutta koskevia vakuutuksia ei julkisteta viraston verkkosivustolla, että viraston arvion mukaan asiantuntijoiden hakemusten ja ansioluettelojen julkaiseminen vähentäisi tietosuojanäkökohtien vuoksi merkittävästi asiantuntijahakemusten määrä, koska suurimmalla osalla virastolle töitä tekevistä asiantuntijoista on lainvalvontatausta;</w:t>
      </w:r>
    </w:p>
    <w:p w:rsidR="005938BA" w:rsidRPr="004B0F93" w:rsidRDefault="005938BA" w:rsidP="00F678F2">
      <w:pPr>
        <w:widowControl/>
        <w:spacing w:after="240"/>
        <w:ind w:left="567" w:hanging="567"/>
        <w:rPr>
          <w:szCs w:val="24"/>
        </w:rPr>
      </w:pPr>
      <w:r w:rsidRPr="004B0F93">
        <w:t>28.</w:t>
      </w:r>
      <w:r w:rsidRPr="004B0F93">
        <w:tab/>
        <w:t>panee viraston seurantakertomuksesta tyytyväisenä merkille, että virasto on vuonna 2022 käyttöön otetun uuden verkkosivustonsa myötä parantanut julkista asiakirjahakemistoaan ja että tekniset muutokset mahdollistavat kansalaisille viraston virallisten asiakirjojen haun luokan perusteella tai asiakirjan pyytämisen verkkolomakkeella, kun suoraa tutustumisoikeutta julkisen asiakirjahakemiston kautta ei myönnetä; panee merkille, että vuonna 2022 virasto vastaanotti viisi oikeutta tutustua asiakirjoihin koskevaa pyyntöä ja käsitteli 920 kansalaisten julkista kyselyä;</w:t>
      </w:r>
    </w:p>
    <w:p w:rsidR="005938BA" w:rsidRPr="004B0F93" w:rsidRDefault="005938BA" w:rsidP="00F678F2">
      <w:pPr>
        <w:keepNext/>
        <w:widowControl/>
        <w:spacing w:after="240"/>
        <w:ind w:left="567" w:hanging="567"/>
        <w:rPr>
          <w:b/>
          <w:i/>
          <w:szCs w:val="24"/>
        </w:rPr>
      </w:pPr>
      <w:r w:rsidRPr="004B0F93">
        <w:rPr>
          <w:b/>
          <w:i/>
        </w:rPr>
        <w:t>Sisäinen valvonta</w:t>
      </w:r>
    </w:p>
    <w:p w:rsidR="005938BA" w:rsidRPr="004B0F93" w:rsidRDefault="005938BA" w:rsidP="00F678F2">
      <w:pPr>
        <w:widowControl/>
        <w:spacing w:after="240"/>
        <w:ind w:left="567" w:hanging="567"/>
        <w:rPr>
          <w:szCs w:val="24"/>
        </w:rPr>
      </w:pPr>
      <w:r w:rsidRPr="004B0F93">
        <w:t>29.</w:t>
      </w:r>
      <w:r w:rsidRPr="004B0F93">
        <w:tab/>
        <w:t>panee viraston seurantakertomuksesta merkille, että virasto on useiden viraston sisäisen valvonnan puutteiden ja erityisesti hankintamenettelyihin ja talousarviositoumusten hallinnointiin liittyvien puutteiden osalta ryhtynyt toimenpiteisiin, kuten koulutusten ja työpajojen järjestämiseen, tietoisuuden lisäämiseksi ja hallinnollisten virheiden vähentämiseksi; panee tässä yhteydessä tilintarkastustuomioistuimen kertomuksesta merkille, että sen näitä puutteita koskevat huomautukset (varainhoitovuoden 2021 osalta) on saatu päätökseen;</w:t>
      </w:r>
    </w:p>
    <w:p w:rsidR="005938BA" w:rsidRPr="004B0F93" w:rsidRDefault="005938BA" w:rsidP="00F678F2">
      <w:pPr>
        <w:widowControl/>
        <w:spacing w:after="240"/>
        <w:ind w:left="567" w:hanging="567"/>
        <w:rPr>
          <w:szCs w:val="24"/>
        </w:rPr>
      </w:pPr>
      <w:r w:rsidRPr="004B0F93">
        <w:t>30.</w:t>
      </w:r>
      <w:r w:rsidRPr="004B0F93">
        <w:tab/>
        <w:t>panee merkille viraston vuoden 2022 arvioinnin sen sisäisen valvonnan järjestelmästä ja arvioinnin johtopäätöksen, jonka mukaan järjestelmä on vaikuttava, ajan tasalla ja hyvin toimiva, ja että siihen tarvitaan vain vähäisiä parannuksia; kehottaa virastoa käsittelemään sisäisen valvonnan valvontatoimia ja tiedotusta ja viestintää koskevissa osatekijöissä havaitut puutteet ja tiedottamaan vastuuvapauden myöntävälle viranomaiselle asian edistymisestä; panee viraston seurantakertomuksesta tyytyväisenä merkille, että virasto on seurantatoimia koskevan osatekijän periaatteen 17 ”puutteiden arviointi ja niistä tiedottaminen” arvioinnissa ottanut huomioon tilintarkastustuomioistuimen aiempien vuosien aiheeseen liittyvät huomautukset; kehottaa virastoa jatkamaan sisäisen tarkastuksen vuonna 2021 toteuttaman viraston henkilöstöhallinnon ja etiikan arvioinnin yhteydessä annettujen huomautusten käsittelyä;</w:t>
      </w:r>
    </w:p>
    <w:p w:rsidR="005938BA" w:rsidRPr="004B0F93" w:rsidRDefault="005938BA" w:rsidP="00F678F2">
      <w:pPr>
        <w:widowControl/>
        <w:spacing w:after="240"/>
        <w:ind w:left="567" w:hanging="567"/>
        <w:rPr>
          <w:szCs w:val="24"/>
        </w:rPr>
      </w:pPr>
      <w:r w:rsidRPr="004B0F93">
        <w:t>31.</w:t>
      </w:r>
      <w:r w:rsidRPr="004B0F93">
        <w:tab/>
        <w:t>panee merkille, että virastolla on menettely sellaisten poikkeuksien kirjaamista ja hyväksymistä varten, jotka analysoidaan erityisten ongelma-alueiden ja asianmukaisten korjaustoimenpiteiden tunnistamista varten; panee merkille, että vuoden 2022 poikkeuksia koskevassa kertomuksessa vahvistetaan, että viraston sisäisen valvonnan järjestelmä toimii hyvin ja että sääntöjenvastaiset tilanteet havaitaan ja niitä lievennetään korjaavilla ja ehkäisevillä toimilla; panee lisäksi merkille, että vuonna 2022 havaittiin yhteensä 46 poikkeusta (verrattuna 27 poikkeukseen vuonna), joiden arvo oli 51 697 euroa (verrattuna 257 825 euroon vuonna 2021) ja joista 13:lla oli yli 1 000 euron taloudellinen vaikutus (vaihtelu 1 053 eurosta ja 12 240 euroon);</w:t>
      </w:r>
    </w:p>
    <w:p w:rsidR="005938BA" w:rsidRPr="004B0F93" w:rsidRDefault="005938BA" w:rsidP="00F678F2">
      <w:pPr>
        <w:keepNext/>
        <w:widowControl/>
        <w:spacing w:after="240"/>
        <w:ind w:left="567" w:hanging="567"/>
        <w:rPr>
          <w:b/>
          <w:i/>
          <w:szCs w:val="24"/>
        </w:rPr>
      </w:pPr>
      <w:r w:rsidRPr="004B0F93">
        <w:rPr>
          <w:b/>
          <w:i/>
        </w:rPr>
        <w:t>Muita huomautuksia</w:t>
      </w:r>
    </w:p>
    <w:p w:rsidR="005938BA" w:rsidRPr="004B0F93" w:rsidRDefault="005938BA" w:rsidP="00F678F2">
      <w:pPr>
        <w:widowControl/>
        <w:spacing w:after="240"/>
        <w:ind w:left="567" w:hanging="567"/>
        <w:rPr>
          <w:szCs w:val="24"/>
        </w:rPr>
      </w:pPr>
      <w:r w:rsidRPr="004B0F93">
        <w:t>32.</w:t>
      </w:r>
      <w:r w:rsidRPr="004B0F93">
        <w:tab/>
        <w:t xml:space="preserve">panee viraston seurantakertomuksesta merkille, ettei virastolla ole riittävästi toimistotilaa ja tilaa operatiiviselle toiminnalle ja että Unkarin hallitus on sitoutunut varmistamaan jatkuvuuden ja tarjoamaan virastolle asianmukaiset tilat hyväksymällä päätöksen, jolla tarjotaan uutta päätoimipaikkaa varten vuokratilat (6 000 neliömetriä); </w:t>
      </w:r>
      <w:r w:rsidRPr="004B0F93">
        <w:lastRenderedPageBreak/>
        <w:t>panee lisäksi merkille, että muutto uusiin tiloihin saattaa tapahtua ennen vuoden 2024 loppua samaan aikaan uuden toimipaikkasopimuksen allekirjoittamisen kanssa;</w:t>
      </w:r>
    </w:p>
    <w:p w:rsidR="005938BA" w:rsidRPr="004B0F93" w:rsidRDefault="005938BA" w:rsidP="00F678F2">
      <w:pPr>
        <w:pStyle w:val="NormalHanging12a"/>
        <w:widowControl/>
      </w:pPr>
      <w:r w:rsidRPr="004B0F93">
        <w:t>33.</w:t>
      </w:r>
      <w:r w:rsidRPr="004B0F93">
        <w:tab/>
        <w:t xml:space="preserve">antaa virastolle tunnustusta sen pyrkimyksistä lisätä julkista näkyvyyttään ja näkyvyyttä verkossa; pitää tässä yhteydessä myönteisenä viraston vuonna 2022 käyttöön ottamaa uutta verkkosivustoa, jossa on keskeisiä parannuksia, kuten selkeämpi esitystapa ja rakenne, parannettu ulkoasu ja </w:t>
      </w:r>
      <w:proofErr w:type="spellStart"/>
      <w:r w:rsidRPr="004B0F93">
        <w:t>responsiivinen</w:t>
      </w:r>
      <w:proofErr w:type="spellEnd"/>
      <w:r w:rsidRPr="004B0F93">
        <w:t xml:space="preserve"> suunnittelu; panee lisäksi merkille, että viraston toiminta sosiaalisessa mediassa vuonna 2022 oli merkittävää ja koostui 1 590 sisällönlatauksesta, mikä tarkoittaa 54 prosentin lisäystä julkaisujen määrään edeltävään vuoteen verrattuna; panee tässä yhteydessä merkille, että viraston verkkosivustolla kirjattiin yli 200 000 käyntiä, mikä on osoitus nousevasta trendistä, ja että sen sosiaalisen median kannattajapohja koostuu 38 500 seuraajasta </w:t>
      </w:r>
      <w:proofErr w:type="spellStart"/>
      <w:r w:rsidRPr="004B0F93">
        <w:t>LinkedInissä</w:t>
      </w:r>
      <w:proofErr w:type="spellEnd"/>
      <w:r w:rsidRPr="004B0F93">
        <w:t>, X</w:t>
      </w:r>
      <w:r w:rsidR="008A04F4" w:rsidRPr="004B0F93">
        <w:t>:</w:t>
      </w:r>
      <w:r w:rsidRPr="004B0F93">
        <w:t>ssä (entinen Twitter) ja Facebookissa;</w:t>
      </w:r>
    </w:p>
    <w:p w:rsidR="005938BA" w:rsidRPr="004B0F93" w:rsidRDefault="005938BA" w:rsidP="00F678F2">
      <w:pPr>
        <w:pStyle w:val="NormalCenter12a"/>
        <w:widowControl/>
      </w:pPr>
      <w:r w:rsidRPr="004B0F93">
        <w:t>°</w:t>
      </w:r>
    </w:p>
    <w:p w:rsidR="005938BA" w:rsidRPr="004B0F93" w:rsidRDefault="005938BA" w:rsidP="00F678F2">
      <w:pPr>
        <w:pStyle w:val="NormalCenter12a"/>
        <w:widowControl/>
      </w:pPr>
      <w:r w:rsidRPr="004B0F93">
        <w:t>°</w:t>
      </w:r>
      <w:r w:rsidRPr="004B0F93">
        <w:tab/>
        <w:t>°</w:t>
      </w:r>
    </w:p>
    <w:p w:rsidR="005938BA" w:rsidRPr="001B7D88" w:rsidRDefault="005938BA" w:rsidP="00F678F2">
      <w:pPr>
        <w:pStyle w:val="NormalHanging12a"/>
        <w:widowControl/>
      </w:pPr>
      <w:r w:rsidRPr="004B0F93">
        <w:t>34.</w:t>
      </w:r>
      <w:r w:rsidRPr="004B0F93">
        <w:tab/>
        <w:t xml:space="preserve">viittaa vastuuvapauden myöntämistä koskevaan päätökseen liittyvien muiden, luonteeltaan yleisten huomautusten osalta erillisvirastojen toiminnan tuloksellisuudesta, varainhoidosta ja sen valvonnasta </w:t>
      </w:r>
      <w:r w:rsidR="00F678F2" w:rsidRPr="004B0F93">
        <w:t>11. huhtikuuta 2024 </w:t>
      </w:r>
      <w:r w:rsidRPr="004B0F93">
        <w:t>antamaansa päätöslauselmaan</w:t>
      </w:r>
      <w:r w:rsidRPr="004B0F93">
        <w:rPr>
          <w:rStyle w:val="FootnoteReference"/>
        </w:rPr>
        <w:footnoteReference w:id="12"/>
      </w:r>
      <w:r w:rsidRPr="004B0F93">
        <w:t>.</w:t>
      </w:r>
    </w:p>
    <w:sectPr w:rsidR="005938BA" w:rsidRPr="001B7D88" w:rsidSect="00F678F2">
      <w:headerReference w:type="even" r:id="rId11"/>
      <w:headerReference w:type="default" r:id="rId12"/>
      <w:footerReference w:type="even" r:id="rId13"/>
      <w:headerReference w:type="first" r:id="rId14"/>
      <w:footerReference w:type="first" r:id="rId15"/>
      <w:footnotePr>
        <w:numRestart w:val="eachPage"/>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1C43" w:rsidRPr="001B7D88" w:rsidRDefault="00671C43">
      <w:r w:rsidRPr="001B7D88">
        <w:separator/>
      </w:r>
    </w:p>
  </w:endnote>
  <w:endnote w:type="continuationSeparator" w:id="0">
    <w:p w:rsidR="00671C43" w:rsidRPr="001B7D88" w:rsidRDefault="00671C43">
      <w:r w:rsidRPr="001B7D8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38BA" w:rsidRPr="001B7D88" w:rsidRDefault="005938BA" w:rsidP="000A3FC9">
    <w:pPr>
      <w:pStyle w:val="EPFooter"/>
    </w:pPr>
    <w:r w:rsidRPr="001B7D88">
      <w:t>PE</w:t>
    </w:r>
    <w:r w:rsidRPr="001B7D88">
      <w:rPr>
        <w:rStyle w:val="HideTWBExt"/>
      </w:rPr>
      <w:t>&lt;NoPE&gt;</w:t>
    </w:r>
    <w:r w:rsidRPr="001B7D88">
      <w:t>753.510</w:t>
    </w:r>
    <w:r w:rsidRPr="001B7D88">
      <w:rPr>
        <w:rStyle w:val="HideTWBExt"/>
      </w:rPr>
      <w:t>&lt;/NoPE&gt;&lt;Version&gt;</w:t>
    </w:r>
    <w:r w:rsidRPr="001B7D88">
      <w:t>v02-00</w:t>
    </w:r>
    <w:r w:rsidRPr="001B7D88">
      <w:rPr>
        <w:rStyle w:val="HideTWBExt"/>
      </w:rPr>
      <w:t>&lt;/Version&gt;</w:t>
    </w:r>
    <w:r w:rsidRPr="001B7D88">
      <w:tab/>
    </w:r>
    <w:r w:rsidRPr="001B7D88">
      <w:fldChar w:fldCharType="begin"/>
    </w:r>
    <w:r w:rsidRPr="001B7D88">
      <w:instrText xml:space="preserve"> PAGE  \* MERGEFORMAT </w:instrText>
    </w:r>
    <w:r w:rsidRPr="001B7D88">
      <w:fldChar w:fldCharType="separate"/>
    </w:r>
    <w:r w:rsidRPr="001B7D88">
      <w:rPr>
        <w:noProof/>
      </w:rPr>
      <w:t>12</w:t>
    </w:r>
    <w:r w:rsidRPr="001B7D88">
      <w:fldChar w:fldCharType="end"/>
    </w:r>
    <w:r w:rsidRPr="001B7D88">
      <w:t>/</w:t>
    </w:r>
    <w:fldSimple w:instr=" NUMPAGES  \* MERGEFORMAT ">
      <w:r w:rsidRPr="001B7D88">
        <w:rPr>
          <w:noProof/>
        </w:rPr>
        <w:t>12</w:t>
      </w:r>
    </w:fldSimple>
    <w:r w:rsidRPr="001B7D88">
      <w:tab/>
    </w:r>
    <w:r w:rsidRPr="001B7D88">
      <w:rPr>
        <w:rStyle w:val="HideTWBExt"/>
      </w:rPr>
      <w:t>&lt;PathFdR&gt;</w:t>
    </w:r>
    <w:r w:rsidRPr="001B7D88">
      <w:t>RR\1298754FI.docx</w:t>
    </w:r>
    <w:r w:rsidRPr="001B7D88">
      <w:rPr>
        <w:rStyle w:val="HideTWBExt"/>
      </w:rPr>
      <w:t>&lt;/PathFdR&gt;</w:t>
    </w:r>
  </w:p>
  <w:p w:rsidR="005938BA" w:rsidRPr="001B7D88" w:rsidRDefault="005938BA" w:rsidP="000A3FC9">
    <w:pPr>
      <w:pStyle w:val="EPFooter2"/>
    </w:pPr>
    <w:r w:rsidRPr="001B7D88">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38BA" w:rsidRPr="001B7D88" w:rsidRDefault="005938BA" w:rsidP="000A3FC9">
    <w:pPr>
      <w:pStyle w:val="EPFooter"/>
    </w:pPr>
    <w:r w:rsidRPr="001B7D88">
      <w:rPr>
        <w:rStyle w:val="HideTWBExt"/>
      </w:rPr>
      <w:t>&lt;PathFdR&gt;</w:t>
    </w:r>
    <w:r w:rsidRPr="001B7D88">
      <w:t>RR\1298754FI.docx</w:t>
    </w:r>
    <w:r w:rsidRPr="001B7D88">
      <w:rPr>
        <w:rStyle w:val="HideTWBExt"/>
      </w:rPr>
      <w:t>&lt;/PathFdR&gt;</w:t>
    </w:r>
    <w:r w:rsidRPr="001B7D88">
      <w:tab/>
    </w:r>
    <w:r w:rsidRPr="001B7D88">
      <w:tab/>
      <w:t>PE</w:t>
    </w:r>
    <w:r w:rsidRPr="001B7D88">
      <w:rPr>
        <w:rStyle w:val="HideTWBExt"/>
      </w:rPr>
      <w:t>&lt;NoPE&gt;</w:t>
    </w:r>
    <w:r w:rsidRPr="001B7D88">
      <w:t>753.510</w:t>
    </w:r>
    <w:r w:rsidRPr="001B7D88">
      <w:rPr>
        <w:rStyle w:val="HideTWBExt"/>
      </w:rPr>
      <w:t>&lt;/NoPE&gt;&lt;Version&gt;</w:t>
    </w:r>
    <w:r w:rsidRPr="001B7D88">
      <w:t>v02-00</w:t>
    </w:r>
    <w:r w:rsidRPr="001B7D88">
      <w:rPr>
        <w:rStyle w:val="HideTWBExt"/>
      </w:rPr>
      <w:t>&lt;/Version&gt;</w:t>
    </w:r>
  </w:p>
  <w:p w:rsidR="005938BA" w:rsidRPr="001B7D88" w:rsidRDefault="005938BA" w:rsidP="000A3FC9">
    <w:pPr>
      <w:pStyle w:val="EPFooter2"/>
    </w:pPr>
    <w:r w:rsidRPr="001B7D88">
      <w:t>FI</w:t>
    </w:r>
    <w:r w:rsidRPr="001B7D88">
      <w:tab/>
    </w:r>
    <w:r w:rsidRPr="001B7D88">
      <w:rPr>
        <w:b w:val="0"/>
        <w:i/>
        <w:color w:val="C0C0C0"/>
        <w:sz w:val="22"/>
      </w:rPr>
      <w:t>Moninaisuudessaan yhtenäinen</w:t>
    </w:r>
    <w:r w:rsidRPr="001B7D88">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B7D88"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B7D8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1C43" w:rsidRPr="001B7D88" w:rsidRDefault="00671C43">
      <w:r w:rsidRPr="001B7D88">
        <w:separator/>
      </w:r>
    </w:p>
  </w:footnote>
  <w:footnote w:type="continuationSeparator" w:id="0">
    <w:p w:rsidR="00671C43" w:rsidRPr="001B7D88" w:rsidRDefault="00671C43">
      <w:r w:rsidRPr="001B7D88">
        <w:continuationSeparator/>
      </w:r>
    </w:p>
  </w:footnote>
  <w:footnote w:id="1">
    <w:p w:rsidR="005938BA" w:rsidRPr="004B0F93" w:rsidRDefault="005938BA" w:rsidP="001B7D88">
      <w:pPr>
        <w:pStyle w:val="FootnoteText"/>
        <w:ind w:left="567" w:hanging="567"/>
        <w:rPr>
          <w:sz w:val="24"/>
          <w:lang w:val="fi-FI"/>
        </w:rPr>
      </w:pPr>
      <w:r w:rsidRPr="004B0F93">
        <w:rPr>
          <w:rStyle w:val="FootnoteReference"/>
          <w:sz w:val="24"/>
          <w:lang w:val="fi-FI"/>
        </w:rPr>
        <w:footnoteRef/>
      </w:r>
      <w:r w:rsidR="001B7D88" w:rsidRPr="004B0F93">
        <w:rPr>
          <w:sz w:val="24"/>
          <w:lang w:val="fi-FI"/>
        </w:rPr>
        <w:t xml:space="preserve"> </w:t>
      </w:r>
      <w:r w:rsidR="001B7D88" w:rsidRPr="004B0F93">
        <w:rPr>
          <w:sz w:val="24"/>
          <w:lang w:val="fi-FI"/>
        </w:rPr>
        <w:tab/>
      </w:r>
      <w:r w:rsidRPr="004B0F93">
        <w:rPr>
          <w:sz w:val="24"/>
          <w:lang w:val="fi-FI"/>
        </w:rPr>
        <w:t>EUVL C, C/2023/594, 27.10.2023.</w:t>
      </w:r>
    </w:p>
  </w:footnote>
  <w:footnote w:id="2">
    <w:p w:rsidR="005938BA" w:rsidRPr="004B0F93" w:rsidRDefault="005938BA" w:rsidP="001B7D88">
      <w:pPr>
        <w:pStyle w:val="FootnoteText"/>
        <w:ind w:left="567" w:hanging="567"/>
        <w:rPr>
          <w:sz w:val="24"/>
          <w:lang w:val="fi-FI"/>
        </w:rPr>
      </w:pPr>
      <w:r w:rsidRPr="004B0F93">
        <w:rPr>
          <w:rStyle w:val="FootnoteReference"/>
          <w:sz w:val="24"/>
          <w:lang w:val="fi-FI"/>
        </w:rPr>
        <w:footnoteRef/>
      </w:r>
      <w:r w:rsidR="001B7D88" w:rsidRPr="004B0F93">
        <w:rPr>
          <w:sz w:val="24"/>
          <w:lang w:val="fi-FI"/>
        </w:rPr>
        <w:t xml:space="preserve"> </w:t>
      </w:r>
      <w:r w:rsidR="001B7D88" w:rsidRPr="004B0F93">
        <w:rPr>
          <w:sz w:val="24"/>
          <w:lang w:val="fi-FI"/>
        </w:rPr>
        <w:tab/>
      </w:r>
      <w:r w:rsidRPr="004B0F93">
        <w:rPr>
          <w:sz w:val="24"/>
          <w:lang w:val="fi-FI"/>
        </w:rPr>
        <w:t>EUVL C, C/2023/112, 12.10.2023.</w:t>
      </w:r>
    </w:p>
  </w:footnote>
  <w:footnote w:id="3">
    <w:p w:rsidR="005938BA" w:rsidRPr="004B0F93" w:rsidRDefault="005938BA" w:rsidP="001B7D88">
      <w:pPr>
        <w:pStyle w:val="FootnoteText"/>
        <w:ind w:left="567" w:hanging="567"/>
        <w:rPr>
          <w:sz w:val="24"/>
          <w:lang w:val="fi-FI"/>
        </w:rPr>
      </w:pPr>
      <w:r w:rsidRPr="004B0F93">
        <w:rPr>
          <w:rStyle w:val="FootnoteReference"/>
          <w:sz w:val="24"/>
          <w:lang w:val="fi-FI"/>
        </w:rPr>
        <w:footnoteRef/>
      </w:r>
      <w:r w:rsidR="001B7D88" w:rsidRPr="004B0F93">
        <w:rPr>
          <w:sz w:val="24"/>
          <w:lang w:val="fi-FI"/>
        </w:rPr>
        <w:t xml:space="preserve"> </w:t>
      </w:r>
      <w:r w:rsidR="001B7D88" w:rsidRPr="004B0F93">
        <w:rPr>
          <w:sz w:val="24"/>
          <w:lang w:val="fi-FI"/>
        </w:rPr>
        <w:tab/>
      </w:r>
      <w:r w:rsidRPr="004B0F93">
        <w:rPr>
          <w:sz w:val="24"/>
          <w:lang w:val="fi-FI"/>
        </w:rPr>
        <w:t>EUVL L 193, 30.7.2018, s. 1.</w:t>
      </w:r>
    </w:p>
  </w:footnote>
  <w:footnote w:id="4">
    <w:p w:rsidR="005938BA" w:rsidRPr="004B0F93" w:rsidRDefault="005938BA" w:rsidP="001B7D88">
      <w:pPr>
        <w:pStyle w:val="FootnoteText"/>
        <w:ind w:left="567" w:hanging="567"/>
        <w:rPr>
          <w:sz w:val="24"/>
          <w:lang w:val="fi-FI"/>
        </w:rPr>
      </w:pPr>
      <w:r w:rsidRPr="004B0F93">
        <w:rPr>
          <w:rStyle w:val="FootnoteReference"/>
          <w:sz w:val="24"/>
          <w:lang w:val="fi-FI"/>
        </w:rPr>
        <w:footnoteRef/>
      </w:r>
      <w:r w:rsidR="001B7D88" w:rsidRPr="004B0F93">
        <w:rPr>
          <w:sz w:val="24"/>
          <w:lang w:val="fi-FI"/>
        </w:rPr>
        <w:t xml:space="preserve"> </w:t>
      </w:r>
      <w:r w:rsidR="001B7D88" w:rsidRPr="004B0F93">
        <w:rPr>
          <w:sz w:val="24"/>
          <w:lang w:val="fi-FI"/>
        </w:rPr>
        <w:tab/>
      </w:r>
      <w:r w:rsidRPr="004B0F93">
        <w:rPr>
          <w:sz w:val="24"/>
          <w:lang w:val="fi-FI"/>
        </w:rPr>
        <w:t>EUVL L 319, 4.12.2015, s. 1.</w:t>
      </w:r>
    </w:p>
  </w:footnote>
  <w:footnote w:id="5">
    <w:p w:rsidR="005938BA" w:rsidRPr="004B0F93" w:rsidRDefault="005938BA" w:rsidP="001B7D88">
      <w:pPr>
        <w:pStyle w:val="FootnoteText"/>
        <w:ind w:left="567" w:hanging="567"/>
        <w:rPr>
          <w:sz w:val="24"/>
          <w:szCs w:val="24"/>
          <w:lang w:val="fi-FI"/>
        </w:rPr>
      </w:pPr>
      <w:r w:rsidRPr="004B0F93">
        <w:rPr>
          <w:rStyle w:val="FootnoteReference"/>
          <w:sz w:val="24"/>
          <w:lang w:val="fi-FI"/>
        </w:rPr>
        <w:footnoteRef/>
      </w:r>
      <w:r w:rsidR="001B7D88" w:rsidRPr="004B0F93">
        <w:rPr>
          <w:sz w:val="24"/>
          <w:lang w:val="fi-FI"/>
        </w:rPr>
        <w:t xml:space="preserve"> </w:t>
      </w:r>
      <w:r w:rsidR="001B7D88" w:rsidRPr="004B0F93">
        <w:rPr>
          <w:sz w:val="24"/>
          <w:lang w:val="fi-FI"/>
        </w:rPr>
        <w:tab/>
      </w:r>
      <w:r w:rsidRPr="004B0F93">
        <w:rPr>
          <w:sz w:val="24"/>
          <w:lang w:val="fi-FI"/>
        </w:rPr>
        <w:t>EUVL L 122, 10.5.2019, s. 1.</w:t>
      </w:r>
    </w:p>
  </w:footnote>
  <w:footnote w:id="6">
    <w:p w:rsidR="005938BA" w:rsidRPr="004B0F93" w:rsidRDefault="005938BA" w:rsidP="001B7D88">
      <w:pPr>
        <w:pStyle w:val="FootnoteText"/>
        <w:ind w:left="567" w:hanging="567"/>
        <w:rPr>
          <w:sz w:val="24"/>
          <w:lang w:val="fi-FI"/>
        </w:rPr>
      </w:pPr>
      <w:r w:rsidRPr="004B0F93">
        <w:rPr>
          <w:rStyle w:val="FootnoteReference"/>
          <w:sz w:val="24"/>
          <w:lang w:val="fi-FI"/>
        </w:rPr>
        <w:footnoteRef/>
      </w:r>
      <w:r w:rsidR="001B7D88" w:rsidRPr="004B0F93">
        <w:rPr>
          <w:sz w:val="24"/>
          <w:lang w:val="fi-FI"/>
        </w:rPr>
        <w:t xml:space="preserve"> </w:t>
      </w:r>
      <w:r w:rsidR="001B7D88" w:rsidRPr="004B0F93">
        <w:rPr>
          <w:sz w:val="24"/>
          <w:lang w:val="fi-FI"/>
        </w:rPr>
        <w:tab/>
      </w:r>
      <w:r w:rsidRPr="004B0F93">
        <w:rPr>
          <w:sz w:val="24"/>
          <w:lang w:val="fi-FI"/>
        </w:rPr>
        <w:t>EUVL C, C/2023/594, 27.10.2023.</w:t>
      </w:r>
    </w:p>
  </w:footnote>
  <w:footnote w:id="7">
    <w:p w:rsidR="005938BA" w:rsidRPr="004B0F93" w:rsidRDefault="005938BA" w:rsidP="001B7D88">
      <w:pPr>
        <w:pStyle w:val="FootnoteText"/>
        <w:ind w:left="567" w:hanging="567"/>
        <w:rPr>
          <w:sz w:val="24"/>
          <w:lang w:val="fi-FI"/>
        </w:rPr>
      </w:pPr>
      <w:r w:rsidRPr="004B0F93">
        <w:rPr>
          <w:rStyle w:val="FootnoteReference"/>
          <w:sz w:val="24"/>
          <w:lang w:val="fi-FI"/>
        </w:rPr>
        <w:footnoteRef/>
      </w:r>
      <w:r w:rsidR="001B7D88" w:rsidRPr="004B0F93">
        <w:rPr>
          <w:sz w:val="24"/>
          <w:lang w:val="fi-FI"/>
        </w:rPr>
        <w:t xml:space="preserve"> </w:t>
      </w:r>
      <w:r w:rsidR="001B7D88" w:rsidRPr="004B0F93">
        <w:rPr>
          <w:sz w:val="24"/>
          <w:lang w:val="fi-FI"/>
        </w:rPr>
        <w:tab/>
      </w:r>
      <w:r w:rsidRPr="004B0F93">
        <w:rPr>
          <w:sz w:val="24"/>
          <w:lang w:val="fi-FI"/>
        </w:rPr>
        <w:t>EUVL C, C/2023/112, 12.10.2023.</w:t>
      </w:r>
    </w:p>
  </w:footnote>
  <w:footnote w:id="8">
    <w:p w:rsidR="005938BA" w:rsidRPr="004B0F93" w:rsidRDefault="005938BA" w:rsidP="001B7D88">
      <w:pPr>
        <w:pStyle w:val="FootnoteText"/>
        <w:ind w:left="567" w:hanging="567"/>
        <w:rPr>
          <w:sz w:val="24"/>
          <w:lang w:val="fi-FI"/>
        </w:rPr>
      </w:pPr>
      <w:r w:rsidRPr="004B0F93">
        <w:rPr>
          <w:rStyle w:val="FootnoteReference"/>
          <w:sz w:val="24"/>
          <w:lang w:val="fi-FI"/>
        </w:rPr>
        <w:footnoteRef/>
      </w:r>
      <w:r w:rsidR="001B7D88" w:rsidRPr="004B0F93">
        <w:rPr>
          <w:sz w:val="24"/>
          <w:lang w:val="fi-FI"/>
        </w:rPr>
        <w:t xml:space="preserve"> </w:t>
      </w:r>
      <w:r w:rsidR="001B7D88" w:rsidRPr="004B0F93">
        <w:rPr>
          <w:sz w:val="24"/>
          <w:lang w:val="fi-FI"/>
        </w:rPr>
        <w:tab/>
      </w:r>
      <w:r w:rsidRPr="004B0F93">
        <w:rPr>
          <w:sz w:val="24"/>
          <w:lang w:val="fi-FI"/>
        </w:rPr>
        <w:t>EUVL L 193, 30.7.2018, s. 1.</w:t>
      </w:r>
    </w:p>
  </w:footnote>
  <w:footnote w:id="9">
    <w:p w:rsidR="005938BA" w:rsidRPr="004B0F93" w:rsidRDefault="005938BA" w:rsidP="001B7D88">
      <w:pPr>
        <w:pStyle w:val="FootnoteText"/>
        <w:ind w:left="567" w:hanging="567"/>
        <w:rPr>
          <w:sz w:val="24"/>
          <w:lang w:val="fi-FI"/>
        </w:rPr>
      </w:pPr>
      <w:r w:rsidRPr="004B0F93">
        <w:rPr>
          <w:rStyle w:val="FootnoteReference"/>
          <w:sz w:val="24"/>
          <w:lang w:val="fi-FI"/>
        </w:rPr>
        <w:footnoteRef/>
      </w:r>
      <w:r w:rsidR="001B7D88" w:rsidRPr="004B0F93">
        <w:rPr>
          <w:sz w:val="24"/>
          <w:lang w:val="fi-FI"/>
        </w:rPr>
        <w:t xml:space="preserve"> </w:t>
      </w:r>
      <w:r w:rsidR="001B7D88" w:rsidRPr="004B0F93">
        <w:rPr>
          <w:sz w:val="24"/>
          <w:lang w:val="fi-FI"/>
        </w:rPr>
        <w:tab/>
      </w:r>
      <w:r w:rsidRPr="004B0F93">
        <w:rPr>
          <w:sz w:val="24"/>
          <w:lang w:val="fi-FI"/>
        </w:rPr>
        <w:t>EUVL L 319, 4.12.2015, s. 1.</w:t>
      </w:r>
    </w:p>
  </w:footnote>
  <w:footnote w:id="10">
    <w:p w:rsidR="005938BA" w:rsidRPr="004B0F93" w:rsidRDefault="005938BA" w:rsidP="001B7D88">
      <w:pPr>
        <w:pStyle w:val="FootnoteText"/>
        <w:ind w:left="567" w:hanging="567"/>
        <w:rPr>
          <w:sz w:val="24"/>
          <w:szCs w:val="24"/>
          <w:lang w:val="fi-FI"/>
        </w:rPr>
      </w:pPr>
      <w:r w:rsidRPr="004B0F93">
        <w:rPr>
          <w:rStyle w:val="FootnoteReference"/>
          <w:sz w:val="24"/>
          <w:lang w:val="fi-FI"/>
        </w:rPr>
        <w:footnoteRef/>
      </w:r>
      <w:r w:rsidR="001B7D88" w:rsidRPr="004B0F93">
        <w:rPr>
          <w:sz w:val="24"/>
          <w:lang w:val="fi-FI"/>
        </w:rPr>
        <w:t xml:space="preserve"> </w:t>
      </w:r>
      <w:r w:rsidR="001B7D88" w:rsidRPr="004B0F93">
        <w:rPr>
          <w:sz w:val="24"/>
          <w:lang w:val="fi-FI"/>
        </w:rPr>
        <w:tab/>
      </w:r>
      <w:r w:rsidRPr="004B0F93">
        <w:rPr>
          <w:sz w:val="24"/>
          <w:lang w:val="fi-FI"/>
        </w:rPr>
        <w:t>EUVL L 122, 10.5.2019, s. 1.</w:t>
      </w:r>
    </w:p>
  </w:footnote>
  <w:footnote w:id="11">
    <w:p w:rsidR="005938BA" w:rsidRPr="004B0F93" w:rsidRDefault="005938BA" w:rsidP="001B7D88">
      <w:pPr>
        <w:pStyle w:val="FootnoteText"/>
        <w:ind w:left="567" w:hanging="567"/>
        <w:rPr>
          <w:sz w:val="24"/>
          <w:lang w:val="fi-FI"/>
        </w:rPr>
      </w:pPr>
      <w:r w:rsidRPr="004B0F93">
        <w:rPr>
          <w:rStyle w:val="FootnoteReference"/>
          <w:sz w:val="24"/>
          <w:lang w:val="fi-FI"/>
        </w:rPr>
        <w:footnoteRef/>
      </w:r>
      <w:r w:rsidR="001B7D88" w:rsidRPr="004B0F93">
        <w:rPr>
          <w:sz w:val="24"/>
          <w:lang w:val="fi-FI"/>
        </w:rPr>
        <w:t xml:space="preserve"> </w:t>
      </w:r>
      <w:r w:rsidR="001B7D88" w:rsidRPr="004B0F93">
        <w:rPr>
          <w:sz w:val="24"/>
          <w:lang w:val="fi-FI"/>
        </w:rPr>
        <w:tab/>
      </w:r>
      <w:r w:rsidRPr="004B0F93">
        <w:rPr>
          <w:sz w:val="24"/>
          <w:lang w:val="fi-FI"/>
        </w:rPr>
        <w:t>EUVL C 73, 28.2.2023, s. 44.</w:t>
      </w:r>
    </w:p>
  </w:footnote>
  <w:footnote w:id="12">
    <w:p w:rsidR="005938BA" w:rsidRPr="001B7D88" w:rsidRDefault="005938BA" w:rsidP="001B7D88">
      <w:pPr>
        <w:pStyle w:val="FootnoteText"/>
        <w:ind w:left="567" w:hanging="567"/>
        <w:rPr>
          <w:sz w:val="24"/>
          <w:lang w:val="fi-FI"/>
        </w:rPr>
      </w:pPr>
      <w:r w:rsidRPr="004B0F93">
        <w:rPr>
          <w:rStyle w:val="FootnoteReference"/>
          <w:sz w:val="24"/>
          <w:lang w:val="fi-FI"/>
        </w:rPr>
        <w:footnoteRef/>
      </w:r>
      <w:r w:rsidR="001B7D88" w:rsidRPr="004B0F93">
        <w:rPr>
          <w:sz w:val="24"/>
          <w:lang w:val="fi-FI"/>
        </w:rPr>
        <w:t xml:space="preserve"> </w:t>
      </w:r>
      <w:r w:rsidR="001B7D88" w:rsidRPr="004B0F93">
        <w:rPr>
          <w:sz w:val="24"/>
          <w:lang w:val="fi-FI"/>
        </w:rPr>
        <w:tab/>
      </w:r>
      <w:r w:rsidRPr="004B0F93">
        <w:rPr>
          <w:sz w:val="24"/>
          <w:lang w:val="fi-FI"/>
        </w:rPr>
        <w:t>Hyväksytyt tekstit, P9_</w:t>
      </w:r>
      <w:proofErr w:type="gramStart"/>
      <w:r w:rsidRPr="004B0F93">
        <w:rPr>
          <w:sz w:val="24"/>
          <w:lang w:val="fi-FI"/>
        </w:rPr>
        <w:t>TA(</w:t>
      </w:r>
      <w:proofErr w:type="gramEnd"/>
      <w:r w:rsidRPr="004B0F93">
        <w:rPr>
          <w:sz w:val="24"/>
          <w:lang w:val="fi-FI"/>
        </w:rPr>
        <w:t>2024)</w:t>
      </w:r>
      <w:r w:rsidR="000F6D8C" w:rsidRPr="004B0F93">
        <w:rPr>
          <w:sz w:val="24"/>
          <w:lang w:val="fi-FI"/>
        </w:rPr>
        <w:t>0280</w:t>
      </w:r>
      <w:r w:rsidRPr="004B0F93">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B7D8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B7D8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B7D8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8/2024"/>
    <w:docVar w:name="dvlangue" w:val="FI"/>
    <w:docVar w:name="dvnumam" w:val="0"/>
    <w:docVar w:name="dvpe" w:val="753.510"/>
    <w:docVar w:name="dvrapporteur" w:val="Esittelijä: "/>
    <w:docVar w:name="dvtitre" w:val="Euroopan parlamentin päätös 11. huhtikuuta 2024 vastuuvapauden myöntämisestä Euroopan unionin lainvalvontakoulutusviraston (CEPOL) talousarvion toteuttamisesta varainhoitovuonna 2022(2023/2144(DEC))"/>
  </w:docVars>
  <w:rsids>
    <w:rsidRoot w:val="00671C43"/>
    <w:rsid w:val="00002272"/>
    <w:rsid w:val="00064002"/>
    <w:rsid w:val="000677B9"/>
    <w:rsid w:val="000831BA"/>
    <w:rsid w:val="000A42CC"/>
    <w:rsid w:val="000E7DD9"/>
    <w:rsid w:val="000F6D8C"/>
    <w:rsid w:val="0010095E"/>
    <w:rsid w:val="00125B37"/>
    <w:rsid w:val="00187494"/>
    <w:rsid w:val="001B7D88"/>
    <w:rsid w:val="001F32AE"/>
    <w:rsid w:val="002767FF"/>
    <w:rsid w:val="00280D03"/>
    <w:rsid w:val="002B18FE"/>
    <w:rsid w:val="002B5493"/>
    <w:rsid w:val="00343214"/>
    <w:rsid w:val="00361C00"/>
    <w:rsid w:val="00395FA1"/>
    <w:rsid w:val="003E15D4"/>
    <w:rsid w:val="00411CCE"/>
    <w:rsid w:val="0041666E"/>
    <w:rsid w:val="00421060"/>
    <w:rsid w:val="00471C19"/>
    <w:rsid w:val="004867E3"/>
    <w:rsid w:val="00494A28"/>
    <w:rsid w:val="004B0F93"/>
    <w:rsid w:val="004C0004"/>
    <w:rsid w:val="004C5D52"/>
    <w:rsid w:val="00503A8C"/>
    <w:rsid w:val="0050519A"/>
    <w:rsid w:val="005072A1"/>
    <w:rsid w:val="00514517"/>
    <w:rsid w:val="00545827"/>
    <w:rsid w:val="00560270"/>
    <w:rsid w:val="005938BA"/>
    <w:rsid w:val="005C2568"/>
    <w:rsid w:val="006037C0"/>
    <w:rsid w:val="006631B6"/>
    <w:rsid w:val="00671C43"/>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04F4"/>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583B"/>
    <w:rsid w:val="00E365E1"/>
    <w:rsid w:val="00E820A4"/>
    <w:rsid w:val="00EB006A"/>
    <w:rsid w:val="00EB4772"/>
    <w:rsid w:val="00ED169E"/>
    <w:rsid w:val="00ED4235"/>
    <w:rsid w:val="00F04346"/>
    <w:rsid w:val="00F075DC"/>
    <w:rsid w:val="00F149E9"/>
    <w:rsid w:val="00F5134D"/>
    <w:rsid w:val="00F678F2"/>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5EE25F3-0FCF-4F4A-B478-2273B5CB9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938B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938BA"/>
    <w:pPr>
      <w:spacing w:before="480" w:after="240"/>
    </w:pPr>
  </w:style>
  <w:style w:type="paragraph" w:customStyle="1" w:styleId="PageHeading">
    <w:name w:val="PageHeading"/>
    <w:basedOn w:val="Normal"/>
    <w:rsid w:val="005938BA"/>
    <w:pPr>
      <w:keepNext/>
      <w:spacing w:after="480"/>
      <w:jc w:val="center"/>
    </w:pPr>
    <w:rPr>
      <w:rFonts w:ascii="Arial" w:hAnsi="Arial" w:cs="Arial"/>
      <w:b/>
    </w:rPr>
  </w:style>
  <w:style w:type="paragraph" w:customStyle="1" w:styleId="NormalBold">
    <w:name w:val="NormalBold"/>
    <w:basedOn w:val="Normal"/>
    <w:rsid w:val="005938BA"/>
    <w:rPr>
      <w:b/>
    </w:rPr>
  </w:style>
  <w:style w:type="paragraph" w:customStyle="1" w:styleId="NormalHanging12a">
    <w:name w:val="NormalHanging12a"/>
    <w:basedOn w:val="Normal"/>
    <w:link w:val="NormalHanging12aChar"/>
    <w:rsid w:val="005938BA"/>
    <w:pPr>
      <w:spacing w:after="240"/>
      <w:ind w:left="567" w:hanging="567"/>
    </w:pPr>
  </w:style>
  <w:style w:type="paragraph" w:customStyle="1" w:styleId="NormalCenter12a">
    <w:name w:val="NormalCenter12a"/>
    <w:basedOn w:val="Normal"/>
    <w:rsid w:val="005938BA"/>
    <w:pPr>
      <w:spacing w:after="240"/>
      <w:jc w:val="center"/>
    </w:pPr>
  </w:style>
  <w:style w:type="paragraph" w:styleId="Header">
    <w:name w:val="header"/>
    <w:basedOn w:val="Normal"/>
    <w:link w:val="HeaderChar"/>
    <w:rsid w:val="005938BA"/>
    <w:pPr>
      <w:tabs>
        <w:tab w:val="center" w:pos="4513"/>
        <w:tab w:val="right" w:pos="9026"/>
      </w:tabs>
    </w:pPr>
  </w:style>
  <w:style w:type="character" w:customStyle="1" w:styleId="HeaderChar">
    <w:name w:val="Header Char"/>
    <w:basedOn w:val="DefaultParagraphFont"/>
    <w:link w:val="Header"/>
    <w:rsid w:val="005938BA"/>
    <w:rPr>
      <w:sz w:val="24"/>
      <w:lang w:val="fi-FI"/>
    </w:rPr>
  </w:style>
  <w:style w:type="paragraph" w:customStyle="1" w:styleId="EPFooter">
    <w:name w:val="EPFooter"/>
    <w:basedOn w:val="Normal"/>
    <w:rsid w:val="005938BA"/>
    <w:pPr>
      <w:tabs>
        <w:tab w:val="center" w:pos="4535"/>
        <w:tab w:val="right" w:pos="9071"/>
      </w:tabs>
      <w:spacing w:before="240" w:after="240"/>
    </w:pPr>
    <w:rPr>
      <w:color w:val="010000"/>
      <w:sz w:val="22"/>
    </w:rPr>
  </w:style>
  <w:style w:type="paragraph" w:styleId="ListParagraph">
    <w:name w:val="List Paragraph"/>
    <w:basedOn w:val="Normal"/>
    <w:uiPriority w:val="34"/>
    <w:qFormat/>
    <w:rsid w:val="005938BA"/>
    <w:pPr>
      <w:widowControl/>
      <w:ind w:left="720"/>
      <w:contextualSpacing/>
      <w:jc w:val="both"/>
    </w:pPr>
    <w:rPr>
      <w:rFonts w:eastAsiaTheme="minorHAnsi"/>
      <w:szCs w:val="24"/>
      <w:lang w:eastAsia="en-US"/>
    </w:rPr>
  </w:style>
  <w:style w:type="paragraph" w:customStyle="1" w:styleId="Normal12a">
    <w:name w:val="Normal12a"/>
    <w:basedOn w:val="Normal"/>
    <w:rsid w:val="005938BA"/>
    <w:pPr>
      <w:spacing w:after="240"/>
    </w:pPr>
  </w:style>
  <w:style w:type="paragraph" w:customStyle="1" w:styleId="PageHeadingNotTOC">
    <w:name w:val="PageHeadingNotTOC"/>
    <w:basedOn w:val="Normal"/>
    <w:rsid w:val="005938BA"/>
    <w:pPr>
      <w:keepNext/>
      <w:spacing w:after="480"/>
      <w:jc w:val="center"/>
    </w:pPr>
    <w:rPr>
      <w:rFonts w:ascii="Arial" w:hAnsi="Arial" w:cs="Arial"/>
      <w:b/>
    </w:rPr>
  </w:style>
  <w:style w:type="paragraph" w:customStyle="1" w:styleId="Normal24a">
    <w:name w:val="Normal24a"/>
    <w:basedOn w:val="Normal"/>
    <w:rsid w:val="005938BA"/>
    <w:pPr>
      <w:spacing w:after="480"/>
    </w:pPr>
  </w:style>
  <w:style w:type="character" w:customStyle="1" w:styleId="NormalHanging12aChar">
    <w:name w:val="NormalHanging12a Char"/>
    <w:basedOn w:val="DefaultParagraphFont"/>
    <w:link w:val="NormalHanging12a"/>
    <w:rsid w:val="005938BA"/>
    <w:rPr>
      <w:sz w:val="24"/>
      <w:lang w:val="fi-FI"/>
    </w:rPr>
  </w:style>
  <w:style w:type="paragraph" w:styleId="Footer">
    <w:name w:val="footer"/>
    <w:basedOn w:val="Normal"/>
    <w:link w:val="FooterChar"/>
    <w:rsid w:val="00F678F2"/>
    <w:pPr>
      <w:tabs>
        <w:tab w:val="center" w:pos="4513"/>
        <w:tab w:val="right" w:pos="9026"/>
      </w:tabs>
    </w:pPr>
  </w:style>
  <w:style w:type="character" w:customStyle="1" w:styleId="FooterChar">
    <w:name w:val="Footer Char"/>
    <w:basedOn w:val="DefaultParagraphFont"/>
    <w:link w:val="Footer"/>
    <w:rsid w:val="00F678F2"/>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CE7F01-CD53-470B-917B-1F8ADB103F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3343</Words>
  <Characters>28356</Characters>
  <Application>Microsoft Office Word</Application>
  <DocSecurity>0</DocSecurity>
  <Lines>236</Lines>
  <Paragraphs>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6</cp:revision>
  <cp:lastPrinted>2004-11-19T15:42:00Z</cp:lastPrinted>
  <dcterms:created xsi:type="dcterms:W3CDTF">2024-04-08T18:10:00Z</dcterms:created>
  <dcterms:modified xsi:type="dcterms:W3CDTF">2024-04-11T16:31:00Z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A9-0098/2024</vt:lpwstr>
  </property>
  <property fmtid="{D5CDD505-2E9C-101B-9397-08002B2CF9AE}" pid="4" name="&lt;Type&gt;">
    <vt:lpwstr>RR</vt:lpwstr>
  </property>
</Properties>
</file>