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5EF3" w:rsidTr="0010095E">
        <w:trPr>
          <w:trHeight w:hRule="exact" w:val="1418"/>
        </w:trPr>
        <w:tc>
          <w:tcPr>
            <w:tcW w:w="6804" w:type="dxa"/>
            <w:shd w:val="clear" w:color="auto" w:fill="auto"/>
            <w:vAlign w:val="center"/>
          </w:tcPr>
          <w:p w:rsidR="00751A4A" w:rsidRPr="003B5EF3" w:rsidRDefault="004310E9" w:rsidP="0010095E">
            <w:pPr>
              <w:pStyle w:val="EPName"/>
            </w:pPr>
            <w:r w:rsidRPr="003B5EF3">
              <w:t>Europski parlament</w:t>
            </w:r>
          </w:p>
          <w:p w:rsidR="00751A4A" w:rsidRPr="003B5EF3" w:rsidRDefault="00817416" w:rsidP="00756632">
            <w:pPr>
              <w:pStyle w:val="EPTerm"/>
              <w:rPr>
                <w:rStyle w:val="HideTWBExt"/>
                <w:noProof w:val="0"/>
                <w:vanish w:val="0"/>
                <w:color w:val="auto"/>
              </w:rPr>
            </w:pPr>
            <w:r w:rsidRPr="003B5EF3">
              <w:t>2019-2024</w:t>
            </w:r>
          </w:p>
        </w:tc>
        <w:tc>
          <w:tcPr>
            <w:tcW w:w="2268" w:type="dxa"/>
            <w:shd w:val="clear" w:color="auto" w:fill="auto"/>
          </w:tcPr>
          <w:p w:rsidR="00751A4A" w:rsidRPr="003B5EF3" w:rsidRDefault="00187494" w:rsidP="0010095E">
            <w:pPr>
              <w:pStyle w:val="EPLogo"/>
            </w:pPr>
            <w:r w:rsidRPr="003B5EF3">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5EF3" w:rsidRDefault="00D058B8" w:rsidP="004C5D52">
      <w:pPr>
        <w:pStyle w:val="LineTop"/>
      </w:pPr>
    </w:p>
    <w:p w:rsidR="00680577" w:rsidRPr="003B5EF3" w:rsidRDefault="004310E9" w:rsidP="00680577">
      <w:pPr>
        <w:pStyle w:val="EPBodyTA1"/>
      </w:pPr>
      <w:r w:rsidRPr="003B5EF3">
        <w:t>USVOJENI TEKSTOVI</w:t>
      </w:r>
    </w:p>
    <w:p w:rsidR="00D058B8" w:rsidRPr="003B5EF3" w:rsidRDefault="00D058B8" w:rsidP="00D058B8">
      <w:pPr>
        <w:pStyle w:val="LineBottom"/>
      </w:pPr>
    </w:p>
    <w:p w:rsidR="004310E9" w:rsidRPr="003B5EF3" w:rsidRDefault="004310E9" w:rsidP="004310E9">
      <w:pPr>
        <w:pStyle w:val="ATHeading1"/>
      </w:pPr>
      <w:bookmarkStart w:id="0" w:name="TANumber"/>
      <w:r w:rsidRPr="003B5EF3">
        <w:t>P9_TA(2024)0</w:t>
      </w:r>
      <w:bookmarkEnd w:id="0"/>
      <w:r w:rsidR="003B5EF3" w:rsidRPr="003B5EF3">
        <w:t>254</w:t>
      </w:r>
    </w:p>
    <w:p w:rsidR="004310E9" w:rsidRPr="003B5EF3" w:rsidRDefault="004310E9" w:rsidP="004310E9">
      <w:pPr>
        <w:pStyle w:val="ATHeading2"/>
      </w:pPr>
      <w:bookmarkStart w:id="1" w:name="title"/>
      <w:r w:rsidRPr="003B5EF3">
        <w:t>Razrješnica za 2022.: Agencija Europske unije za osposobljavanje u području izvršavanja zakonodavstva (CEPOL)</w:t>
      </w:r>
      <w:bookmarkEnd w:id="1"/>
    </w:p>
    <w:p w:rsidR="004310E9" w:rsidRPr="003B5EF3" w:rsidRDefault="004310E9" w:rsidP="004310E9">
      <w:pPr>
        <w:rPr>
          <w:i/>
          <w:vanish/>
        </w:rPr>
      </w:pPr>
      <w:r w:rsidRPr="003B5EF3">
        <w:rPr>
          <w:i/>
        </w:rPr>
        <w:fldChar w:fldCharType="begin"/>
      </w:r>
      <w:r w:rsidRPr="003B5EF3">
        <w:rPr>
          <w:i/>
        </w:rPr>
        <w:instrText xml:space="preserve"> TC"(</w:instrText>
      </w:r>
      <w:bookmarkStart w:id="2" w:name="DocNumber"/>
      <w:r w:rsidRPr="003B5EF3">
        <w:rPr>
          <w:i/>
        </w:rPr>
        <w:instrText>A9-0098/2024</w:instrText>
      </w:r>
      <w:bookmarkEnd w:id="2"/>
      <w:r w:rsidRPr="003B5EF3">
        <w:rPr>
          <w:i/>
        </w:rPr>
        <w:instrText xml:space="preserve"> - Izvjestitelj: Petri Sarvamaa)"\l3 \n&gt; \* MERGEFORMAT </w:instrText>
      </w:r>
      <w:r w:rsidRPr="003B5EF3">
        <w:rPr>
          <w:i/>
        </w:rPr>
        <w:fldChar w:fldCharType="end"/>
      </w:r>
    </w:p>
    <w:p w:rsidR="004310E9" w:rsidRPr="003B5EF3" w:rsidRDefault="004310E9" w:rsidP="004310E9">
      <w:pPr>
        <w:rPr>
          <w:vanish/>
        </w:rPr>
      </w:pPr>
      <w:bookmarkStart w:id="3" w:name="Commission"/>
      <w:r w:rsidRPr="003B5EF3">
        <w:rPr>
          <w:vanish/>
        </w:rPr>
        <w:t>Odbor za proračunski nadzor</w:t>
      </w:r>
      <w:bookmarkEnd w:id="3"/>
    </w:p>
    <w:p w:rsidR="004310E9" w:rsidRPr="003B5EF3" w:rsidRDefault="004310E9" w:rsidP="004310E9">
      <w:pPr>
        <w:rPr>
          <w:vanish/>
        </w:rPr>
      </w:pPr>
      <w:bookmarkStart w:id="4" w:name="PE"/>
      <w:r w:rsidRPr="003B5EF3">
        <w:rPr>
          <w:vanish/>
        </w:rPr>
        <w:t>PE753.510</w:t>
      </w:r>
      <w:bookmarkEnd w:id="4"/>
    </w:p>
    <w:p w:rsidR="004310E9" w:rsidRPr="003B5EF3" w:rsidRDefault="008E609F" w:rsidP="004310E9">
      <w:pPr>
        <w:pStyle w:val="ATHeading3"/>
      </w:pPr>
      <w:bookmarkStart w:id="5" w:name="Sujet"/>
      <w:r w:rsidRPr="003B5EF3">
        <w:t xml:space="preserve">1. </w:t>
      </w:r>
      <w:r w:rsidR="004310E9" w:rsidRPr="003B5EF3">
        <w:t>Odl</w:t>
      </w:r>
      <w:r w:rsidRPr="003B5EF3">
        <w:t>uka Europskog parlamenta od 11. travnja</w:t>
      </w:r>
      <w:r w:rsidR="004310E9" w:rsidRPr="003B5EF3">
        <w:t xml:space="preserve"> 2024. o razrješnici za izvršenje proračuna Agencije Europske unije za osposobljavanje u području izvršavanja zakonodavstva (CEPOL) za financijsku godinu 2022.</w:t>
      </w:r>
      <w:bookmarkEnd w:id="5"/>
      <w:r w:rsidR="004310E9" w:rsidRPr="003B5EF3">
        <w:t xml:space="preserve"> </w:t>
      </w:r>
      <w:bookmarkStart w:id="6" w:name="References"/>
      <w:r w:rsidR="004310E9" w:rsidRPr="003B5EF3">
        <w:t>(2023/2144(DEC))</w:t>
      </w:r>
      <w:bookmarkEnd w:id="6"/>
    </w:p>
    <w:p w:rsidR="000C03EE" w:rsidRPr="003B5EF3" w:rsidRDefault="000C03EE" w:rsidP="000C03EE">
      <w:pPr>
        <w:pStyle w:val="EPComma"/>
      </w:pPr>
      <w:bookmarkStart w:id="7" w:name="TextBodyBegin"/>
      <w:bookmarkEnd w:id="7"/>
      <w:r w:rsidRPr="003B5EF3">
        <w:rPr>
          <w:i/>
        </w:rPr>
        <w:t>Europski parlament</w:t>
      </w:r>
      <w:r w:rsidRPr="003B5EF3">
        <w:t>,</w:t>
      </w:r>
    </w:p>
    <w:p w:rsidR="000C03EE" w:rsidRPr="003B5EF3" w:rsidRDefault="000C03EE" w:rsidP="000C03EE">
      <w:pPr>
        <w:pStyle w:val="NormalHanging12a"/>
      </w:pPr>
      <w:r w:rsidRPr="003B5EF3">
        <w:t>–</w:t>
      </w:r>
      <w:r w:rsidRPr="003B5EF3">
        <w:tab/>
        <w:t>uzimajući u obzir završnu godišnju računovodstvenu dokumentaciju Agencije Europske unije za osposobljavanje u području izvršavanja zakonodavstva (CEPOL) za financijsku godinu 2022.,</w:t>
      </w:r>
    </w:p>
    <w:p w:rsidR="000C03EE" w:rsidRPr="003B5EF3" w:rsidRDefault="000C03EE" w:rsidP="000C03EE">
      <w:pPr>
        <w:pStyle w:val="NormalHanging12a"/>
      </w:pPr>
      <w:r w:rsidRPr="003B5EF3">
        <w:t>–</w:t>
      </w:r>
      <w:r w:rsidRPr="003B5EF3">
        <w:tab/>
        <w:t>uzimajući u obzir godišnje izvješće Revizorskog suda o agencijama EU-a za financijsku godinu 2022., kojemu su priloženi odgovori agencija</w:t>
      </w:r>
      <w:r w:rsidRPr="003B5EF3">
        <w:rPr>
          <w:rStyle w:val="FootnoteReference"/>
        </w:rPr>
        <w:footnoteReference w:id="1"/>
      </w:r>
      <w:r w:rsidRPr="003B5EF3">
        <w:t>,</w:t>
      </w:r>
    </w:p>
    <w:p w:rsidR="000C03EE" w:rsidRPr="003B5EF3" w:rsidRDefault="000C03EE" w:rsidP="000C03EE">
      <w:pPr>
        <w:pStyle w:val="NormalHanging12a"/>
      </w:pPr>
      <w:r w:rsidRPr="003B5EF3">
        <w:t>–</w:t>
      </w:r>
      <w:r w:rsidRPr="003B5EF3">
        <w:tab/>
        <w:t>uzimajući u obzir izjavu o jamstvu</w:t>
      </w:r>
      <w:r w:rsidRPr="003B5EF3">
        <w:rPr>
          <w:rStyle w:val="FootnoteReference"/>
        </w:rPr>
        <w:footnoteReference w:id="2"/>
      </w:r>
      <w:r w:rsidRPr="003B5EF3">
        <w:t xml:space="preserve"> u pogledu pouzdanosti računa te zakonitosti i pravilnosti povezanih transakcija, koju je podnio Revizorski sud za financijsku godinu 2022., u skladu s člankom 287. Ugovora o funkcioniranju Europske unije,</w:t>
      </w:r>
    </w:p>
    <w:p w:rsidR="000C03EE" w:rsidRPr="003B5EF3" w:rsidRDefault="000C03EE" w:rsidP="000C03EE">
      <w:pPr>
        <w:pStyle w:val="NormalHanging12a"/>
      </w:pPr>
      <w:r w:rsidRPr="003B5EF3">
        <w:t>–</w:t>
      </w:r>
      <w:r w:rsidRPr="003B5EF3">
        <w:tab/>
        <w:t>uzimajući u obzir preporuku Vijeća od 22. veljače 2024. o razrješnici koju Agencija treba dobiti za izvršenje proračuna za</w:t>
      </w:r>
      <w:r w:rsidR="008E609F" w:rsidRPr="003B5EF3">
        <w:t xml:space="preserve"> financijsku godinu 2022. (06180/2024 – C9</w:t>
      </w:r>
      <w:r w:rsidR="008E609F" w:rsidRPr="003B5EF3">
        <w:noBreakHyphen/>
        <w:t>0082</w:t>
      </w:r>
      <w:r w:rsidRPr="003B5EF3">
        <w:t>/2024),</w:t>
      </w:r>
    </w:p>
    <w:p w:rsidR="000C03EE" w:rsidRPr="003B5EF3" w:rsidRDefault="000C03EE" w:rsidP="000C03EE">
      <w:pPr>
        <w:pStyle w:val="NormalHanging12a"/>
      </w:pPr>
      <w:r w:rsidRPr="003B5EF3">
        <w:t>–</w:t>
      </w:r>
      <w:r w:rsidRPr="003B5EF3">
        <w:tab/>
        <w:t>uzimajući u obzir članak 319. Ugovora o funkcioniranju Europske unije,</w:t>
      </w:r>
    </w:p>
    <w:p w:rsidR="000C03EE" w:rsidRPr="003B5EF3" w:rsidRDefault="000C03EE" w:rsidP="000C03EE">
      <w:pPr>
        <w:pStyle w:val="NormalHanging12a"/>
      </w:pPr>
      <w:r w:rsidRPr="003B5EF3">
        <w:t>–</w:t>
      </w:r>
      <w:r w:rsidRPr="003B5E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3B5EF3">
        <w:rPr>
          <w:rStyle w:val="FootnoteReference"/>
        </w:rPr>
        <w:footnoteReference w:id="3"/>
      </w:r>
      <w:r w:rsidRPr="003B5EF3">
        <w:t>, a posebno njezin članak 70.</w:t>
      </w:r>
      <w:r w:rsidR="00995E60">
        <w:t>,</w:t>
      </w:r>
    </w:p>
    <w:p w:rsidR="000C03EE" w:rsidRPr="003B5EF3" w:rsidRDefault="000C03EE" w:rsidP="000C03EE">
      <w:pPr>
        <w:pStyle w:val="NormalHanging12a"/>
      </w:pPr>
      <w:r w:rsidRPr="003B5EF3">
        <w:lastRenderedPageBreak/>
        <w:t>–</w:t>
      </w:r>
      <w:r w:rsidRPr="003B5EF3">
        <w:tab/>
        <w:t>uzimajući u obzir Uredbu (EU) 2015/2219 Europskog parlamenta i Vijeća od 25. studenoga 2015. o Agenciji Europske unije za osposobljavanje u području izvršavanja zakonodavstva (CEPOL) i o zamjeni i stavljanju izvan snage Odluke Vijeća 2005/681/PUP</w:t>
      </w:r>
      <w:r w:rsidRPr="003B5EF3">
        <w:rPr>
          <w:rStyle w:val="FootnoteReference"/>
        </w:rPr>
        <w:footnoteReference w:id="4"/>
      </w:r>
      <w:r w:rsidRPr="003B5EF3">
        <w:t>, a posebno njezin članak 20.,</w:t>
      </w:r>
    </w:p>
    <w:p w:rsidR="000C03EE" w:rsidRPr="003B5EF3" w:rsidRDefault="000C03EE" w:rsidP="000C03EE">
      <w:pPr>
        <w:pStyle w:val="NormalHanging12a"/>
      </w:pPr>
      <w:r w:rsidRPr="003B5EF3">
        <w:t>–</w:t>
      </w:r>
      <w:r w:rsidRPr="003B5EF3">
        <w:tab/>
        <w:t xml:space="preserve">uzimajući u obzir Delegiranu uredbu Komisije (EU) 2019/715 od 18. prosinca 2018. o okvirnoj financijskoj uredbi za tijela osnovana na temelju Ugovora o funkcioniranju Europske unije i Ugovora o </w:t>
      </w:r>
      <w:proofErr w:type="spellStart"/>
      <w:r w:rsidRPr="003B5EF3">
        <w:t>Euratomu</w:t>
      </w:r>
      <w:proofErr w:type="spellEnd"/>
      <w:r w:rsidRPr="003B5EF3">
        <w:t xml:space="preserve"> na koja se upućuje u članku 70. Uredbe (EU, Euratom) 2018/1046 Europskog parlamenta i Vijeća</w:t>
      </w:r>
      <w:r w:rsidRPr="003B5EF3">
        <w:rPr>
          <w:rStyle w:val="FootnoteReference"/>
        </w:rPr>
        <w:footnoteReference w:id="5"/>
      </w:r>
      <w:r w:rsidRPr="003B5EF3">
        <w:t>, a posebno njezin članak 105.,</w:t>
      </w:r>
    </w:p>
    <w:p w:rsidR="000C03EE" w:rsidRPr="003B5EF3" w:rsidRDefault="000C03EE" w:rsidP="000C03EE">
      <w:pPr>
        <w:pStyle w:val="NormalHanging12a"/>
      </w:pPr>
      <w:r w:rsidRPr="003B5EF3">
        <w:t>–</w:t>
      </w:r>
      <w:r w:rsidRPr="003B5EF3">
        <w:tab/>
        <w:t>uzimajući u obzir članak 100. Poslovnika i Prilog V. Poslovniku,</w:t>
      </w:r>
    </w:p>
    <w:p w:rsidR="000C03EE" w:rsidRPr="003B5EF3" w:rsidRDefault="000C03EE" w:rsidP="000C03EE">
      <w:pPr>
        <w:pStyle w:val="NormalHanging12a"/>
      </w:pPr>
      <w:r w:rsidRPr="003B5EF3">
        <w:t>–</w:t>
      </w:r>
      <w:r w:rsidRPr="003B5EF3">
        <w:tab/>
        <w:t>uzimajući u obzir mišljenje Odbora za građanske slobode, pravosuđe i unutarnje poslove,</w:t>
      </w:r>
    </w:p>
    <w:p w:rsidR="000C03EE" w:rsidRPr="003B5EF3" w:rsidRDefault="000C03EE" w:rsidP="000C03EE">
      <w:pPr>
        <w:pStyle w:val="NormalHanging12a"/>
      </w:pPr>
      <w:r w:rsidRPr="003B5EF3">
        <w:t>–</w:t>
      </w:r>
      <w:r w:rsidRPr="003B5EF3">
        <w:tab/>
        <w:t>uzimajući u obzir izvješće Odbora za proračunski nadzor (A9</w:t>
      </w:r>
      <w:r w:rsidRPr="003B5EF3">
        <w:noBreakHyphen/>
        <w:t>0098/2024),</w:t>
      </w:r>
    </w:p>
    <w:p w:rsidR="000C03EE" w:rsidRPr="003B5EF3" w:rsidRDefault="000C03EE" w:rsidP="000C03EE">
      <w:pPr>
        <w:pStyle w:val="NormalHanging12a"/>
      </w:pPr>
      <w:r w:rsidRPr="003B5EF3">
        <w:t>1.</w:t>
      </w:r>
      <w:r w:rsidRPr="003B5EF3">
        <w:tab/>
        <w:t>daje razrješnicu izvršnoj direktorici Agencije Europske unije za osposobljavanje u području izvršavanja zakonodavstva (CEPOL) za izvršenje proračuna Agencije za financijsku godinu 2022.;</w:t>
      </w:r>
    </w:p>
    <w:p w:rsidR="000C03EE" w:rsidRPr="003B5EF3" w:rsidRDefault="000C03EE" w:rsidP="000C03EE">
      <w:pPr>
        <w:pStyle w:val="NormalHanging12a"/>
      </w:pPr>
      <w:r w:rsidRPr="003B5EF3">
        <w:t>2.</w:t>
      </w:r>
      <w:r w:rsidRPr="003B5EF3">
        <w:tab/>
        <w:t>iznosi svoje primjedbe u Rezoluciji u nastavku;</w:t>
      </w:r>
    </w:p>
    <w:p w:rsidR="000C03EE" w:rsidRPr="003B5EF3" w:rsidRDefault="000C03EE" w:rsidP="000C03EE">
      <w:pPr>
        <w:pStyle w:val="NormalHanging12a"/>
      </w:pPr>
      <w:r w:rsidRPr="003B5EF3">
        <w:t>3.</w:t>
      </w:r>
      <w:r w:rsidRPr="003B5EF3">
        <w:tab/>
        <w:t xml:space="preserve">nalaže svojoj predsjednici da ovu Odluku i Rezoluciju, koja je njezin sastavni dio, proslijedi izvršnoj direktorici Agencije Europske unije za osposobljavanje u području izvršavanja zakonodavstva (CEPOL), Vijeću, Komisiji i Revizorskom sudu te da ih da na objavu u </w:t>
      </w:r>
      <w:r w:rsidRPr="003B5EF3">
        <w:rPr>
          <w:i/>
        </w:rPr>
        <w:t>Službenom listu Europske unije</w:t>
      </w:r>
      <w:r w:rsidRPr="003B5EF3">
        <w:t xml:space="preserve"> (serija L).</w:t>
      </w:r>
    </w:p>
    <w:p w:rsidR="000C03EE" w:rsidRPr="003B5EF3" w:rsidRDefault="000C03EE" w:rsidP="000C03EE"/>
    <w:p w:rsidR="000C03EE" w:rsidRPr="003B5EF3" w:rsidRDefault="000C03EE" w:rsidP="000C03EE">
      <w:pPr>
        <w:pStyle w:val="PageHeading"/>
        <w:sectPr w:rsidR="000C03EE" w:rsidRPr="003B5EF3" w:rsidSect="00664DB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C03EE" w:rsidRPr="003B5EF3" w:rsidRDefault="008E609F" w:rsidP="008E609F">
      <w:pPr>
        <w:pStyle w:val="PageHeading"/>
        <w:jc w:val="left"/>
        <w:rPr>
          <w:rFonts w:ascii="Times New Roman" w:hAnsi="Times New Roman" w:cs="Times New Roman"/>
        </w:rPr>
      </w:pPr>
      <w:bookmarkStart w:id="8" w:name="_Toc161910906"/>
      <w:r w:rsidRPr="003B5EF3">
        <w:rPr>
          <w:rFonts w:ascii="Times New Roman" w:hAnsi="Times New Roman" w:cs="Times New Roman"/>
        </w:rPr>
        <w:lastRenderedPageBreak/>
        <w:t>2. Odluka Europskog parlamenta</w:t>
      </w:r>
      <w:bookmarkEnd w:id="8"/>
      <w:r w:rsidRPr="003B5EF3">
        <w:rPr>
          <w:rFonts w:ascii="Times New Roman" w:hAnsi="Times New Roman" w:cs="Times New Roman"/>
        </w:rPr>
        <w:t xml:space="preserve"> od 11. travnja 2024. </w:t>
      </w:r>
      <w:r w:rsidR="000C03EE" w:rsidRPr="003B5EF3">
        <w:rPr>
          <w:rFonts w:ascii="Times New Roman" w:hAnsi="Times New Roman" w:cs="Times New Roman"/>
        </w:rPr>
        <w:t>o zaključenju poslovnih knjiga Agencije Europske unije za osposobljavanje u području izvršavanja zakonodavstva (CEPOL) za financijsku godinu 2022.</w:t>
      </w:r>
      <w:r w:rsidRPr="003B5EF3">
        <w:rPr>
          <w:rFonts w:ascii="Times New Roman" w:hAnsi="Times New Roman" w:cs="Times New Roman"/>
        </w:rPr>
        <w:t xml:space="preserve"> </w:t>
      </w:r>
      <w:r w:rsidR="000C03EE" w:rsidRPr="003B5EF3">
        <w:rPr>
          <w:rFonts w:ascii="Times New Roman" w:hAnsi="Times New Roman" w:cs="Times New Roman"/>
        </w:rPr>
        <w:t>(2023/2144(DEC))</w:t>
      </w:r>
    </w:p>
    <w:p w:rsidR="000C03EE" w:rsidRPr="003B5EF3" w:rsidRDefault="000C03EE" w:rsidP="000C03EE">
      <w:pPr>
        <w:pStyle w:val="EPComma"/>
      </w:pPr>
      <w:r w:rsidRPr="003B5EF3">
        <w:rPr>
          <w:i/>
        </w:rPr>
        <w:t>Europski parlament</w:t>
      </w:r>
      <w:r w:rsidRPr="003B5EF3">
        <w:t>,</w:t>
      </w:r>
    </w:p>
    <w:p w:rsidR="000C03EE" w:rsidRPr="003B5EF3" w:rsidRDefault="000C03EE" w:rsidP="000C03EE">
      <w:pPr>
        <w:pStyle w:val="NormalHanging12a"/>
      </w:pPr>
      <w:r w:rsidRPr="003B5EF3">
        <w:t>–</w:t>
      </w:r>
      <w:r w:rsidRPr="003B5EF3">
        <w:tab/>
        <w:t>uzimajući u obzir završnu godišnju računovodstvenu dokumentaciju Agencije Europske unije za osposobljavanje u području izvršavanja zakonodavstva (CEPOL) za financijsku godinu 2022.,</w:t>
      </w:r>
    </w:p>
    <w:p w:rsidR="000C03EE" w:rsidRPr="003B5EF3" w:rsidRDefault="000C03EE" w:rsidP="000C03EE">
      <w:pPr>
        <w:pStyle w:val="NormalHanging12a"/>
      </w:pPr>
      <w:r w:rsidRPr="003B5EF3">
        <w:t>–</w:t>
      </w:r>
      <w:r w:rsidRPr="003B5EF3">
        <w:tab/>
        <w:t>uzimajući u obzir godišnje izvješće Revizorskog suda o agencijama EU-a za financijsku godinu 2022., kojemu su priloženi odgovori agencija</w:t>
      </w:r>
      <w:r w:rsidRPr="003B5EF3">
        <w:rPr>
          <w:rStyle w:val="FootnoteReference"/>
        </w:rPr>
        <w:footnoteReference w:id="6"/>
      </w:r>
      <w:r w:rsidRPr="003B5EF3">
        <w:t>,</w:t>
      </w:r>
    </w:p>
    <w:p w:rsidR="000C03EE" w:rsidRPr="003B5EF3" w:rsidRDefault="000C03EE" w:rsidP="000C03EE">
      <w:pPr>
        <w:pStyle w:val="NormalHanging12a"/>
      </w:pPr>
      <w:r w:rsidRPr="003B5EF3">
        <w:t>–</w:t>
      </w:r>
      <w:r w:rsidRPr="003B5EF3">
        <w:tab/>
        <w:t>uzimajući u obzir izjavu o jamstvu</w:t>
      </w:r>
      <w:r w:rsidRPr="003B5EF3">
        <w:rPr>
          <w:rStyle w:val="FootnoteReference"/>
        </w:rPr>
        <w:footnoteReference w:id="7"/>
      </w:r>
      <w:r w:rsidRPr="003B5EF3">
        <w:t xml:space="preserve"> u pogledu pouzdanosti računa te zakonitosti i pravilnosti povezanih transakcija, koju je podnio Revizorski sud za financijsku godinu 2022., u skladu s člankom 287. Ugovora o funkcioniranju Europske unije,</w:t>
      </w:r>
    </w:p>
    <w:p w:rsidR="000C03EE" w:rsidRPr="003B5EF3" w:rsidRDefault="000C03EE" w:rsidP="000C03EE">
      <w:pPr>
        <w:pStyle w:val="NormalHanging12a"/>
      </w:pPr>
      <w:r w:rsidRPr="003B5EF3">
        <w:t>–</w:t>
      </w:r>
      <w:r w:rsidRPr="003B5EF3">
        <w:tab/>
        <w:t>uzimajući u obzir preporuku Vijeća od 22. veljače 2024. o razrješnici koju Agencija treba dobiti za izvršenje proračuna za</w:t>
      </w:r>
      <w:r w:rsidR="008E609F" w:rsidRPr="003B5EF3">
        <w:t xml:space="preserve"> financijsku godinu 2022. (06180/2024 – C9</w:t>
      </w:r>
      <w:r w:rsidR="008E609F" w:rsidRPr="003B5EF3">
        <w:noBreakHyphen/>
        <w:t>0082</w:t>
      </w:r>
      <w:r w:rsidRPr="003B5EF3">
        <w:t>/2024),</w:t>
      </w:r>
    </w:p>
    <w:p w:rsidR="000C03EE" w:rsidRPr="003B5EF3" w:rsidRDefault="000C03EE" w:rsidP="000C03EE">
      <w:pPr>
        <w:pStyle w:val="NormalHanging12a"/>
      </w:pPr>
      <w:r w:rsidRPr="003B5EF3">
        <w:t>–</w:t>
      </w:r>
      <w:r w:rsidRPr="003B5EF3">
        <w:tab/>
        <w:t>uzimajući u obzir članak 319. Ugovora o funkcioniranju Europske unije,</w:t>
      </w:r>
    </w:p>
    <w:p w:rsidR="000C03EE" w:rsidRPr="003B5EF3" w:rsidRDefault="000C03EE" w:rsidP="000C03EE">
      <w:pPr>
        <w:pStyle w:val="NormalHanging12a"/>
      </w:pPr>
      <w:r w:rsidRPr="003B5EF3">
        <w:t>–</w:t>
      </w:r>
      <w:r w:rsidRPr="003B5E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3B5EF3">
        <w:rPr>
          <w:rStyle w:val="FootnoteReference"/>
        </w:rPr>
        <w:footnoteReference w:id="8"/>
      </w:r>
      <w:r w:rsidRPr="003B5EF3">
        <w:t>, a posebno njezin članak 70.</w:t>
      </w:r>
      <w:r w:rsidR="00995E60">
        <w:t>,</w:t>
      </w:r>
    </w:p>
    <w:p w:rsidR="000C03EE" w:rsidRPr="003B5EF3" w:rsidRDefault="000C03EE" w:rsidP="000C03EE">
      <w:pPr>
        <w:pStyle w:val="NormalHanging12a"/>
      </w:pPr>
      <w:r w:rsidRPr="003B5EF3">
        <w:t>–</w:t>
      </w:r>
      <w:r w:rsidRPr="003B5EF3">
        <w:tab/>
        <w:t>uzimajući u obzir Uredbu (EU) 2015/2219 Europskog parlamenta i Vijeća od 25. studenoga 2015. o Agenciji Europske unije za osposobljavanje u području izvršavanja zakonodavstva (CEPOL) i o zamjeni i stavljanju izvan snage Odluke Vijeća 2005/681/PUP</w:t>
      </w:r>
      <w:r w:rsidRPr="003B5EF3">
        <w:rPr>
          <w:rStyle w:val="FootnoteReference"/>
        </w:rPr>
        <w:footnoteReference w:id="9"/>
      </w:r>
      <w:r w:rsidRPr="003B5EF3">
        <w:t>, a posebno njezin članak 20.,</w:t>
      </w:r>
    </w:p>
    <w:p w:rsidR="000C03EE" w:rsidRPr="003B5EF3" w:rsidRDefault="000C03EE" w:rsidP="000C03EE">
      <w:pPr>
        <w:pStyle w:val="NormalHanging12a"/>
      </w:pPr>
      <w:r w:rsidRPr="003B5EF3">
        <w:t>–</w:t>
      </w:r>
      <w:r w:rsidRPr="003B5EF3">
        <w:tab/>
        <w:t xml:space="preserve">uzimajući u obzir Delegiranu uredbu Komisije (EU) 2019/715 od 18. prosinca 2018. o okvirnoj financijskoj uredbi za tijela osnovana na temelju Ugovora o funkcioniranju Europske unije i Ugovora o </w:t>
      </w:r>
      <w:proofErr w:type="spellStart"/>
      <w:r w:rsidRPr="003B5EF3">
        <w:t>Euratomu</w:t>
      </w:r>
      <w:proofErr w:type="spellEnd"/>
      <w:r w:rsidRPr="003B5EF3">
        <w:t xml:space="preserve"> na koja se upućuje u članku 70. Uredbe (EU, Euratom) 2018/1046 Europskog parlamenta i Vijeća</w:t>
      </w:r>
      <w:r w:rsidRPr="003B5EF3">
        <w:rPr>
          <w:rStyle w:val="FootnoteReference"/>
        </w:rPr>
        <w:footnoteReference w:id="10"/>
      </w:r>
      <w:r w:rsidRPr="003B5EF3">
        <w:t>, a posebno njezin članak 105.,</w:t>
      </w:r>
    </w:p>
    <w:p w:rsidR="000C03EE" w:rsidRPr="003B5EF3" w:rsidRDefault="000C03EE" w:rsidP="000C03EE">
      <w:pPr>
        <w:pStyle w:val="NormalHanging12a"/>
      </w:pPr>
      <w:r w:rsidRPr="003B5EF3">
        <w:t>–</w:t>
      </w:r>
      <w:r w:rsidRPr="003B5EF3">
        <w:tab/>
        <w:t>uzimajući u obzir članak 100. Poslovnika i Prilog V. Poslovniku,</w:t>
      </w:r>
    </w:p>
    <w:p w:rsidR="000C03EE" w:rsidRPr="003B5EF3" w:rsidRDefault="000C03EE" w:rsidP="000C03EE">
      <w:pPr>
        <w:pStyle w:val="NormalHanging12a"/>
      </w:pPr>
      <w:r w:rsidRPr="003B5EF3">
        <w:t>–</w:t>
      </w:r>
      <w:r w:rsidRPr="003B5EF3">
        <w:tab/>
        <w:t>uzimajući u obzir mišljenje Odbora za građanske slobode, pravosuđe i unutarnje poslove,</w:t>
      </w:r>
    </w:p>
    <w:p w:rsidR="000C03EE" w:rsidRPr="003B5EF3" w:rsidRDefault="000C03EE" w:rsidP="000C03EE">
      <w:pPr>
        <w:pStyle w:val="NormalHanging12a"/>
      </w:pPr>
      <w:r w:rsidRPr="003B5EF3">
        <w:lastRenderedPageBreak/>
        <w:t>–</w:t>
      </w:r>
      <w:r w:rsidRPr="003B5EF3">
        <w:tab/>
        <w:t>uzimajući u obzir izvješće Odbora za proračunski nadzor (A9</w:t>
      </w:r>
      <w:r w:rsidRPr="003B5EF3">
        <w:noBreakHyphen/>
        <w:t>0098/2024),</w:t>
      </w:r>
    </w:p>
    <w:p w:rsidR="000C03EE" w:rsidRPr="003B5EF3" w:rsidRDefault="000C03EE" w:rsidP="000C03EE">
      <w:pPr>
        <w:pStyle w:val="NormalHanging12a"/>
      </w:pPr>
      <w:r w:rsidRPr="003B5EF3">
        <w:t>1.</w:t>
      </w:r>
      <w:r w:rsidRPr="003B5EF3">
        <w:tab/>
        <w:t>odobrava zaključenje poslovnih knjiga Agencije Europske unije za osposobljavanje u području izvršavanja zakonodavstva (CEP</w:t>
      </w:r>
      <w:r w:rsidR="00995E60">
        <w:t>OL) za financijsku godinu 2022.;</w:t>
      </w:r>
      <w:bookmarkStart w:id="9" w:name="_GoBack"/>
      <w:bookmarkEnd w:id="9"/>
    </w:p>
    <w:p w:rsidR="000C03EE" w:rsidRPr="003B5EF3" w:rsidRDefault="000C03EE" w:rsidP="000C03EE">
      <w:pPr>
        <w:pStyle w:val="NormalHanging12a"/>
      </w:pPr>
      <w:r w:rsidRPr="003B5EF3">
        <w:t>2.</w:t>
      </w:r>
      <w:r w:rsidRPr="003B5EF3">
        <w:tab/>
        <w:t xml:space="preserve">nalaže svojoj predsjednici da ovu Odluku proslijedi izvršnoj direktorici Agencije Europske unije za osposobljavanje u području izvršavanja zakonodavstva (CEPOL), Vijeću, Komisiji i Revizorskom sudu te da je da na objavu u </w:t>
      </w:r>
      <w:r w:rsidRPr="003B5EF3">
        <w:rPr>
          <w:i/>
        </w:rPr>
        <w:t>Službenom listu Europske unije</w:t>
      </w:r>
      <w:r w:rsidRPr="003B5EF3">
        <w:t xml:space="preserve"> (serija L).</w:t>
      </w:r>
    </w:p>
    <w:p w:rsidR="000C03EE" w:rsidRPr="003B5EF3" w:rsidRDefault="000C03EE" w:rsidP="000C03EE"/>
    <w:p w:rsidR="000C03EE" w:rsidRPr="003B5EF3" w:rsidRDefault="000C03EE" w:rsidP="000C03EE">
      <w:pPr>
        <w:pStyle w:val="NormalHanging12a"/>
        <w:rPr>
          <w:b/>
        </w:rPr>
        <w:sectPr w:rsidR="000C03EE" w:rsidRPr="003B5EF3" w:rsidSect="00664DB4">
          <w:footnotePr>
            <w:numRestart w:val="eachPage"/>
          </w:footnotePr>
          <w:endnotePr>
            <w:numFmt w:val="decimal"/>
          </w:endnotePr>
          <w:pgSz w:w="11906" w:h="16838" w:code="9"/>
          <w:pgMar w:top="1134" w:right="1418" w:bottom="1418" w:left="1418" w:header="567" w:footer="567" w:gutter="0"/>
          <w:cols w:space="720"/>
          <w:noEndnote/>
          <w:docGrid w:linePitch="326"/>
        </w:sectPr>
      </w:pPr>
    </w:p>
    <w:p w:rsidR="000C03EE" w:rsidRPr="003B5EF3" w:rsidRDefault="008E609F" w:rsidP="008E609F">
      <w:pPr>
        <w:pStyle w:val="PageHeading"/>
        <w:jc w:val="left"/>
        <w:rPr>
          <w:rFonts w:ascii="Times New Roman" w:hAnsi="Times New Roman" w:cs="Times New Roman"/>
        </w:rPr>
      </w:pPr>
      <w:bookmarkStart w:id="10" w:name="_Toc161910907"/>
      <w:r w:rsidRPr="003B5EF3">
        <w:rPr>
          <w:rFonts w:ascii="Times New Roman" w:hAnsi="Times New Roman" w:cs="Times New Roman"/>
        </w:rPr>
        <w:lastRenderedPageBreak/>
        <w:t>3. Rezolucija Europskog parlamenta</w:t>
      </w:r>
      <w:bookmarkEnd w:id="10"/>
      <w:r w:rsidRPr="003B5EF3">
        <w:rPr>
          <w:rFonts w:ascii="Times New Roman" w:hAnsi="Times New Roman" w:cs="Times New Roman"/>
        </w:rPr>
        <w:t xml:space="preserve"> od 11. travnja 2024. </w:t>
      </w:r>
      <w:r w:rsidR="000C03EE" w:rsidRPr="003B5EF3">
        <w:rPr>
          <w:rFonts w:ascii="Times New Roman" w:hAnsi="Times New Roman" w:cs="Times New Roman"/>
        </w:rPr>
        <w:t>s primjedbama koje su sastavni dio Odluke o razrješnici za izvršenje proračuna Agencije Europske unije za osposobljavanje u području izvršavanja zakonodavstva (CEPOL) za financijsku godinu 2022.</w:t>
      </w:r>
      <w:r w:rsidRPr="003B5EF3">
        <w:rPr>
          <w:rFonts w:ascii="Times New Roman" w:hAnsi="Times New Roman" w:cs="Times New Roman"/>
        </w:rPr>
        <w:t xml:space="preserve"> </w:t>
      </w:r>
      <w:r w:rsidR="000C03EE" w:rsidRPr="003B5EF3">
        <w:rPr>
          <w:rFonts w:ascii="Times New Roman" w:hAnsi="Times New Roman" w:cs="Times New Roman"/>
        </w:rPr>
        <w:t>(2023/2144(DEC))</w:t>
      </w:r>
    </w:p>
    <w:p w:rsidR="000C03EE" w:rsidRPr="003B5EF3" w:rsidRDefault="000C03EE" w:rsidP="000C03EE">
      <w:pPr>
        <w:pStyle w:val="EPComma"/>
      </w:pPr>
      <w:r w:rsidRPr="003B5EF3">
        <w:rPr>
          <w:i/>
        </w:rPr>
        <w:t>Europski parlament</w:t>
      </w:r>
      <w:r w:rsidRPr="003B5EF3">
        <w:t>,</w:t>
      </w:r>
    </w:p>
    <w:p w:rsidR="000C03EE" w:rsidRPr="003B5EF3" w:rsidRDefault="000C03EE" w:rsidP="000C03EE">
      <w:pPr>
        <w:pStyle w:val="NormalHanging12a"/>
      </w:pPr>
      <w:r w:rsidRPr="003B5EF3">
        <w:t>–</w:t>
      </w:r>
      <w:r w:rsidRPr="003B5EF3">
        <w:tab/>
        <w:t>uzimajući u obzir svoju Odluku o razrješnici za izvršenje proračuna Agencije Europske unije za osposobljavanje u području izvršavanja zakonodavstva (CEPOL) za financijsku godinu 2022.,</w:t>
      </w:r>
    </w:p>
    <w:p w:rsidR="000C03EE" w:rsidRPr="003B5EF3" w:rsidRDefault="000C03EE" w:rsidP="000C03EE">
      <w:pPr>
        <w:pStyle w:val="NormalHanging12a"/>
      </w:pPr>
      <w:r w:rsidRPr="003B5EF3">
        <w:t>–</w:t>
      </w:r>
      <w:r w:rsidRPr="003B5EF3">
        <w:tab/>
        <w:t>uzimajući u obzir članak 100. Poslovnika i Prilog V. Poslovniku,</w:t>
      </w:r>
    </w:p>
    <w:p w:rsidR="000C03EE" w:rsidRPr="003B5EF3" w:rsidRDefault="000C03EE" w:rsidP="000C03EE">
      <w:pPr>
        <w:pStyle w:val="NormalHanging12a"/>
      </w:pPr>
      <w:r w:rsidRPr="003B5EF3">
        <w:t>–</w:t>
      </w:r>
      <w:r w:rsidRPr="003B5EF3">
        <w:tab/>
        <w:t>uzimajući u obzir mišljenje Odbora za građanske slobode, pravosuđe i unutarnje poslove,</w:t>
      </w:r>
    </w:p>
    <w:p w:rsidR="000C03EE" w:rsidRPr="003B5EF3" w:rsidRDefault="000C03EE" w:rsidP="000C03EE">
      <w:pPr>
        <w:pStyle w:val="NormalHanging12a"/>
      </w:pPr>
      <w:r w:rsidRPr="003B5EF3">
        <w:t>–</w:t>
      </w:r>
      <w:r w:rsidRPr="003B5EF3">
        <w:tab/>
        <w:t>uzimajući u obzir izvješće Odbora za proračunski nadzor (A9</w:t>
      </w:r>
      <w:r w:rsidRPr="003B5EF3">
        <w:noBreakHyphen/>
        <w:t>0098/2024),</w:t>
      </w:r>
    </w:p>
    <w:p w:rsidR="000C03EE" w:rsidRPr="003B5EF3" w:rsidRDefault="000C03EE" w:rsidP="000C03EE">
      <w:pPr>
        <w:pStyle w:val="ListParagraph"/>
        <w:widowControl w:val="0"/>
        <w:spacing w:after="240"/>
        <w:ind w:left="567" w:hanging="567"/>
        <w:contextualSpacing w:val="0"/>
        <w:jc w:val="left"/>
        <w:rPr>
          <w:rFonts w:eastAsia="Times New Roman"/>
        </w:rPr>
      </w:pPr>
      <w:r w:rsidRPr="003B5EF3">
        <w:t>A.</w:t>
      </w:r>
      <w:r w:rsidRPr="003B5EF3">
        <w:tab/>
        <w:t>budući da je, prema njezinu izvještaju o prihodima i rashodima</w:t>
      </w:r>
      <w:r w:rsidRPr="003B5EF3">
        <w:rPr>
          <w:rStyle w:val="FootnoteReference"/>
          <w:rFonts w:eastAsia="Times New Roman"/>
          <w:lang w:eastAsia="en-GB"/>
        </w:rPr>
        <w:footnoteReference w:id="11"/>
      </w:r>
      <w:r w:rsidRPr="003B5EF3">
        <w:t>, konačni proračun Agencije Europske unije za osposobljavanje u području izvršavanja zakonodavstva</w:t>
      </w:r>
      <w:r w:rsidRPr="003B5EF3">
        <w:rPr>
          <w:i/>
        </w:rPr>
        <w:t xml:space="preserve"> </w:t>
      </w:r>
      <w:r w:rsidRPr="003B5EF3">
        <w:t>(CEPOL) (dalje u tekstu „Agencija”) za financijsku godinu 2022. iznosio 28 295 362 EUR, što predstavlja smanjenje od 5,82 % u odnosu na 2021.; budući da se Agencija financira iz doprinosa Unije i vanjskih namjenskih prihoda za posebne projekte;</w:t>
      </w:r>
    </w:p>
    <w:p w:rsidR="000C03EE" w:rsidRPr="003B5EF3" w:rsidRDefault="000C03EE" w:rsidP="000C03EE">
      <w:pPr>
        <w:spacing w:after="240"/>
        <w:ind w:left="567" w:hanging="567"/>
        <w:rPr>
          <w:szCs w:val="24"/>
        </w:rPr>
      </w:pPr>
      <w:r w:rsidRPr="003B5EF3">
        <w:t>B.</w:t>
      </w:r>
      <w:r w:rsidRPr="003B5EF3">
        <w:tab/>
        <w:t>budući da je Revizorski sud u svojem izvješću o godišnjoj računovodstvenoj dokumentaciji Agencije za financijsku godinu 2022. („izvješće Revizorskog suda”) izjavio da je dobio razumno jamstvo da je godišnja računovodstvena dokumentacija Agencije pouzdana te da su temeljne transakcije u pogledu prihoda zakonite i pravilne u svim značajnim aspektima; budući da je Revizorski sud utvrdio nepravilna plaćanja u ukupnom iznosu od 4,2 milijuna EUR, od čega 4,1 milijun EUR u vezi s 359 plaćanja izvršenih na temelju dvaju okvirnih ugovora provedenih na temelju zahtjeva za usluge koje su u ime Agencije uputili članovi osoblja koji nisu bili ovlašteni za preuzimanje pravnih obveza, a 152 655 EUR kao plaćanja izvršena 2022. na temelju okvirnog ugovora u vezi s kojima se neki od isplaćenih iznosa nisu mogli uskladiti s pruženim uslugama, što čini ukupno 13,5 % odobrenih sredstava za plaćanje dostupnih 2022., čime je prekoračen prag značajnosti utvrđen za reviziju, te je stoga Revizorski sud dao uvjetno mišljenje o zakonitosti i pravilnosti plaćanja povezanih s računovodstvenom dokumentacijom; budući da je Revizorski sud, osim za neusklađena plaćanja, zaključio da su temeljne transakcije u pogledu plaćanja za godinu koja je završila 31. prosinca 2022. zakonite i pravilne u svim bitnim aspektima;</w:t>
      </w:r>
    </w:p>
    <w:p w:rsidR="000C03EE" w:rsidRPr="003B5EF3" w:rsidRDefault="000C03EE" w:rsidP="000C03EE">
      <w:pPr>
        <w:spacing w:after="240"/>
        <w:ind w:left="567" w:hanging="567"/>
        <w:rPr>
          <w:b/>
          <w:i/>
          <w:szCs w:val="24"/>
        </w:rPr>
      </w:pPr>
      <w:r w:rsidRPr="003B5EF3">
        <w:rPr>
          <w:b/>
          <w:i/>
        </w:rPr>
        <w:t>Proračunsko i financijsko upravljanje</w:t>
      </w:r>
    </w:p>
    <w:p w:rsidR="000C03EE" w:rsidRPr="003B5EF3" w:rsidRDefault="000C03EE" w:rsidP="000C03EE">
      <w:pPr>
        <w:spacing w:after="240"/>
        <w:ind w:left="567" w:hanging="567"/>
        <w:rPr>
          <w:szCs w:val="24"/>
        </w:rPr>
      </w:pPr>
      <w:r w:rsidRPr="003B5EF3">
        <w:t>1.</w:t>
      </w:r>
      <w:r w:rsidRPr="003B5EF3">
        <w:rPr>
          <w:color w:val="FFFFFF" w:themeColor="background1"/>
        </w:rPr>
        <w:tab/>
      </w:r>
      <w:r w:rsidRPr="003B5EF3">
        <w:t xml:space="preserve">sa zadovoljstvom napominje da je praćenje proračuna tijekom financijske godine 2022. rezultiralo stopom izvršenja proračuna od 100 %, što je povećanje od 3,21 % u odnosu na 2021.; konstatira da je stopa izvršenja odobrenih sredstava za plaćanje iznosila 84,66 %, što je povećanje od 12,93 % u odnosu na 2021.; nadalje napominje da je 1,6 milijuna EUR, što čini 15 % obveza 2022., preneseno u 2023.; napominje da je stopa </w:t>
      </w:r>
      <w:r w:rsidRPr="003B5EF3">
        <w:lastRenderedPageBreak/>
        <w:t>izvršenja proračuna u pogledu fondova Unije za vanjsku pomoć namijenjenih za pomoć trećim zemljama u izgradnji njihovih kapaciteta u relevantnim područjima politike izvršavanja zakonodavstva dosegnula 48,5 % do kraja 2022.;</w:t>
      </w:r>
    </w:p>
    <w:p w:rsidR="000C03EE" w:rsidRPr="003B5EF3" w:rsidRDefault="000C03EE" w:rsidP="000C03EE">
      <w:pPr>
        <w:spacing w:after="240"/>
        <w:ind w:left="567" w:hanging="567"/>
        <w:rPr>
          <w:b/>
          <w:i/>
          <w:szCs w:val="24"/>
        </w:rPr>
      </w:pPr>
      <w:r w:rsidRPr="003B5EF3">
        <w:rPr>
          <w:b/>
          <w:i/>
        </w:rPr>
        <w:t>Uspješnost</w:t>
      </w:r>
    </w:p>
    <w:p w:rsidR="000C03EE" w:rsidRPr="003B5EF3" w:rsidRDefault="000C03EE" w:rsidP="000C03EE">
      <w:pPr>
        <w:spacing w:after="240"/>
        <w:ind w:left="567" w:hanging="567"/>
        <w:rPr>
          <w:szCs w:val="24"/>
        </w:rPr>
      </w:pPr>
      <w:r w:rsidRPr="003B5EF3">
        <w:t>2.</w:t>
      </w:r>
      <w:r w:rsidRPr="003B5EF3">
        <w:tab/>
        <w:t>pohvaljuje Agenciju za stopu provedbe programa rada za 2022. od 100 % na temelju činjenice da je provedeno 418 aktivnosti osposobljavanja u odnosu na 417 planiranih aktivnosti; napominje da je Agencija 2022. nastavila osposobljavati tijela za izvršavanje zakonodavstva vraćajući se u internetsko okruženje u najvećoj mogućoj mjeri; sa zadovoljstvom prima na znanje visoku stopu zadovoljstva klijenata 2022. s obzirom na to da je 97 % sudionika u aktivnostima osposobljavanja Agencije izjavilo da su zadovoljni ili vrlo zadovoljni;</w:t>
      </w:r>
    </w:p>
    <w:p w:rsidR="000C03EE" w:rsidRPr="003B5EF3" w:rsidRDefault="000C03EE" w:rsidP="000C03EE">
      <w:pPr>
        <w:spacing w:after="240"/>
        <w:ind w:left="567" w:hanging="567"/>
        <w:rPr>
          <w:szCs w:val="24"/>
        </w:rPr>
      </w:pPr>
      <w:r w:rsidRPr="003B5EF3">
        <w:t>3.</w:t>
      </w:r>
      <w:r w:rsidRPr="003B5EF3">
        <w:tab/>
        <w:t>sa zadovoljstvom primjećuje da Agencija primjenjuje određene mjere kao ključne pokazatelje uspješnosti kako bi procijenila dodane vrijednosti svojih aktivnosti i druge mjere za poboljšanje upravljanja proračunom; napominje da su 2022. ostvareni gotovo svi ključni pokazatelji uspješnosti te da je samo jedan ostao u tijeku s rokom do kraja 2023., i to ključni pokazatelj uspješnosti koji se odnosi na postotak revizijskih preporuka zaključen u skladu s dogovorenim akcijskim planom;</w:t>
      </w:r>
    </w:p>
    <w:p w:rsidR="000C03EE" w:rsidRPr="003B5EF3" w:rsidRDefault="000C03EE" w:rsidP="000C03EE">
      <w:pPr>
        <w:spacing w:after="240"/>
        <w:ind w:left="567" w:hanging="567"/>
        <w:rPr>
          <w:szCs w:val="24"/>
        </w:rPr>
      </w:pPr>
      <w:r w:rsidRPr="003B5EF3">
        <w:t>4.</w:t>
      </w:r>
      <w:r w:rsidRPr="003B5EF3">
        <w:tab/>
        <w:t>sa zadovoljstvom primjećuje da je 2022. tečajeve osposobljavanja Agencije pohađalo 43 838 sudionika, što predstavlja značajan doseg u odnosu na planirani broj polaznika od 27 800; pohvaljuje Agenciju zbog objave druge procjene potreba za strateško osposobljavanje EU-a, u kojoj se utvrđuju strateške potrebe i potrebe za osposobljavanjem službenika za izvršavanje zakonodavstva za sljedeći ciklus Europske multidisciplinarne platforme za borbu protiv kaznenih djela za razdoblje 2022. – 2025. i za početak njezine provedbe; nadalje napominje da je novoimenovani izvršni direktor Agencije 2022. pokrenuo izradu nove strategije kojom se određuje smjer djelovanja Agencije za razdoblje 2023. – 2027.; nadalje, cijeni strateški dokument Stručne skupine za temeljna prava čiji je cilj uključivanje aspekata temeljnih prava u sve aktivnosti osposobljavanja; sa zadovoljstvom primjećuje da je 2022. organizirano ad </w:t>
      </w:r>
      <w:proofErr w:type="spellStart"/>
      <w:r w:rsidRPr="003B5EF3">
        <w:t>hoc</w:t>
      </w:r>
      <w:proofErr w:type="spellEnd"/>
      <w:r w:rsidRPr="003B5EF3">
        <w:t xml:space="preserve"> osposobljavanje o zaštiti istraživačkih novinara; pozdravlja posebne mjere osposobljavanja na temu zločina iz mržnje i širenje znanja o učinkovitim rješenjima za potporu žrtvama;</w:t>
      </w:r>
    </w:p>
    <w:p w:rsidR="000C03EE" w:rsidRPr="003B5EF3" w:rsidRDefault="000C03EE" w:rsidP="000C03EE">
      <w:pPr>
        <w:pStyle w:val="NormalHanging12a"/>
      </w:pPr>
      <w:r w:rsidRPr="003B5EF3">
        <w:t>5.</w:t>
      </w:r>
      <w:r w:rsidRPr="003B5EF3">
        <w:tab/>
        <w:t>pohvaljuje brzu reakciju Agencije na neopravdan rat u Ukrajini te provedbu, u suradnji s Vijećem Europe, prilagođenog osposobljavanja na temu obavještajnih podataka otvorenog koda za Ured ukrajinskog glavnih tužitelja;</w:t>
      </w:r>
    </w:p>
    <w:p w:rsidR="000C03EE" w:rsidRPr="003B5EF3" w:rsidRDefault="000C03EE" w:rsidP="000C03EE">
      <w:pPr>
        <w:spacing w:after="240"/>
        <w:ind w:left="567" w:hanging="567"/>
        <w:rPr>
          <w:szCs w:val="24"/>
        </w:rPr>
      </w:pPr>
      <w:r w:rsidRPr="003B5EF3">
        <w:t>6.</w:t>
      </w:r>
      <w:r w:rsidRPr="003B5EF3">
        <w:tab/>
        <w:t>prima na znanje iz konsolidiranog godišnjeg izvješća o radu Agencije za 2022. da eksponencijalno povećanje broja osposobljavanja ponuđenih posljednjih godina (s 18 000 u 2016. na gotovo 44 000 u 2022.) odražava sve veću potražnju za aktivnostima osposobljavanja koje Agencija treba provesti; u tom kontekstu napominje da bi se 2022. zbog nedostatka resursa ta potražnja mogla zadovoljiti samo povećanjem komponente učenja na internetu, koja ne zadovoljava u potpunosti potrebe dionika; podržava cilj Agencije da nastavi pružati multidisciplinarne aktivnosti koje kao sudionike uključuju policiju, carinu i službenike granične kontrole;</w:t>
      </w:r>
    </w:p>
    <w:p w:rsidR="000C03EE" w:rsidRPr="003B5EF3" w:rsidRDefault="000C03EE" w:rsidP="000C03EE">
      <w:pPr>
        <w:spacing w:after="240"/>
        <w:ind w:left="567" w:hanging="567"/>
        <w:rPr>
          <w:szCs w:val="24"/>
        </w:rPr>
      </w:pPr>
      <w:r w:rsidRPr="003B5EF3">
        <w:t>7.</w:t>
      </w:r>
      <w:r w:rsidRPr="003B5EF3">
        <w:tab/>
        <w:t xml:space="preserve">napominje da je Agencija 2022. nastavila uspješno provoditi četiri projekta izgradnje kapaciteta u trećim zemljama, izravno doprinoseći jačanju unutarnje sigurnosti Unije, </w:t>
      </w:r>
      <w:r w:rsidRPr="003B5EF3">
        <w:lastRenderedPageBreak/>
        <w:t xml:space="preserve">kao i aktivnosti osposobljavanja u okviru CEPOL-ovog Centra znanja o borbi protiv terorizma i CEPOL-ovog Centra znanja o suradnji, razmjeni informacija i </w:t>
      </w:r>
      <w:proofErr w:type="spellStart"/>
      <w:r w:rsidRPr="003B5EF3">
        <w:t>interoperabilnosti</w:t>
      </w:r>
      <w:proofErr w:type="spellEnd"/>
      <w:r w:rsidRPr="003B5EF3">
        <w:t xml:space="preserve"> u području izvršavanja zakonodavstva; pozdravlja uspješnu provedbu CEPOL-ove konferencije o istraživanju i znanosti u suradnji sa Sveučilištem </w:t>
      </w:r>
      <w:proofErr w:type="spellStart"/>
      <w:r w:rsidRPr="003B5EF3">
        <w:t>Mykolas</w:t>
      </w:r>
      <w:proofErr w:type="spellEnd"/>
      <w:r w:rsidRPr="003B5EF3">
        <w:t xml:space="preserve"> </w:t>
      </w:r>
      <w:proofErr w:type="spellStart"/>
      <w:r w:rsidRPr="003B5EF3">
        <w:t>Romeris</w:t>
      </w:r>
      <w:proofErr w:type="spellEnd"/>
      <w:r w:rsidRPr="003B5EF3">
        <w:t xml:space="preserve"> u Vilniusu, Litva, kojom se jača suradnja između sektora izvršavanja zakonodavstva i istraživačkih sektora i kojoj je prisustvovalo gotovo 200 sudionika;</w:t>
      </w:r>
    </w:p>
    <w:p w:rsidR="000C03EE" w:rsidRPr="003B5EF3" w:rsidRDefault="000C03EE" w:rsidP="000C03EE">
      <w:pPr>
        <w:pStyle w:val="NormalHanging12a"/>
        <w:jc w:val="both"/>
      </w:pPr>
      <w:r w:rsidRPr="003B5EF3">
        <w:t>8.</w:t>
      </w:r>
      <w:r w:rsidRPr="003B5EF3">
        <w:tab/>
        <w:t xml:space="preserve">podsjeća da osposobljavanje u području izvršavanja zakonodavstva na razini Unije mora odražavati prioritete Unije u skladu s potrebama država članica za osposobljavanjem i podupirati odgovor Unije na teški i organizirani kriminal i druge prijetnje unutarnjoj sigurnosti, te da bi zaštita temeljnih prava trebala biti okosnica aktivnosti osposobljavanja Agencije; prima na znanje aktivnosti osposobljavanja u području borbe protiv terorizma, uključujući financiranje terorizma, terorizma i vatrenog oružja te stranih terorističkih boraca, kao i aktivnosti usmjerene protiv ekstremizma i radikalizacije; poziva na više osposobljavanja o </w:t>
      </w:r>
      <w:proofErr w:type="spellStart"/>
      <w:r w:rsidRPr="003B5EF3">
        <w:t>kibernetičkom</w:t>
      </w:r>
      <w:proofErr w:type="spellEnd"/>
      <w:r w:rsidRPr="003B5EF3">
        <w:t xml:space="preserve"> kriminalu, </w:t>
      </w:r>
      <w:proofErr w:type="spellStart"/>
      <w:r w:rsidRPr="003B5EF3">
        <w:t>kibernetičkoj</w:t>
      </w:r>
      <w:proofErr w:type="spellEnd"/>
      <w:r w:rsidRPr="003B5EF3">
        <w:t xml:space="preserve"> forenzici, umjetnoj inteligenciji, zaštiti podataka, temeljnim pravima i borbi protiv rasizma na razini Unije; poziva Agenciju da u svim svojim aktivnostima, naročito u aktivnostima s trećim zemljama, osigura potpunu transparentnost i potpuno poštovanje temeljnih prava i međunarodnog prava;</w:t>
      </w:r>
    </w:p>
    <w:p w:rsidR="000C03EE" w:rsidRPr="003B5EF3" w:rsidRDefault="000C03EE" w:rsidP="000C03EE">
      <w:pPr>
        <w:spacing w:after="240"/>
        <w:ind w:left="567" w:hanging="567"/>
        <w:rPr>
          <w:szCs w:val="24"/>
        </w:rPr>
      </w:pPr>
      <w:r w:rsidRPr="003B5EF3">
        <w:t>9.</w:t>
      </w:r>
      <w:r w:rsidRPr="003B5EF3">
        <w:tab/>
        <w:t>napominje da je Agencija uspješno zadržala svoju certifikaciju u skladu sa sustavom upravljanja kvalitetom ISO 9001:2015 i pripremila daljnje proširenje primjene norme ISO 29993:2017 za usluge učenja, što i dalje pokazuje da Agencija osigurava učinkovito funkcioniranje sustava kvalitete;</w:t>
      </w:r>
    </w:p>
    <w:p w:rsidR="000C03EE" w:rsidRPr="003B5EF3" w:rsidRDefault="000C03EE" w:rsidP="000C03EE">
      <w:pPr>
        <w:widowControl/>
        <w:spacing w:after="240"/>
        <w:ind w:left="567" w:hanging="567"/>
        <w:rPr>
          <w:b/>
          <w:i/>
          <w:szCs w:val="24"/>
        </w:rPr>
      </w:pPr>
      <w:r w:rsidRPr="003B5EF3">
        <w:rPr>
          <w:b/>
          <w:i/>
        </w:rPr>
        <w:t>Povećanje učinkovitosti</w:t>
      </w:r>
    </w:p>
    <w:p w:rsidR="000C03EE" w:rsidRPr="003B5EF3" w:rsidRDefault="000C03EE" w:rsidP="000C03EE">
      <w:pPr>
        <w:spacing w:after="240"/>
        <w:ind w:left="567" w:hanging="567"/>
        <w:rPr>
          <w:szCs w:val="24"/>
        </w:rPr>
      </w:pPr>
      <w:r w:rsidRPr="003B5EF3">
        <w:t>10.</w:t>
      </w:r>
      <w:r w:rsidRPr="003B5EF3">
        <w:tab/>
        <w:t xml:space="preserve">napominje da Agencija nastavlja blisko surađivati s Mrežom agencija za pravosuđe i unutarnje poslove i agencijama od kojih se ona sastoji, uključujući posebno </w:t>
      </w:r>
      <w:r w:rsidRPr="003B5EF3">
        <w:rPr>
          <w:rStyle w:val="pointer"/>
        </w:rPr>
        <w:t>Agenciju Europske unije za suradnju tijela za izvršavanje zakonodavstva</w:t>
      </w:r>
      <w:r w:rsidRPr="003B5EF3">
        <w:t xml:space="preserve"> (</w:t>
      </w:r>
      <w:proofErr w:type="spellStart"/>
      <w:r w:rsidRPr="003B5EF3">
        <w:t>Europol</w:t>
      </w:r>
      <w:proofErr w:type="spellEnd"/>
      <w:r w:rsidRPr="003B5EF3">
        <w:t xml:space="preserve">) i Agenciju za europsku graničnu i obalnu stražu, dijeljenjem aktivnosti osposobljavanja i zajedničkim organiziranjem tečajeva; napominje da je u tom kontekstu Agencija 2022. predsjedala Mrežom agencija za pravosuđe i unutarnje poslove; nadalje napominje da je Agencija sklopila sporazum, koji je na snazi od 2023., s Europskim centrom za praćenje droga i ovisnosti o drogama (EMCDDA) o davanju u zakup platforme za učenje </w:t>
      </w:r>
      <w:proofErr w:type="spellStart"/>
      <w:r w:rsidRPr="003B5EF3">
        <w:t>LEEd</w:t>
      </w:r>
      <w:proofErr w:type="spellEnd"/>
      <w:r w:rsidRPr="003B5EF3">
        <w:t xml:space="preserve"> Agencije, čime se EMCDDA-u bez naknade osigurava moderna platforma za učenje za njegovu zajednicu; poziva Agenciju da nastavi suradnju s drugim agencijama kako bi se mogla iskoristiti sva raspoloživa sredstva;</w:t>
      </w:r>
    </w:p>
    <w:p w:rsidR="000C03EE" w:rsidRPr="003B5EF3" w:rsidRDefault="000C03EE" w:rsidP="000C03EE">
      <w:pPr>
        <w:spacing w:after="240"/>
        <w:ind w:left="567" w:hanging="567"/>
        <w:rPr>
          <w:szCs w:val="24"/>
        </w:rPr>
      </w:pPr>
      <w:r w:rsidRPr="003B5EF3">
        <w:t>11.</w:t>
      </w:r>
      <w:r w:rsidRPr="003B5EF3">
        <w:tab/>
        <w:t>pohvaljuje Agenciju zbog postizanja relativno visoke razine digitalizacije svojih procesa od kojih su mnogi pretvoreni u sustav bez papira ili elektronički sustav, na primjer sustav podnošenja e-nabave za otvorene postupke i e-natječaje, e-zapošljavanje, e-upravljanje ljudskim resursima (SYSPER), e-fakturiranje, elektroničke rezervacije putovanja, često u bliskoj suradnji s Komisijinom Glavnom upravom za digitalne usluge;</w:t>
      </w:r>
    </w:p>
    <w:p w:rsidR="000C03EE" w:rsidRPr="003B5EF3" w:rsidRDefault="000C03EE" w:rsidP="000C03EE">
      <w:pPr>
        <w:spacing w:after="240"/>
        <w:ind w:left="567" w:hanging="567"/>
        <w:rPr>
          <w:szCs w:val="24"/>
        </w:rPr>
      </w:pPr>
      <w:r w:rsidRPr="003B5EF3">
        <w:t>12.</w:t>
      </w:r>
      <w:r w:rsidRPr="003B5EF3">
        <w:tab/>
        <w:t xml:space="preserve">prima na znanje interna pravila Agencije prema kojima osoblje (i sudionici u aktivnostima osposobljavanja) na kratkim udaljenostima mora koristiti alternative letenju kao što su putovanje vlakom ili autobusom; sa zadovoljstvom prima na znanje da Agencija od 2022. svojem osoblju nudi povrat troškova za korištenje javnog prijevoza; nadalje napominje da se mnogi sastanci stručnih skupina koji su se prethodno </w:t>
      </w:r>
      <w:r w:rsidRPr="003B5EF3">
        <w:lastRenderedPageBreak/>
        <w:t>održavali uživo sada održavaju na internetu; žali zbog toga što Agencija nema uspostavljen sustav za objektivno i detaljno praćenje razvoja dobitaka i ušteda iz godine u godinu te poziva Agenciju da uspostavi takav sustav;</w:t>
      </w:r>
    </w:p>
    <w:p w:rsidR="000C03EE" w:rsidRPr="003B5EF3" w:rsidRDefault="000C03EE" w:rsidP="000C03EE">
      <w:pPr>
        <w:spacing w:after="240"/>
        <w:ind w:left="567" w:hanging="567"/>
        <w:rPr>
          <w:szCs w:val="24"/>
        </w:rPr>
      </w:pPr>
      <w:r w:rsidRPr="003B5EF3">
        <w:t>13.</w:t>
      </w:r>
      <w:r w:rsidRPr="003B5EF3">
        <w:tab/>
        <w:t>prima na znanje, iz izvješća Revizorskog suda, da Agencija nema poslovni plan za povećanje energetske učinkovitosti i klimatske neutralnosti svojeg rada; žali zbog toga što Agencija još nije započela postupak certificiranja u okviru sustava upravljanja okolišem i neovisnog ocjenjivanja (EMAS); međutim, napominje da je Agencija u zahtjevima za novu zgradu sjedišta navela da će u bliskoj budućnosti prijeći na certifikaciju EMAS; u istom kontekstu napominje da Agencija slijedi smjernice Komisije, pri čemu su u većini postupaka javne nabave uključeni i kriteriji za dodjelu povezani s pitanjima okoliša; poziva Agenciju da u području zelene nabave slijedi primjere drugih agencija;</w:t>
      </w:r>
    </w:p>
    <w:p w:rsidR="000C03EE" w:rsidRPr="003B5EF3" w:rsidRDefault="000C03EE" w:rsidP="000C03EE">
      <w:pPr>
        <w:spacing w:after="240"/>
        <w:ind w:left="567" w:hanging="567"/>
        <w:rPr>
          <w:b/>
          <w:i/>
          <w:szCs w:val="24"/>
        </w:rPr>
      </w:pPr>
      <w:r w:rsidRPr="003B5EF3">
        <w:rPr>
          <w:b/>
          <w:i/>
        </w:rPr>
        <w:t>Kadrovska politika</w:t>
      </w:r>
    </w:p>
    <w:p w:rsidR="000C03EE" w:rsidRPr="003B5EF3" w:rsidRDefault="000C03EE" w:rsidP="000C03EE">
      <w:pPr>
        <w:spacing w:after="240"/>
        <w:ind w:left="567" w:hanging="567"/>
        <w:rPr>
          <w:szCs w:val="24"/>
        </w:rPr>
      </w:pPr>
      <w:r w:rsidRPr="003B5EF3">
        <w:t>14.</w:t>
      </w:r>
      <w:r w:rsidRPr="003B5EF3">
        <w:tab/>
        <w:t>prima na znanje da je na dan 31. prosinca 2022. izvršeno 79 % plana radnih mjesta, tj. zaposleno je 26 privremenih djelatnika od njih ukupno 33 koji su odobreni u okviru proračuna Unije (isti broj odobrenih radnih mjesta kao i 2021.); također prima na znanje da je 2022. za Agenciju radilo 59 ugovornih djelatnika (od toga 20 za redovite aktivnosti, a 39 za projekte izgradnje kapaciteta financirane vanjskim sredstvima) i šest upućenih nacionalnih stručnjaka; nadalje prima na znanje da je 31. prosinca 2022. bilo zaposleno 24 privremenih djelatnika sa zadaćama povezanim s temeljnim djelatnostima kao što su e-učenje, informacijska i komunikacijska tehnologija, pravna potpora i potpora upravljanju;</w:t>
      </w:r>
    </w:p>
    <w:p w:rsidR="000C03EE" w:rsidRPr="003B5EF3" w:rsidRDefault="000C03EE" w:rsidP="000C03EE">
      <w:pPr>
        <w:tabs>
          <w:tab w:val="left" w:pos="720"/>
          <w:tab w:val="left" w:pos="1665"/>
        </w:tabs>
        <w:spacing w:after="240"/>
        <w:ind w:left="567" w:hanging="567"/>
        <w:rPr>
          <w:szCs w:val="24"/>
        </w:rPr>
      </w:pPr>
      <w:r w:rsidRPr="003B5EF3">
        <w:t>15.</w:t>
      </w:r>
      <w:r w:rsidRPr="003B5EF3">
        <w:tab/>
        <w:t>napominje da je fluktuacija osoblja 2022. i dalje bila relativno visoka i da je znatno utjecala na Agenciju; u tom kontekstu napominje da su u 2022. dane četiri ostavke zbog novih mogućnosti zapošljavanja unutar i izvan Agencije, tri su osobe otišle u mirovinu, a 31. prosinca 2022. četiri člana osoblja bila su na neplaćenom dopustu;</w:t>
      </w:r>
    </w:p>
    <w:p w:rsidR="000C03EE" w:rsidRPr="003B5EF3" w:rsidRDefault="000C03EE" w:rsidP="000C03EE">
      <w:pPr>
        <w:tabs>
          <w:tab w:val="left" w:pos="720"/>
          <w:tab w:val="left" w:pos="1665"/>
        </w:tabs>
        <w:spacing w:after="240"/>
        <w:ind w:left="567" w:hanging="567"/>
        <w:rPr>
          <w:szCs w:val="24"/>
        </w:rPr>
      </w:pPr>
      <w:r w:rsidRPr="003B5EF3">
        <w:t>16.</w:t>
      </w:r>
      <w:r w:rsidRPr="003B5EF3">
        <w:tab/>
        <w:t>ponavlja svoju potporu povećanju broja osoblja Agencije razmjerno zadaćama i ambicijama utvrđenima u trenutačnom mandatu Agencije; sa zadovoljstvom prima na znanje iz izvješća Agencije o mjerama poduzetima na temelju preporuka pod naslovom „Akcijski plan CEPOL-a kao odgovor na odluku o razrješnici EP-a za financijsku godinu 2021.” (dalje u tekstu „izvješće Agencije o dal</w:t>
      </w:r>
      <w:r w:rsidR="008E609F" w:rsidRPr="003B5EF3">
        <w:t>jnjem postupanju”) da je izvršna</w:t>
      </w:r>
      <w:r w:rsidRPr="003B5EF3">
        <w:t xml:space="preserve"> direktor</w:t>
      </w:r>
      <w:r w:rsidR="008E609F" w:rsidRPr="003B5EF3">
        <w:t>ica</w:t>
      </w:r>
      <w:r w:rsidRPr="003B5EF3">
        <w:t xml:space="preserve"> Agencije osnovao radnu skupinu za sustavno dokumentiranje i opravdavanje potreba za dodatnim proračunskim i ljudskim resursima u kontekstu nove strategije za razdoblje 2023. – 2027.;</w:t>
      </w:r>
    </w:p>
    <w:p w:rsidR="000C03EE" w:rsidRPr="003B5EF3" w:rsidRDefault="000C03EE" w:rsidP="000C03EE">
      <w:pPr>
        <w:spacing w:after="240"/>
        <w:ind w:left="567" w:hanging="567"/>
        <w:rPr>
          <w:szCs w:val="24"/>
        </w:rPr>
      </w:pPr>
      <w:r w:rsidRPr="003B5EF3">
        <w:t>17.</w:t>
      </w:r>
      <w:r w:rsidRPr="003B5EF3">
        <w:tab/>
        <w:t xml:space="preserve">napominje da je stopa fluktuacije osoblja 2022. ostala visoka i iznosila 11,8 %, što je znatno utjecalo na organizaciju; prima na znanje iz izvješća Agencije o mjerama poduzetima na temelju preporuka da je stopa fluktuacije izvan kontrole Agencije jer je glavni pokretač nizak korekcijski koeficijent za zemlju i relativne niske razine radnih mjesta za ključne funkcije podrške u Agenciji; napominje da je Agencija 2022. nastavila provoditi mjere za zadržavanje osoblja i kontinuitet poslovanja, koristeći određeni broj privremenog osoblja i upućenih nacionalnih stručnjaka kako bi popunila odsutnost osoblja dok se ne završi zapošljavanje statutarnog osoblja te nastavljajući reklasifikaciju osoblja i funkcija, uz održavanje socijalnih beneficija (npr. školovanje za djecu osoblja), rada na daljinu i fleksibilnog radnog vremena; ponovno poziva Komisiju da preispita koeficijent ispravka plaće kako bi bolje odražavao stvarne ekonomske okolnosti </w:t>
      </w:r>
      <w:r w:rsidRPr="003B5EF3">
        <w:lastRenderedPageBreak/>
        <w:t>povezane s preseljenjem i životom u gradu u kojem Agencija ima sjedište;</w:t>
      </w:r>
    </w:p>
    <w:p w:rsidR="000C03EE" w:rsidRPr="003B5EF3" w:rsidRDefault="000C03EE" w:rsidP="000C03EE">
      <w:pPr>
        <w:spacing w:after="240"/>
        <w:ind w:left="567" w:hanging="567"/>
        <w:rPr>
          <w:szCs w:val="24"/>
        </w:rPr>
      </w:pPr>
      <w:r w:rsidRPr="003B5EF3">
        <w:t>18.</w:t>
      </w:r>
      <w:r w:rsidRPr="003B5EF3">
        <w:tab/>
        <w:t xml:space="preserve">sa zadovoljstvom primjećuje, u pogledu alata SYSPER, da je Agencija uvela module kao što su REPORTING, ETHICS i STAGE te da radi na uvođenju drugih modula </w:t>
      </w:r>
      <w:proofErr w:type="spellStart"/>
      <w:r w:rsidRPr="003B5EF3">
        <w:t>Syspera</w:t>
      </w:r>
      <w:proofErr w:type="spellEnd"/>
      <w:r w:rsidRPr="003B5EF3">
        <w:t xml:space="preserve"> (npr. EVAL/PROMO);</w:t>
      </w:r>
    </w:p>
    <w:p w:rsidR="000C03EE" w:rsidRPr="003B5EF3" w:rsidRDefault="000C03EE" w:rsidP="000C03EE">
      <w:pPr>
        <w:pStyle w:val="ListParagraph"/>
        <w:spacing w:after="240"/>
        <w:ind w:left="567" w:hanging="567"/>
        <w:contextualSpacing w:val="0"/>
        <w:jc w:val="left"/>
      </w:pPr>
      <w:r w:rsidRPr="003B5EF3">
        <w:t>19.</w:t>
      </w:r>
      <w:r w:rsidRPr="003B5EF3">
        <w:tab/>
        <w:t>pozdravlja raščlambu osoblja po spolu koju je Agencija prijavila za 2022., pri čemu su na rukovodećim položajima bila trojica muškaraca i tri žene (jedan član višeg rukovodstva i petero članova srednjeg rukovodstva), u upravnom odboru bilo je 15 muškaraca (56 %) i 12 žena (44 %), a među ukupnim osobljem bilo je 37 muškaraca (44 %) i 48 žena (56 %); pohvaljuje Agenciju za rodnu ravnotežu postignutu 2022.;</w:t>
      </w:r>
    </w:p>
    <w:p w:rsidR="000C03EE" w:rsidRPr="003B5EF3" w:rsidRDefault="000C03EE" w:rsidP="000C03EE">
      <w:pPr>
        <w:pStyle w:val="NormalHanging12a"/>
      </w:pPr>
      <w:r w:rsidRPr="003B5EF3">
        <w:t>20.</w:t>
      </w:r>
      <w:r w:rsidRPr="003B5EF3">
        <w:tab/>
        <w:t>prima na znanje iz konsolidiranog godišnjeg izvješća o radu Agencije za 2022. da je 2022. među osobljem Agencije bilo zastupljeno 17 država članica; napominje da 39 % njezina osoblja čine državljani države članice u kojoj se Agencija nalazi; podsjeća na važnost geografske ravnoteže i poziva Agenciju da poduzme potrebne mjere za uravnoteženu i pravednu geografsku zastupljenost;</w:t>
      </w:r>
    </w:p>
    <w:p w:rsidR="000C03EE" w:rsidRPr="003B5EF3" w:rsidRDefault="000C03EE" w:rsidP="000C03EE">
      <w:pPr>
        <w:pStyle w:val="ListParagraph"/>
        <w:spacing w:after="240"/>
        <w:ind w:left="567" w:hanging="567"/>
        <w:contextualSpacing w:val="0"/>
        <w:jc w:val="left"/>
      </w:pPr>
      <w:r w:rsidRPr="003B5EF3">
        <w:t>21.</w:t>
      </w:r>
      <w:r w:rsidRPr="003B5EF3">
        <w:tab/>
        <w:t>pozdravlja činjenicu da je Agencija 2022. donijela novu odluku koja se temelji na načelima upravljanja prema ciljevima i rezultatima te kulture povjerenja; napominje da je tom odlukom uvedena veća fleksibilnost za osoblje, kako u pogledu radnog vremena tako i u pogledu rada na daljinu, jer se njome daje pravo na isključivanje i jasno naznačuje razdoblje isključenja koje bi trebalo doprinijeti boljoj ravnoteži između poslovnog i privatnog života i zaštititi osoblje od digitalnog radnog opterećenja;</w:t>
      </w:r>
    </w:p>
    <w:p w:rsidR="000C03EE" w:rsidRPr="003B5EF3" w:rsidRDefault="000C03EE" w:rsidP="000C03EE">
      <w:pPr>
        <w:spacing w:after="240"/>
        <w:ind w:left="567" w:hanging="567"/>
        <w:rPr>
          <w:color w:val="000000"/>
          <w:szCs w:val="24"/>
        </w:rPr>
      </w:pPr>
      <w:r w:rsidRPr="003B5EF3">
        <w:rPr>
          <w:color w:val="000000"/>
        </w:rPr>
        <w:t>22.</w:t>
      </w:r>
      <w:r w:rsidRPr="003B5EF3">
        <w:rPr>
          <w:color w:val="000000"/>
        </w:rPr>
        <w:tab/>
        <w:t>iz izvješća Agencije o daljnjem postupanju u pogledu opažanja o osoblju koje radi na postupcima povezanima s javnom nabavom pozdravlja činjenicu da se u planu radnih mjesta za 2023. predviđa pretvorba odgovarajućeg radnog mjesta AST-5 (razred zapošljavanja AST-3) u radno mjesto AD-5;</w:t>
      </w:r>
    </w:p>
    <w:p w:rsidR="000C03EE" w:rsidRPr="003B5EF3" w:rsidRDefault="000C03EE" w:rsidP="000C03EE">
      <w:pPr>
        <w:spacing w:after="240"/>
        <w:ind w:left="567" w:hanging="567"/>
        <w:rPr>
          <w:rFonts w:eastAsiaTheme="minorHAnsi"/>
          <w:b/>
          <w:i/>
          <w:szCs w:val="24"/>
        </w:rPr>
      </w:pPr>
      <w:r w:rsidRPr="003B5EF3">
        <w:rPr>
          <w:b/>
          <w:i/>
        </w:rPr>
        <w:t>Javna nabava</w:t>
      </w:r>
    </w:p>
    <w:p w:rsidR="000C03EE" w:rsidRPr="003B5EF3" w:rsidRDefault="000C03EE" w:rsidP="000C03EE">
      <w:pPr>
        <w:pStyle w:val="NormalHanging12a"/>
      </w:pPr>
      <w:r w:rsidRPr="003B5EF3">
        <w:t>23.</w:t>
      </w:r>
      <w:r w:rsidRPr="003B5EF3">
        <w:tab/>
        <w:t xml:space="preserve">sa zabrinutošću prima na znanje, iz izvješća Revizorskog suda, da je Revizorski sud od financijske godine 2020. svake godine iznio nova opažanja u vezi s javnom nabavom Agencije; na temelju izvješća Revizorskog suda ističe opažanje koje predstavlja osnovu za uvjetno mišljenje Revizorskog suda o zakonitosti i pravilnosti 359 plaćanja ukupne vrijednosti od 4,1 milijuna EUR izvršenih 2022. u okviru dvaju okvirnih ugovora koji se provode izravno putem narudžbenica (zahtjeva za usluge), koje su poslali članovi osoblja Agencije koji nisu imali delegirane ovlasti za preuzimanje pravnih obveza u ime Agencije ili privremeni djelatnici koji pravno ne bi mogli imati takve delegirane ovlasti zbog svojeg privremenog statusa; prima na znanje odgovor Agencije na opažanje Revizorskog suda da su, čak i ako je bilo nedostataka u </w:t>
      </w:r>
      <w:proofErr w:type="spellStart"/>
      <w:r w:rsidRPr="003B5EF3">
        <w:t>formalizaciji</w:t>
      </w:r>
      <w:proofErr w:type="spellEnd"/>
      <w:r w:rsidRPr="003B5EF3">
        <w:t xml:space="preserve"> pravne obveze, usluge naručene u skladu s potrebama Agencije i da su se kontrole u potpunosti primjenjivale kako bi se osiguralo da su sredstva iskorištena u predviđenu svrhu i da nije nastao stvarni gubitak; prima na znanje iz odgovora Agencije na pisana pitanja Parlamenta da na te ugovore nisu utjecale druge nepravilnosti te da je Agencija poduzela mjere kako bi odgovorila na opažanje Revizorskog suda izmjenom internih postupaka Agencije, kako bi se osiguralo da putničkom agentu naloge dostavlja samo statutarno osoblje koje je dužnosnik za ovjeravanje ovlastio za preuzimanje pravne obveze; prima na znanje odgovor Agencije prema kojem je Agencija odmah uvela korektivne mjere, čak i prije završetka postupka revizije; poziva Agenciju da se u </w:t>
      </w:r>
      <w:r w:rsidRPr="003B5EF3">
        <w:lastRenderedPageBreak/>
        <w:t>potpunosti pozabavi tim opažanjima i poboljša svoje postupke javne nabave kako bi se u budućnosti izbjegle slične situacije;</w:t>
      </w:r>
    </w:p>
    <w:p w:rsidR="000C03EE" w:rsidRPr="003B5EF3" w:rsidRDefault="000C03EE" w:rsidP="000C03EE">
      <w:pPr>
        <w:pStyle w:val="NormalHanging12a"/>
      </w:pPr>
      <w:r w:rsidRPr="003B5EF3">
        <w:t>24.</w:t>
      </w:r>
      <w:r w:rsidRPr="003B5EF3">
        <w:tab/>
        <w:t>nadalje, iz izvješća Revizorskog suda ističe uvjetno mišljenje prema kojem se svi iznosi plaćeni 2022. (152 655 EUR) za provedbu okvirnog ugovora (za obrazovne uredničke usluge) nisu mogli uskladiti s pruženim uslugama, neke kategorije zadaća nisu odražavale prirodu stvarno obavljenog posla, a za neke kategorije iznos plaćenog rada nije odgovarao stvarno obavljenom iznosu, zbog čega su ti iznosi bili nepravilni; prima za znanje objašnjenje Agencije da se broj naručenih, isporučenih i plaćenih stranica nije u potpunosti podudarao s obzirom na to da zbog prirode posla, odnosno pripreme uredničkog i obrazovnog sadržaja, to nije uvijek bilo moguće unaprijed precizno kvantificirati. nadalje napominje da su, prema odgovoru Agencije, provedene provjere rezultata i da su se kategorije zadaća temeljile na onima navedenima u prethodnom ugovoru s Uredom za publikacije; poziva Agenciju da uspostavi mjere zahvaljujući kojima bi mogla unaprijed bolje kvantificirati rezultate i u budućnosti izbjeći takve situacije;</w:t>
      </w:r>
    </w:p>
    <w:p w:rsidR="000C03EE" w:rsidRPr="003B5EF3" w:rsidRDefault="000C03EE" w:rsidP="000C03EE">
      <w:pPr>
        <w:spacing w:after="240"/>
        <w:ind w:left="567" w:hanging="567"/>
        <w:rPr>
          <w:color w:val="000000"/>
          <w:szCs w:val="24"/>
        </w:rPr>
      </w:pPr>
      <w:r w:rsidRPr="003B5EF3">
        <w:rPr>
          <w:color w:val="000000"/>
        </w:rPr>
        <w:t>25.</w:t>
      </w:r>
      <w:r w:rsidRPr="003B5EF3">
        <w:rPr>
          <w:color w:val="000000"/>
        </w:rPr>
        <w:tab/>
        <w:t>prima na znanje iz izvješća Revizorskog suda za financijsku godinu 2021. da je jedno opažanje ostalo otvoreno u pogledu procesa evaluacije postupka nabave, pri čemu je Agencija stavila naglasak na kriterij koji nije jasno prikazan u natječajnim specifikacijama, čime se stvara rizik od nejednakog postupanja prema ponuditeljima; prima na znanje da je ugovor bio na snazi do rujna 2023. i da u trenutku kad je Revizorski sud preispitao status tog opažanja Agencija nije imala namjeru produljiti ugovor za dodatnih 12 mjeseci;</w:t>
      </w:r>
    </w:p>
    <w:p w:rsidR="000C03EE" w:rsidRPr="003B5EF3" w:rsidRDefault="000C03EE" w:rsidP="000C03EE">
      <w:pPr>
        <w:spacing w:after="240"/>
        <w:ind w:left="567" w:hanging="567"/>
        <w:rPr>
          <w:color w:val="000000"/>
          <w:szCs w:val="24"/>
        </w:rPr>
      </w:pPr>
      <w:r w:rsidRPr="003B5EF3">
        <w:rPr>
          <w:color w:val="000000"/>
        </w:rPr>
        <w:t>26.</w:t>
      </w:r>
      <w:r w:rsidRPr="003B5EF3">
        <w:rPr>
          <w:color w:val="000000"/>
        </w:rPr>
        <w:tab/>
        <w:t>pohvaljuje Agenciju zbog uvođenja alata za upravljanje javnom nabavom koji se od listopada 2022. upotrebljava za sve vrste postupaka javne nabave; poziva Agenciju da ubrza donošenje i provedbu alata za elektronički potpis kako bi dobila odobrenja i potpise unutarnjih i vanjskih drugih ugovornih strana u dokumentaciji o nabavi i ugovornoj dokumentaciji;</w:t>
      </w:r>
    </w:p>
    <w:p w:rsidR="000C03EE" w:rsidRPr="003B5EF3" w:rsidRDefault="000C03EE" w:rsidP="000C03EE">
      <w:pPr>
        <w:pStyle w:val="ListParagraph"/>
        <w:widowControl w:val="0"/>
        <w:spacing w:after="240"/>
        <w:ind w:left="567" w:hanging="567"/>
        <w:contextualSpacing w:val="0"/>
        <w:jc w:val="left"/>
        <w:rPr>
          <w:rFonts w:eastAsia="Times New Roman"/>
        </w:rPr>
      </w:pPr>
      <w:r w:rsidRPr="003B5EF3">
        <w:rPr>
          <w:b/>
          <w:i/>
        </w:rPr>
        <w:t>Sprečavanje i postupanje u slučaju sukoba interesa te transparentnost</w:t>
      </w:r>
    </w:p>
    <w:p w:rsidR="000C03EE" w:rsidRPr="003B5EF3" w:rsidRDefault="000C03EE" w:rsidP="000C03EE">
      <w:pPr>
        <w:spacing w:after="240"/>
        <w:ind w:left="567" w:hanging="567"/>
        <w:rPr>
          <w:szCs w:val="24"/>
        </w:rPr>
      </w:pPr>
      <w:r w:rsidRPr="003B5EF3">
        <w:t>27.</w:t>
      </w:r>
      <w:r w:rsidRPr="003B5EF3">
        <w:tab/>
        <w:t>sa zadovoljstvom prima na znanje postojeće mjere Agencije i njezine stalne napore oko osiguravanja transparentnosti te sprečavanja i postupanja u slučaju sukoba interesa; sa zadovoljstvom primjećuje da su izjave o financijskim interesima i životopisi članova upravnog odbora i višeg rukovodstva objavljeni na internetskim stranicama Agencije te da format izjava omogućuje popis profesionalnih, financijskih, osobnih i drugih interesa koji bi se mogli odnositi na aktivnosti Agencije; prima na znanje iz izvješća Agencije o daljnjem postupanju, u pogledu opažanja tijela nadležnog za davanje razrješnice da izjave o sukobu interesa i povjerljivosti plaćenih stručnjaka nisu objavljene na internetskim stranicama Agencije, da je Agencija procijenila da bi zbog pitanja zaštite podataka objavljivanje prijava i životopisa stručnjaka znatno smanjilo broj prijava stručnjaka jer većina stručnjaka koji rade za Agenciju ima iskustvo u području izvršavanja zakonodavstva;</w:t>
      </w:r>
    </w:p>
    <w:p w:rsidR="000C03EE" w:rsidRPr="003B5EF3" w:rsidRDefault="000C03EE" w:rsidP="000C03EE">
      <w:pPr>
        <w:spacing w:after="240"/>
        <w:ind w:left="567" w:hanging="567"/>
        <w:rPr>
          <w:szCs w:val="24"/>
        </w:rPr>
      </w:pPr>
      <w:r w:rsidRPr="003B5EF3">
        <w:t>28.</w:t>
      </w:r>
      <w:r w:rsidRPr="003B5EF3">
        <w:tab/>
        <w:t xml:space="preserve">sa zadovoljstvom prima na znanje iz izvješća Agencije o daljnjem postupanju da je Agencija uvođenjem svoje nove internetske stranice 2022. poboljšala svoj javni registar dokumenata, a uvedene tehničke promjene omogućuju građanima pretraživanje službenih dokumenata Agencije po kategorijama ili traženje pristupa dokumentu putem internetskog obrasca ako izravan pristup putem javnog registra dokumenata nije </w:t>
      </w:r>
      <w:r w:rsidRPr="003B5EF3">
        <w:lastRenderedPageBreak/>
        <w:t>odobren; napominje da je Agencija 2022. primila pet zahtjeva za javni pristup dokumentima i obradila 920 javnih upita građana;</w:t>
      </w:r>
    </w:p>
    <w:p w:rsidR="000C03EE" w:rsidRPr="003B5EF3" w:rsidRDefault="000C03EE" w:rsidP="000C03EE">
      <w:pPr>
        <w:spacing w:after="240"/>
        <w:ind w:left="567" w:hanging="567"/>
        <w:rPr>
          <w:b/>
          <w:i/>
          <w:szCs w:val="24"/>
        </w:rPr>
      </w:pPr>
      <w:r w:rsidRPr="003B5EF3">
        <w:rPr>
          <w:b/>
          <w:i/>
        </w:rPr>
        <w:t>Unutarnja kontrola</w:t>
      </w:r>
    </w:p>
    <w:p w:rsidR="000C03EE" w:rsidRPr="003B5EF3" w:rsidRDefault="000C03EE" w:rsidP="000C03EE">
      <w:pPr>
        <w:spacing w:after="240"/>
        <w:ind w:left="567" w:hanging="567"/>
        <w:rPr>
          <w:szCs w:val="24"/>
        </w:rPr>
      </w:pPr>
      <w:r w:rsidRPr="003B5EF3">
        <w:t>29.</w:t>
      </w:r>
      <w:r w:rsidRPr="003B5EF3">
        <w:tab/>
        <w:t>prima na znanje iz izvješća Agencije o daljnjem postupanju da je, u pogledu nekoliko nedostataka u sustavu unutarnje kontrole Agencije, posebno u vezi s postupcima javne nabave i upravljanjem proračunskim obvezama, Agencija poduzela korake, uključujući osposobljavanje i radionice, kako bi povećala razinu osviještenosti i smanjila učestalost administrativnih pogrešaka; u tom kontekstu iz izvješća Revizorskog suda prima na znanje da je stanje njegovih opažanja (za financijsku godinu 2021.) koje odgovaraju tim nedostacima zaključeno;</w:t>
      </w:r>
    </w:p>
    <w:p w:rsidR="000C03EE" w:rsidRPr="003B5EF3" w:rsidRDefault="000C03EE" w:rsidP="000C03EE">
      <w:pPr>
        <w:spacing w:after="240"/>
        <w:ind w:left="567" w:hanging="567"/>
        <w:rPr>
          <w:szCs w:val="24"/>
        </w:rPr>
      </w:pPr>
      <w:r w:rsidRPr="003B5EF3">
        <w:t>30.</w:t>
      </w:r>
      <w:r w:rsidRPr="003B5EF3">
        <w:tab/>
        <w:t>prima na znanje ocjenu sustava unutarnje kontrole 2022. koju je provela Agencija i njezin zaključak da je taj sustav učinkovit, prisutan i dobro funkcionira, te da su potrebna samo manja poboljšanja; poziva Agenciju da riješi utvrđene nedostatke u vezi s komponentama unutarnje kontrole „kontrolne aktivnosti” i „informacije i komunikacija” te da tijelo nadležno za davanje razrješnice obavještava o napretku u tom pitanju; sa zadovoljstvom prima na znanje iz izvješća Agencije o praćenju provedbe preporuka da je pri procjeni komponente „aktivnosti praćenja”, 17. načela „procjena i priopćavanje nedostataka”, Agencija uzela u obzir relevantne primjedbe Revizorskog suda iz prethodnih godina; poziva Agenciju da nastavi raditi na svim opažanjima iz revizije Agencije „Upravljanje ljudskim resursima i etičnost u CEPOL-u” koju je 2021. provela Služba za unutarnju reviziju;</w:t>
      </w:r>
    </w:p>
    <w:p w:rsidR="000C03EE" w:rsidRPr="003B5EF3" w:rsidRDefault="000C03EE" w:rsidP="000C03EE">
      <w:pPr>
        <w:spacing w:after="240"/>
        <w:ind w:left="567" w:hanging="567"/>
        <w:rPr>
          <w:szCs w:val="24"/>
        </w:rPr>
      </w:pPr>
      <w:r w:rsidRPr="003B5EF3">
        <w:t>31.</w:t>
      </w:r>
      <w:r w:rsidRPr="003B5EF3">
        <w:tab/>
        <w:t>napominje da Agencija provodi postupak registracije i odobravanja iznimaka koje se analiziraju kako bi se utvrdila konkretna problematična područja i relevantne mjere za poboljšanje; napominje da se u izvješću o iznimkama za 2022. potvrđuje da sustav unutarnje kontrole Agencije dobro funkcionira te da su slučajevi neusklađenosti otkriveni i ublaženi korektivnim i preventivnim mjerama; nadalje napominje da je 2022. provedeno ukupno 46 iznimaka (u usporedbi s 27 iznimaka 2021.), u vrijednosti od 51 697 EUR (u usporedbi s 257 825 EUR 2021.), dok je 13 od tih iznimaka imalo financijski učinak veći od 1 000 EUR (u rasponu od 1 053 EUR do 12 240 EUR);</w:t>
      </w:r>
    </w:p>
    <w:p w:rsidR="000C03EE" w:rsidRPr="003B5EF3" w:rsidRDefault="000C03EE" w:rsidP="000C03EE">
      <w:pPr>
        <w:spacing w:after="240"/>
        <w:ind w:left="567" w:hanging="567"/>
        <w:rPr>
          <w:b/>
          <w:i/>
          <w:szCs w:val="24"/>
        </w:rPr>
      </w:pPr>
      <w:r w:rsidRPr="003B5EF3">
        <w:rPr>
          <w:b/>
          <w:i/>
        </w:rPr>
        <w:t>Ostale napomene</w:t>
      </w:r>
    </w:p>
    <w:p w:rsidR="000C03EE" w:rsidRPr="003B5EF3" w:rsidRDefault="000C03EE" w:rsidP="000C03EE">
      <w:pPr>
        <w:spacing w:after="240"/>
        <w:ind w:left="567" w:hanging="567"/>
        <w:rPr>
          <w:szCs w:val="24"/>
        </w:rPr>
      </w:pPr>
      <w:r w:rsidRPr="003B5EF3">
        <w:t>32.</w:t>
      </w:r>
      <w:r w:rsidRPr="003B5EF3">
        <w:tab/>
        <w:t>prima na znanje iz izvješća Agencije o daljnjem postupanju, u vezi s pitanjem ima li Agencija nema dovoljno uredskog prostora i prostora za operativne aktivnosti, da se mađarska vlada obvezala osigurati kontinuitet i Agenciji osigurati odgovarajuće prostorije donošenjem odluke o osiguravanju novog sjedišta (6 000 m²) u obliku zakupa; nadalje napominje da se preseljenje u nove prostore može provesti do kraja 2024., usporedno s potpisivanjem novog sporazuma o sjedištu;</w:t>
      </w:r>
    </w:p>
    <w:p w:rsidR="000C03EE" w:rsidRPr="003B5EF3" w:rsidRDefault="000C03EE" w:rsidP="000C03EE">
      <w:pPr>
        <w:pStyle w:val="NormalHanging12a"/>
      </w:pPr>
      <w:r w:rsidRPr="003B5EF3">
        <w:t>33.</w:t>
      </w:r>
      <w:r w:rsidRPr="003B5EF3">
        <w:tab/>
        <w:t xml:space="preserve">pohvaljuje Agenciju za njezine napore da poveća svoju vidljivost u javnosti i prisutnost na internetu; u tom kontekstu pozdravlja pokretanje nove internetske stranice Agencije 2022. koja uključuje ključna poboljšanja, kao što su jasnija prezentacija i struktura, poboljšan izgled i sposobnost reagiranja u internetu; nadalje napominje da je 2022. aktivnost Agencije na društvenim mrežama bila znatna, s 1 590 učitanih sadržaja, što predstavlja 54 % više objava nego prethodne godine; u tom pogledu prima na znanje porast broja korisnika internetskih stranica Agencije, koja bilježi više od 200 000 registriranih posjeta i ima bazu od 38 500 pratitelja na platformama LinkedIn, X (bivši </w:t>
      </w:r>
      <w:r w:rsidRPr="003B5EF3">
        <w:lastRenderedPageBreak/>
        <w:t>Twitter) i Facebook;</w:t>
      </w:r>
    </w:p>
    <w:p w:rsidR="000C03EE" w:rsidRPr="003B5EF3" w:rsidRDefault="000C03EE" w:rsidP="000C03EE">
      <w:pPr>
        <w:pStyle w:val="NormalCenter12a"/>
      </w:pPr>
      <w:r w:rsidRPr="003B5EF3">
        <w:t>°</w:t>
      </w:r>
    </w:p>
    <w:p w:rsidR="000C03EE" w:rsidRPr="003B5EF3" w:rsidRDefault="000C03EE" w:rsidP="000C03EE">
      <w:pPr>
        <w:pStyle w:val="NormalCenter12a"/>
      </w:pPr>
      <w:r w:rsidRPr="003B5EF3">
        <w:t>°</w:t>
      </w:r>
      <w:r w:rsidRPr="003B5EF3">
        <w:tab/>
        <w:t>°</w:t>
      </w:r>
    </w:p>
    <w:p w:rsidR="000C03EE" w:rsidRPr="003B5EF3" w:rsidRDefault="000C03EE" w:rsidP="000C03EE">
      <w:pPr>
        <w:pStyle w:val="NormalHanging12a"/>
      </w:pPr>
      <w:r w:rsidRPr="003B5EF3">
        <w:t>34.</w:t>
      </w:r>
      <w:r w:rsidRPr="003B5EF3">
        <w:tab/>
        <w:t xml:space="preserve">u vezi s drugim primjedbama priloženima Odluci o razrješnici i horizontalne naravi upućuje na svoju Rezoluciju od </w:t>
      </w:r>
      <w:r w:rsidR="008E609F" w:rsidRPr="003B5EF3">
        <w:t>11. travnja 2024.</w:t>
      </w:r>
      <w:r w:rsidRPr="003B5EF3">
        <w:rPr>
          <w:rStyle w:val="FootnoteReference"/>
        </w:rPr>
        <w:footnoteReference w:id="12"/>
      </w:r>
      <w:r w:rsidRPr="003B5EF3">
        <w:t xml:space="preserve"> o uspješnosti, financijskom upravljanju i nadzoru agencija.</w:t>
      </w:r>
    </w:p>
    <w:p w:rsidR="00E365E1" w:rsidRPr="003B5EF3" w:rsidRDefault="00E365E1" w:rsidP="008E609F">
      <w:pPr>
        <w:pStyle w:val="NormalHanging12a"/>
        <w:jc w:val="both"/>
      </w:pPr>
    </w:p>
    <w:sectPr w:rsidR="00E365E1" w:rsidRPr="003B5EF3" w:rsidSect="00664DB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0E9" w:rsidRPr="00664DB4" w:rsidRDefault="004310E9">
      <w:r w:rsidRPr="00664DB4">
        <w:separator/>
      </w:r>
    </w:p>
  </w:endnote>
  <w:endnote w:type="continuationSeparator" w:id="0">
    <w:p w:rsidR="004310E9" w:rsidRPr="00664DB4" w:rsidRDefault="004310E9">
      <w:r w:rsidRPr="00664D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3EE" w:rsidRPr="00664DB4" w:rsidRDefault="000C03EE" w:rsidP="00DD0259">
    <w:pPr>
      <w:pStyle w:val="EPFooter"/>
    </w:pPr>
    <w:r w:rsidRPr="00664DB4">
      <w:t>PE</w:t>
    </w:r>
    <w:r w:rsidRPr="00664DB4">
      <w:rPr>
        <w:rStyle w:val="HideTWBExt"/>
      </w:rPr>
      <w:t>&lt;NoPE&gt;</w:t>
    </w:r>
    <w:r w:rsidRPr="00664DB4">
      <w:t>753.510</w:t>
    </w:r>
    <w:r w:rsidRPr="00664DB4">
      <w:rPr>
        <w:rStyle w:val="HideTWBExt"/>
      </w:rPr>
      <w:t>&lt;/NoPE&gt;&lt;Version&gt;</w:t>
    </w:r>
    <w:r w:rsidRPr="00664DB4">
      <w:t>v02-00</w:t>
    </w:r>
    <w:r w:rsidRPr="00664DB4">
      <w:rPr>
        <w:rStyle w:val="HideTWBExt"/>
      </w:rPr>
      <w:t>&lt;/Version&gt;</w:t>
    </w:r>
    <w:r w:rsidRPr="00664DB4">
      <w:tab/>
    </w:r>
    <w:r w:rsidRPr="00664DB4">
      <w:fldChar w:fldCharType="begin"/>
    </w:r>
    <w:r w:rsidRPr="00664DB4">
      <w:instrText xml:space="preserve"> PAGE  \* MERGEFORMAT </w:instrText>
    </w:r>
    <w:r w:rsidRPr="00664DB4">
      <w:fldChar w:fldCharType="separate"/>
    </w:r>
    <w:r w:rsidRPr="00664DB4">
      <w:rPr>
        <w:noProof/>
      </w:rPr>
      <w:t>12</w:t>
    </w:r>
    <w:r w:rsidRPr="00664DB4">
      <w:fldChar w:fldCharType="end"/>
    </w:r>
    <w:r w:rsidRPr="00664DB4">
      <w:t>/</w:t>
    </w:r>
    <w:r w:rsidR="00995E60">
      <w:fldChar w:fldCharType="begin"/>
    </w:r>
    <w:r w:rsidR="00995E60">
      <w:instrText xml:space="preserve"> NUMPAGES  \* MERGEFORMAT </w:instrText>
    </w:r>
    <w:r w:rsidR="00995E60">
      <w:fldChar w:fldCharType="separate"/>
    </w:r>
    <w:r w:rsidRPr="00664DB4">
      <w:rPr>
        <w:noProof/>
      </w:rPr>
      <w:t>12</w:t>
    </w:r>
    <w:r w:rsidR="00995E60">
      <w:rPr>
        <w:noProof/>
      </w:rPr>
      <w:fldChar w:fldCharType="end"/>
    </w:r>
    <w:r w:rsidRPr="00664DB4">
      <w:tab/>
    </w:r>
    <w:r w:rsidRPr="00664DB4">
      <w:rPr>
        <w:rStyle w:val="HideTWBExt"/>
      </w:rPr>
      <w:t>&lt;PathFdR&gt;</w:t>
    </w:r>
    <w:r w:rsidRPr="00664DB4">
      <w:t>RR\1298754HR.docx</w:t>
    </w:r>
    <w:r w:rsidRPr="00664DB4">
      <w:rPr>
        <w:rStyle w:val="HideTWBExt"/>
      </w:rPr>
      <w:t>&lt;/PathFdR&gt;</w:t>
    </w:r>
  </w:p>
  <w:p w:rsidR="000C03EE" w:rsidRPr="00664DB4" w:rsidRDefault="000C03EE" w:rsidP="00DD0259">
    <w:pPr>
      <w:pStyle w:val="EPFooter2"/>
    </w:pPr>
    <w:r w:rsidRPr="00664DB4">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3EE" w:rsidRPr="00664DB4" w:rsidRDefault="000C03EE" w:rsidP="00DD0259">
    <w:pPr>
      <w:pStyle w:val="EPFooter"/>
    </w:pPr>
    <w:r w:rsidRPr="00664DB4">
      <w:rPr>
        <w:rStyle w:val="HideTWBExt"/>
      </w:rPr>
      <w:t>&lt;PathFdR&gt;</w:t>
    </w:r>
    <w:r w:rsidRPr="00664DB4">
      <w:t>RR\1298754HR.docx</w:t>
    </w:r>
    <w:r w:rsidRPr="00664DB4">
      <w:rPr>
        <w:rStyle w:val="HideTWBExt"/>
      </w:rPr>
      <w:t>&lt;/PathFdR&gt;</w:t>
    </w:r>
    <w:r w:rsidRPr="00664DB4">
      <w:tab/>
    </w:r>
    <w:r w:rsidRPr="00664DB4">
      <w:tab/>
      <w:t>PE</w:t>
    </w:r>
    <w:r w:rsidRPr="00664DB4">
      <w:rPr>
        <w:rStyle w:val="HideTWBExt"/>
      </w:rPr>
      <w:t>&lt;NoPE&gt;</w:t>
    </w:r>
    <w:r w:rsidRPr="00664DB4">
      <w:t>753.510</w:t>
    </w:r>
    <w:r w:rsidRPr="00664DB4">
      <w:rPr>
        <w:rStyle w:val="HideTWBExt"/>
      </w:rPr>
      <w:t>&lt;/NoPE&gt;&lt;Version&gt;</w:t>
    </w:r>
    <w:r w:rsidRPr="00664DB4">
      <w:t>v02-00</w:t>
    </w:r>
    <w:r w:rsidRPr="00664DB4">
      <w:rPr>
        <w:rStyle w:val="HideTWBExt"/>
      </w:rPr>
      <w:t>&lt;/Version&gt;</w:t>
    </w:r>
  </w:p>
  <w:p w:rsidR="000C03EE" w:rsidRPr="00664DB4" w:rsidRDefault="000C03EE" w:rsidP="00DD0259">
    <w:pPr>
      <w:pStyle w:val="EPFooter2"/>
    </w:pPr>
    <w:r w:rsidRPr="00664DB4">
      <w:t>HR</w:t>
    </w:r>
    <w:r w:rsidRPr="00664DB4">
      <w:tab/>
    </w:r>
    <w:r w:rsidRPr="00664DB4">
      <w:rPr>
        <w:b w:val="0"/>
        <w:i/>
        <w:color w:val="C0C0C0"/>
        <w:sz w:val="22"/>
      </w:rPr>
      <w:t>Ujedinjena u raznolikosti</w:t>
    </w:r>
    <w:r w:rsidRPr="00664DB4">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DB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D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D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0E9" w:rsidRPr="00664DB4" w:rsidRDefault="004310E9">
      <w:r w:rsidRPr="00664DB4">
        <w:separator/>
      </w:r>
    </w:p>
  </w:footnote>
  <w:footnote w:type="continuationSeparator" w:id="0">
    <w:p w:rsidR="004310E9" w:rsidRPr="00664DB4" w:rsidRDefault="004310E9">
      <w:r w:rsidRPr="00664DB4">
        <w:continuationSeparator/>
      </w:r>
    </w:p>
  </w:footnote>
  <w:footnote w:id="1">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C, C/2023/594, 27.10.2023.</w:t>
      </w:r>
    </w:p>
  </w:footnote>
  <w:footnote w:id="2">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C, C/2023/112, 12.10.2023.</w:t>
      </w:r>
    </w:p>
  </w:footnote>
  <w:footnote w:id="3">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L 193, 30.7.2018., str. 1.</w:t>
      </w:r>
    </w:p>
  </w:footnote>
  <w:footnote w:id="4">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L 319, 4.12.2015., str. 1.</w:t>
      </w:r>
    </w:p>
  </w:footnote>
  <w:footnote w:id="5">
    <w:p w:rsidR="000C03EE" w:rsidRPr="00664DB4" w:rsidRDefault="000C03EE" w:rsidP="00664DB4">
      <w:pPr>
        <w:pStyle w:val="FootnoteText"/>
        <w:ind w:left="567" w:hanging="567"/>
        <w:rPr>
          <w:sz w:val="24"/>
          <w:szCs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L 122, 10.5.2019., str. 1.</w:t>
      </w:r>
    </w:p>
  </w:footnote>
  <w:footnote w:id="6">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C, C/2023/594, 27.10.2023.</w:t>
      </w:r>
    </w:p>
  </w:footnote>
  <w:footnote w:id="7">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C, C/2023/112, 12.10.2023.</w:t>
      </w:r>
    </w:p>
  </w:footnote>
  <w:footnote w:id="8">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L 193, 30.7.2018., str. 1.</w:t>
      </w:r>
    </w:p>
  </w:footnote>
  <w:footnote w:id="9">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L 319, 4.12.2015., str. 1.</w:t>
      </w:r>
    </w:p>
  </w:footnote>
  <w:footnote w:id="10">
    <w:p w:rsidR="000C03EE" w:rsidRPr="00664DB4" w:rsidRDefault="000C03EE" w:rsidP="00664DB4">
      <w:pPr>
        <w:pStyle w:val="FootnoteText"/>
        <w:ind w:left="567" w:hanging="567"/>
        <w:rPr>
          <w:sz w:val="24"/>
          <w:szCs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L 122, 10.5.2019., str. 1.</w:t>
      </w:r>
    </w:p>
  </w:footnote>
  <w:footnote w:id="11">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SL C 73, 28.2.2023., str. 44.</w:t>
      </w:r>
    </w:p>
  </w:footnote>
  <w:footnote w:id="12">
    <w:p w:rsidR="000C03EE" w:rsidRPr="00664DB4" w:rsidRDefault="000C03EE" w:rsidP="00664DB4">
      <w:pPr>
        <w:pStyle w:val="FootnoteText"/>
        <w:ind w:left="567" w:hanging="567"/>
        <w:rPr>
          <w:sz w:val="24"/>
          <w:lang w:val="hr-HR"/>
        </w:rPr>
      </w:pPr>
      <w:r w:rsidRPr="00664DB4">
        <w:rPr>
          <w:rStyle w:val="FootnoteReference"/>
          <w:sz w:val="24"/>
          <w:lang w:val="hr-HR"/>
        </w:rPr>
        <w:footnoteRef/>
      </w:r>
      <w:r w:rsidR="00664DB4" w:rsidRPr="00664DB4">
        <w:rPr>
          <w:sz w:val="24"/>
          <w:lang w:val="hr-HR"/>
        </w:rPr>
        <w:t xml:space="preserve"> </w:t>
      </w:r>
      <w:r w:rsidR="00664DB4" w:rsidRPr="00664DB4">
        <w:rPr>
          <w:sz w:val="24"/>
          <w:lang w:val="hr-HR"/>
        </w:rPr>
        <w:tab/>
      </w:r>
      <w:r w:rsidRPr="00664DB4">
        <w:rPr>
          <w:sz w:val="24"/>
          <w:lang w:val="hr-HR"/>
        </w:rPr>
        <w:t>Us</w:t>
      </w:r>
      <w:r w:rsidR="003B5EF3">
        <w:rPr>
          <w:sz w:val="24"/>
          <w:lang w:val="hr-HR"/>
        </w:rPr>
        <w:t>vojeni tekstovi, P9_TA(2024)0280</w:t>
      </w:r>
      <w:r w:rsidRPr="00664DB4">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D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D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D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HR"/>
    <w:docVar w:name="dvnumam" w:val="0"/>
    <w:docVar w:name="dvpe" w:val="753.510"/>
    <w:docVar w:name="dvrapporteur" w:val="Izvjestitelj: "/>
    <w:docVar w:name="dvtitre" w:val="Odluka Europskog parlamenta od .... 2024. o razrješnici za izvršenje proračuna Agencije Europske unije za osposobljavanje u području izvršavanja zakonodavstva (CEPOL) za financijsku godinu 2022.(2023/2144(DEC))"/>
  </w:docVars>
  <w:rsids>
    <w:rsidRoot w:val="004310E9"/>
    <w:rsid w:val="00002272"/>
    <w:rsid w:val="00064002"/>
    <w:rsid w:val="000677B9"/>
    <w:rsid w:val="000831BA"/>
    <w:rsid w:val="000A42CC"/>
    <w:rsid w:val="000C03EE"/>
    <w:rsid w:val="000E7DD9"/>
    <w:rsid w:val="0010095E"/>
    <w:rsid w:val="00125B37"/>
    <w:rsid w:val="00187494"/>
    <w:rsid w:val="001F32AE"/>
    <w:rsid w:val="002767FF"/>
    <w:rsid w:val="002B18FE"/>
    <w:rsid w:val="002B5493"/>
    <w:rsid w:val="00343214"/>
    <w:rsid w:val="00361C00"/>
    <w:rsid w:val="00395FA1"/>
    <w:rsid w:val="003B5EF3"/>
    <w:rsid w:val="003E15D4"/>
    <w:rsid w:val="00411CCE"/>
    <w:rsid w:val="0041666E"/>
    <w:rsid w:val="00421060"/>
    <w:rsid w:val="004310E9"/>
    <w:rsid w:val="00471C19"/>
    <w:rsid w:val="004867E3"/>
    <w:rsid w:val="00494A28"/>
    <w:rsid w:val="004C0004"/>
    <w:rsid w:val="004C5D52"/>
    <w:rsid w:val="0050519A"/>
    <w:rsid w:val="005072A1"/>
    <w:rsid w:val="00514517"/>
    <w:rsid w:val="00545827"/>
    <w:rsid w:val="00560270"/>
    <w:rsid w:val="005C2568"/>
    <w:rsid w:val="006037C0"/>
    <w:rsid w:val="006631B6"/>
    <w:rsid w:val="00664DB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09F"/>
    <w:rsid w:val="00930C23"/>
    <w:rsid w:val="0093193B"/>
    <w:rsid w:val="009509D8"/>
    <w:rsid w:val="00950B64"/>
    <w:rsid w:val="00981893"/>
    <w:rsid w:val="00995E6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AFF5C6"/>
  <w15:chartTrackingRefBased/>
  <w15:docId w15:val="{4A9034FD-8090-4682-B0D6-669F3A65F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C03E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C03EE"/>
    <w:pPr>
      <w:spacing w:before="480" w:after="240"/>
    </w:pPr>
  </w:style>
  <w:style w:type="paragraph" w:customStyle="1" w:styleId="PageHeading">
    <w:name w:val="PageHeading"/>
    <w:basedOn w:val="Normal"/>
    <w:rsid w:val="000C03EE"/>
    <w:pPr>
      <w:keepNext/>
      <w:spacing w:after="480"/>
      <w:jc w:val="center"/>
    </w:pPr>
    <w:rPr>
      <w:rFonts w:ascii="Arial" w:hAnsi="Arial" w:cs="Arial"/>
      <w:b/>
    </w:rPr>
  </w:style>
  <w:style w:type="paragraph" w:customStyle="1" w:styleId="NormalBold">
    <w:name w:val="NormalBold"/>
    <w:basedOn w:val="Normal"/>
    <w:rsid w:val="000C03EE"/>
    <w:rPr>
      <w:b/>
    </w:rPr>
  </w:style>
  <w:style w:type="paragraph" w:customStyle="1" w:styleId="NormalHanging12a">
    <w:name w:val="NormalHanging12a"/>
    <w:basedOn w:val="Normal"/>
    <w:link w:val="NormalHanging12aChar"/>
    <w:rsid w:val="000C03EE"/>
    <w:pPr>
      <w:spacing w:after="240"/>
      <w:ind w:left="567" w:hanging="567"/>
    </w:pPr>
  </w:style>
  <w:style w:type="paragraph" w:customStyle="1" w:styleId="NormalCenter12a">
    <w:name w:val="NormalCenter12a"/>
    <w:basedOn w:val="Normal"/>
    <w:rsid w:val="000C03EE"/>
    <w:pPr>
      <w:spacing w:after="240"/>
      <w:jc w:val="center"/>
    </w:pPr>
  </w:style>
  <w:style w:type="paragraph" w:styleId="Header">
    <w:name w:val="header"/>
    <w:basedOn w:val="Normal"/>
    <w:link w:val="HeaderChar"/>
    <w:rsid w:val="000C03EE"/>
    <w:pPr>
      <w:tabs>
        <w:tab w:val="center" w:pos="4513"/>
        <w:tab w:val="right" w:pos="9026"/>
      </w:tabs>
    </w:pPr>
  </w:style>
  <w:style w:type="character" w:customStyle="1" w:styleId="HeaderChar">
    <w:name w:val="Header Char"/>
    <w:basedOn w:val="DefaultParagraphFont"/>
    <w:link w:val="Header"/>
    <w:rsid w:val="000C03EE"/>
    <w:rPr>
      <w:sz w:val="24"/>
      <w:lang w:val="hr-HR"/>
    </w:rPr>
  </w:style>
  <w:style w:type="paragraph" w:customStyle="1" w:styleId="EPFooter">
    <w:name w:val="EPFooter"/>
    <w:basedOn w:val="Normal"/>
    <w:rsid w:val="000C03EE"/>
    <w:pPr>
      <w:tabs>
        <w:tab w:val="center" w:pos="4535"/>
        <w:tab w:val="right" w:pos="9071"/>
      </w:tabs>
      <w:spacing w:before="240" w:after="240"/>
    </w:pPr>
    <w:rPr>
      <w:color w:val="010000"/>
      <w:sz w:val="22"/>
    </w:rPr>
  </w:style>
  <w:style w:type="paragraph" w:styleId="ListParagraph">
    <w:name w:val="List Paragraph"/>
    <w:basedOn w:val="Normal"/>
    <w:uiPriority w:val="34"/>
    <w:qFormat/>
    <w:rsid w:val="000C03EE"/>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0C03EE"/>
    <w:rPr>
      <w:sz w:val="24"/>
      <w:lang w:val="hr-HR"/>
    </w:rPr>
  </w:style>
  <w:style w:type="character" w:customStyle="1" w:styleId="pointer">
    <w:name w:val="pointer"/>
    <w:basedOn w:val="DefaultParagraphFont"/>
    <w:rsid w:val="000C03EE"/>
  </w:style>
  <w:style w:type="paragraph" w:customStyle="1" w:styleId="Normal24a">
    <w:name w:val="Normal24a"/>
    <w:basedOn w:val="Normal"/>
    <w:rsid w:val="000C03EE"/>
    <w:pPr>
      <w:spacing w:after="480"/>
    </w:pPr>
  </w:style>
  <w:style w:type="paragraph" w:customStyle="1" w:styleId="Normal12a">
    <w:name w:val="Normal12a"/>
    <w:basedOn w:val="Normal"/>
    <w:rsid w:val="000C03EE"/>
    <w:pPr>
      <w:spacing w:after="240"/>
    </w:pPr>
  </w:style>
  <w:style w:type="paragraph" w:customStyle="1" w:styleId="PageHeadingNotTOC">
    <w:name w:val="PageHeadingNotTOC"/>
    <w:basedOn w:val="Normal"/>
    <w:rsid w:val="000C03EE"/>
    <w:pPr>
      <w:keepNext/>
      <w:spacing w:after="480"/>
      <w:jc w:val="center"/>
    </w:pPr>
    <w:rPr>
      <w:rFonts w:ascii="Arial" w:hAnsi="Arial" w:cs="Arial"/>
      <w:b/>
    </w:rPr>
  </w:style>
  <w:style w:type="paragraph" w:styleId="Footer">
    <w:name w:val="footer"/>
    <w:basedOn w:val="Normal"/>
    <w:link w:val="FooterChar"/>
    <w:rsid w:val="00995E60"/>
    <w:pPr>
      <w:tabs>
        <w:tab w:val="center" w:pos="4513"/>
        <w:tab w:val="right" w:pos="9026"/>
      </w:tabs>
    </w:pPr>
  </w:style>
  <w:style w:type="character" w:customStyle="1" w:styleId="FooterChar">
    <w:name w:val="Footer Char"/>
    <w:basedOn w:val="DefaultParagraphFont"/>
    <w:link w:val="Footer"/>
    <w:rsid w:val="00995E60"/>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64392-3635-43F8-9B7E-421913279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4246</Words>
  <Characters>25621</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2024-05-23T09:50:00Z</dcterms:created>
  <dcterms:modified xsi:type="dcterms:W3CDTF">2024-05-23T09:50:00Z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P9_TA(2024)0254_</vt:lpwstr>
  </property>
  <property fmtid="{D5CDD505-2E9C-101B-9397-08002B2CF9AE}" pid="4" name="&lt;Type&gt;">
    <vt:lpwstr>RR</vt:lpwstr>
  </property>
</Properties>
</file>