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0A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0AEC" w:rsidRDefault="00144086" w:rsidP="0010095E">
            <w:pPr>
              <w:pStyle w:val="EPName"/>
            </w:pPr>
            <w:r w:rsidRPr="000D0AEC">
              <w:t>Európai Parlament</w:t>
            </w:r>
          </w:p>
          <w:p w:rsidR="00751A4A" w:rsidRPr="000D0A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0AE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D0AEC" w:rsidRDefault="00187494" w:rsidP="0010095E">
            <w:pPr>
              <w:pStyle w:val="EPLogo"/>
            </w:pPr>
            <w:r w:rsidRPr="000D0A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0AEC" w:rsidRDefault="00D058B8" w:rsidP="004C5D52">
      <w:pPr>
        <w:pStyle w:val="LineTop"/>
      </w:pPr>
    </w:p>
    <w:p w:rsidR="00680577" w:rsidRPr="000D0AEC" w:rsidRDefault="00144086" w:rsidP="00680577">
      <w:pPr>
        <w:pStyle w:val="EPBodyTA1"/>
      </w:pPr>
      <w:r w:rsidRPr="000D0AEC">
        <w:t>ELFOGADOTT SZÖVEGEK</w:t>
      </w:r>
    </w:p>
    <w:p w:rsidR="00D058B8" w:rsidRPr="000D0AEC" w:rsidRDefault="00D058B8" w:rsidP="00D058B8">
      <w:pPr>
        <w:pStyle w:val="LineBottom"/>
      </w:pPr>
    </w:p>
    <w:p w:rsidR="00144086" w:rsidRPr="000D0AEC" w:rsidRDefault="00144086" w:rsidP="00144086">
      <w:pPr>
        <w:pStyle w:val="ATHeading1"/>
      </w:pPr>
      <w:bookmarkStart w:id="0" w:name="TANumber"/>
      <w:r w:rsidRPr="000D0AEC">
        <w:t>P9_</w:t>
      </w:r>
      <w:proofErr w:type="gramStart"/>
      <w:r w:rsidRPr="000D0AEC">
        <w:t>TA(</w:t>
      </w:r>
      <w:proofErr w:type="gramEnd"/>
      <w:r w:rsidRPr="000D0AEC">
        <w:t>2024)0</w:t>
      </w:r>
      <w:r w:rsidR="004A725C" w:rsidRPr="000D0AEC">
        <w:t>254</w:t>
      </w:r>
      <w:bookmarkEnd w:id="0"/>
    </w:p>
    <w:p w:rsidR="00144086" w:rsidRPr="000D0AEC" w:rsidRDefault="00342BC7" w:rsidP="00342BC7">
      <w:pPr>
        <w:pStyle w:val="ATHeading2"/>
      </w:pPr>
      <w:bookmarkStart w:id="1" w:name="title"/>
      <w:r w:rsidRPr="000D0AEC">
        <w:t xml:space="preserve">2022. évi </w:t>
      </w:r>
      <w:proofErr w:type="gramStart"/>
      <w:r w:rsidRPr="000D0AEC">
        <w:t>mentesítés</w:t>
      </w:r>
      <w:proofErr w:type="gramEnd"/>
      <w:r w:rsidRPr="000D0AEC">
        <w:t>: Az Európai Unió Bűnüldözési Képzési Ügynöksége (CEPOL)</w:t>
      </w:r>
      <w:bookmarkEnd w:id="1"/>
    </w:p>
    <w:p w:rsidR="00144086" w:rsidRPr="000D0AEC" w:rsidRDefault="00144086" w:rsidP="00144086">
      <w:pPr>
        <w:rPr>
          <w:i/>
          <w:vanish/>
        </w:rPr>
      </w:pPr>
      <w:r w:rsidRPr="000D0AEC">
        <w:rPr>
          <w:i/>
        </w:rPr>
        <w:fldChar w:fldCharType="begin"/>
      </w:r>
      <w:r w:rsidRPr="000D0AEC">
        <w:rPr>
          <w:i/>
        </w:rPr>
        <w:instrText xml:space="preserve"> TC"(</w:instrText>
      </w:r>
      <w:bookmarkStart w:id="2" w:name="DocNumber"/>
      <w:r w:rsidRPr="000D0AEC">
        <w:rPr>
          <w:i/>
        </w:rPr>
        <w:instrText>A9-</w:instrText>
      </w:r>
      <w:r w:rsidR="00675A81" w:rsidRPr="000D0AEC">
        <w:rPr>
          <w:i/>
        </w:rPr>
        <w:instrText>0098</w:instrText>
      </w:r>
      <w:r w:rsidRPr="000D0AEC">
        <w:rPr>
          <w:i/>
        </w:rPr>
        <w:instrText>/2024</w:instrText>
      </w:r>
      <w:bookmarkEnd w:id="2"/>
      <w:r w:rsidRPr="000D0AEC">
        <w:rPr>
          <w:i/>
        </w:rPr>
        <w:instrText xml:space="preserve"> - Előadó: </w:instrText>
      </w:r>
      <w:r w:rsidR="00675A81" w:rsidRPr="000D0AEC">
        <w:rPr>
          <w:i/>
        </w:rPr>
        <w:instrText xml:space="preserve">Petri </w:instrText>
      </w:r>
      <w:proofErr w:type="spellStart"/>
      <w:r w:rsidR="00675A81" w:rsidRPr="000D0AEC">
        <w:rPr>
          <w:i/>
        </w:rPr>
        <w:instrText>Sarvamaa</w:instrText>
      </w:r>
      <w:proofErr w:type="spellEnd"/>
      <w:r w:rsidRPr="000D0AEC">
        <w:rPr>
          <w:i/>
        </w:rPr>
        <w:instrText xml:space="preserve">)"\l3 \n&gt; \* MERGEFORMAT </w:instrText>
      </w:r>
      <w:r w:rsidRPr="000D0AEC">
        <w:rPr>
          <w:i/>
        </w:rPr>
        <w:fldChar w:fldCharType="end"/>
      </w:r>
    </w:p>
    <w:p w:rsidR="00144086" w:rsidRPr="000D0AEC" w:rsidRDefault="00144086" w:rsidP="00144086">
      <w:pPr>
        <w:rPr>
          <w:vanish/>
        </w:rPr>
      </w:pPr>
      <w:bookmarkStart w:id="3" w:name="Commission"/>
      <w:r w:rsidRPr="000D0AEC">
        <w:rPr>
          <w:vanish/>
        </w:rPr>
        <w:t>Költségvetési Ellenőrző Bizottság</w:t>
      </w:r>
      <w:bookmarkEnd w:id="3"/>
    </w:p>
    <w:p w:rsidR="00144086" w:rsidRPr="000D0AEC" w:rsidRDefault="00144086" w:rsidP="00144086">
      <w:pPr>
        <w:rPr>
          <w:vanish/>
        </w:rPr>
      </w:pPr>
      <w:bookmarkStart w:id="4" w:name="PE"/>
      <w:r w:rsidRPr="000D0AEC">
        <w:rPr>
          <w:vanish/>
        </w:rPr>
        <w:t>PE</w:t>
      </w:r>
      <w:r w:rsidR="00675A81" w:rsidRPr="000D0AEC">
        <w:rPr>
          <w:vanish/>
        </w:rPr>
        <w:t>753.510</w:t>
      </w:r>
      <w:bookmarkEnd w:id="4"/>
    </w:p>
    <w:p w:rsidR="00144086" w:rsidRPr="000D0AEC" w:rsidRDefault="008E7320" w:rsidP="00144086">
      <w:pPr>
        <w:pStyle w:val="ATHeading3"/>
      </w:pPr>
      <w:bookmarkStart w:id="5" w:name="Sujet"/>
      <w:r w:rsidRPr="000D0AEC">
        <w:t xml:space="preserve">1. </w:t>
      </w:r>
      <w:r w:rsidR="00144086" w:rsidRPr="000D0AEC">
        <w:t xml:space="preserve">Az Európai Parlament 2024. </w:t>
      </w:r>
      <w:r w:rsidR="000F66D6" w:rsidRPr="000D0AEC">
        <w:t>április</w:t>
      </w:r>
      <w:r w:rsidR="00144086" w:rsidRPr="000D0AEC">
        <w:t xml:space="preserve"> </w:t>
      </w:r>
      <w:r w:rsidR="000F66D6" w:rsidRPr="000D0AEC">
        <w:t>11-</w:t>
      </w:r>
      <w:r w:rsidR="00144086" w:rsidRPr="000D0AEC">
        <w:t xml:space="preserve">i határozata </w:t>
      </w:r>
      <w:r w:rsidR="00675A81" w:rsidRPr="000D0AEC">
        <w:t xml:space="preserve">az Európai Unió Bűnüldözési Képzési Ügynöksége (CEPOL) 2022. évi pénzügyi évre szóló költségvetésének végrehajtására vonatkozó mentesítésről </w:t>
      </w:r>
      <w:bookmarkStart w:id="6" w:name="References"/>
      <w:bookmarkEnd w:id="5"/>
      <w:r w:rsidR="00144086" w:rsidRPr="000D0AEC">
        <w:t>(</w:t>
      </w:r>
      <w:r w:rsidR="00675A81" w:rsidRPr="000D0AEC">
        <w:t>2023/</w:t>
      </w:r>
      <w:proofErr w:type="gramStart"/>
      <w:r w:rsidR="00675A81" w:rsidRPr="000D0AEC">
        <w:t>2144(</w:t>
      </w:r>
      <w:proofErr w:type="gramEnd"/>
      <w:r w:rsidR="00675A81" w:rsidRPr="000D0AEC">
        <w:t>DEC</w:t>
      </w:r>
      <w:r w:rsidR="00144086" w:rsidRPr="000D0AEC">
        <w:t>))</w:t>
      </w:r>
      <w:bookmarkEnd w:id="6"/>
    </w:p>
    <w:p w:rsidR="00675A81" w:rsidRPr="000D0AEC" w:rsidRDefault="00675A81" w:rsidP="00675A81">
      <w:pPr>
        <w:pStyle w:val="EPComma"/>
      </w:pPr>
      <w:bookmarkStart w:id="7" w:name="TextBodyBegin"/>
      <w:bookmarkEnd w:id="7"/>
      <w:r w:rsidRPr="000D0AEC">
        <w:rPr>
          <w:i/>
        </w:rPr>
        <w:t>Az Európai Parlament,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Bűnüldözési Képzési Ügynöksége (CEPOL) 2022. évi pénzügyi évre vonatkozó végleges éves beszámolójára,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 2022. évi pénzügyi évre vonatkozóan az uniós ügynökségekről szóló éves számvevőszéki jelentésre, az ügynökségek válaszaival együtt</w:t>
      </w:r>
      <w:r w:rsidRPr="000D0AEC">
        <w:rPr>
          <w:rStyle w:val="FootnoteReference"/>
        </w:rPr>
        <w:footnoteReference w:id="1"/>
      </w:r>
      <w:r w:rsidRPr="000D0AEC">
        <w:t>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0D0AEC">
        <w:rPr>
          <w:rStyle w:val="FootnoteReference"/>
        </w:rPr>
        <w:footnoteReference w:id="2"/>
      </w:r>
      <w:r w:rsidRPr="000D0AEC">
        <w:t>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 xml:space="preserve">tekintettel a 2022. évi pénzügyi évre vonatkozó költségvetés végrehajtása tekintetében az ügynökség számára adandó </w:t>
      </w:r>
      <w:proofErr w:type="gramStart"/>
      <w:r w:rsidRPr="000D0AEC">
        <w:t>mentesítésről</w:t>
      </w:r>
      <w:proofErr w:type="gramEnd"/>
      <w:r w:rsidRPr="000D0AEC">
        <w:t xml:space="preserve"> szóló, 2024. február 22-i tanácsi ajánlásra (</w:t>
      </w:r>
      <w:r w:rsidR="00CC7C6E" w:rsidRPr="000D0AEC">
        <w:t>06180</w:t>
      </w:r>
      <w:r w:rsidRPr="000D0AEC">
        <w:t>/2024 – C9</w:t>
      </w:r>
      <w:r w:rsidRPr="000D0AEC">
        <w:noBreakHyphen/>
      </w:r>
      <w:r w:rsidR="00CC7C6E" w:rsidRPr="000D0AEC">
        <w:t>0082</w:t>
      </w:r>
      <w:r w:rsidRPr="000D0AEC">
        <w:t>/2024),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működéséről szóló szerződés 319. cikkére,</w:t>
      </w:r>
    </w:p>
    <w:p w:rsidR="00675A81" w:rsidRPr="000D0AEC" w:rsidRDefault="00675A81" w:rsidP="00675A81">
      <w:pPr>
        <w:pStyle w:val="NormalHanging12a"/>
      </w:pPr>
      <w:proofErr w:type="gramStart"/>
      <w:r w:rsidRPr="000D0AEC">
        <w:t>–</w:t>
      </w:r>
      <w:r w:rsidRPr="000D0AEC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0D0AEC">
        <w:rPr>
          <w:rStyle w:val="FootnoteReference"/>
        </w:rPr>
        <w:footnoteReference w:id="3"/>
      </w:r>
      <w:r w:rsidRPr="000D0AEC">
        <w:t xml:space="preserve"> és különösen annak 70. cikkére,</w:t>
      </w:r>
      <w:proofErr w:type="gramEnd"/>
    </w:p>
    <w:p w:rsidR="00675A81" w:rsidRPr="000D0AEC" w:rsidRDefault="00675A81" w:rsidP="00675A81">
      <w:pPr>
        <w:pStyle w:val="NormalHanging12a"/>
      </w:pPr>
      <w:r w:rsidRPr="000D0AEC">
        <w:lastRenderedPageBreak/>
        <w:t>–</w:t>
      </w:r>
      <w:r w:rsidRPr="000D0AEC">
        <w:tab/>
        <w:t>tekintettel az Európai Unió Bűnüldözési Képzési Ügynökségéről (CEPOL), valamint a 2005/681/IB tanácsi határozat felváltásáról és hatályon kívül helyezéséről szóló, 2015. november 25-i (EU) 2015/2219 európai parlamenti és tanácsi rendeletre</w:t>
      </w:r>
      <w:r w:rsidRPr="000D0AEC">
        <w:rPr>
          <w:rStyle w:val="FootnoteReference"/>
        </w:rPr>
        <w:footnoteReference w:id="4"/>
      </w:r>
      <w:r w:rsidRPr="000D0AEC">
        <w:t xml:space="preserve"> és különösen annak 20. cikkére,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 2019/715 felhatalmazáson alapuló bizottsági rendeletre</w:t>
      </w:r>
      <w:r w:rsidRPr="000D0AEC">
        <w:rPr>
          <w:rStyle w:val="FootnoteReference"/>
        </w:rPr>
        <w:footnoteReference w:id="5"/>
      </w:r>
      <w:r w:rsidRPr="000D0AEC">
        <w:t xml:space="preserve"> és különösen annak 105. cikkére,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eljárási szabályzata 100. cikkére és V. mellékletére,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Állampolgári Jogi, Bel- és Igazságügyi Bizottság véleményére,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 Költségvetési Ellenőrző Bizottság jelentésére (A9-0098/2024),</w:t>
      </w:r>
    </w:p>
    <w:p w:rsidR="00675A81" w:rsidRPr="000D0AEC" w:rsidRDefault="00675A81" w:rsidP="00675A81">
      <w:pPr>
        <w:pStyle w:val="NormalHanging12a"/>
      </w:pPr>
      <w:r w:rsidRPr="000D0AEC">
        <w:t>1.</w:t>
      </w:r>
      <w:r w:rsidRPr="000D0AEC">
        <w:tab/>
      </w:r>
      <w:proofErr w:type="gramStart"/>
      <w:r w:rsidRPr="000D0AEC">
        <w:t>mentesítést</w:t>
      </w:r>
      <w:proofErr w:type="gramEnd"/>
      <w:r w:rsidRPr="000D0AEC">
        <w:t xml:space="preserve"> ad az Európai Unió Bűnüldözési Képzési Ügynöksége (CEPOL) ügyvezető igazgatója számára az ügynökség 2022. évi pénzügyi évre szóló költségvetésének végrehajtására vonatkozóan;</w:t>
      </w:r>
    </w:p>
    <w:p w:rsidR="00675A81" w:rsidRPr="000D0AEC" w:rsidRDefault="00675A81" w:rsidP="00675A81">
      <w:pPr>
        <w:pStyle w:val="NormalHanging12a"/>
      </w:pPr>
      <w:r w:rsidRPr="000D0AEC">
        <w:t>2.</w:t>
      </w:r>
      <w:r w:rsidRPr="000D0AEC">
        <w:tab/>
        <w:t>megjegyzéseit a mellékelt állásfoglalásban foglalja össze;</w:t>
      </w:r>
    </w:p>
    <w:p w:rsidR="00675A81" w:rsidRPr="000D0AEC" w:rsidRDefault="00675A81" w:rsidP="00675A81">
      <w:pPr>
        <w:pStyle w:val="NormalHanging12a"/>
      </w:pPr>
      <w:r w:rsidRPr="000D0AEC">
        <w:t>3.</w:t>
      </w:r>
      <w:r w:rsidRPr="000D0AEC">
        <w:tab/>
        <w:t>utasítja elnökét, hogy továbbítsa ezt a határozatot, valamint az annak szerves részét képező állásfoglalást az Európai Unió Bűnüldözési Képzési Ügynöksége (CEPOL) ügyvezető igazgatójának, a Tanácsnak, a Bizottságnak és a Számvevőszéknek</w:t>
      </w:r>
      <w:r w:rsidR="00CC7C6E" w:rsidRPr="000D0AEC">
        <w:t>,</w:t>
      </w:r>
      <w:r w:rsidRPr="000D0AEC">
        <w:t xml:space="preserve"> és gondoskodjon az </w:t>
      </w:r>
      <w:r w:rsidRPr="000D0AEC">
        <w:rPr>
          <w:i/>
        </w:rPr>
        <w:t>Európai Unió Hivatalos Lapjában</w:t>
      </w:r>
      <w:r w:rsidRPr="000D0AEC">
        <w:t xml:space="preserve"> (L sorozat) való közzétételükről.</w:t>
      </w:r>
    </w:p>
    <w:p w:rsidR="00675A81" w:rsidRPr="000D0AEC" w:rsidRDefault="00675A81" w:rsidP="00675A81"/>
    <w:p w:rsidR="00675A81" w:rsidRPr="000D0AEC" w:rsidRDefault="00675A81" w:rsidP="00675A81">
      <w:pPr>
        <w:widowControl/>
        <w:rPr>
          <w:rFonts w:ascii="Arial" w:hAnsi="Arial" w:cs="Arial"/>
          <w:b/>
        </w:rPr>
        <w:sectPr w:rsidR="00675A81" w:rsidRPr="000D0AEC" w:rsidSect="000D0AEC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675A81" w:rsidRPr="000D0AEC" w:rsidRDefault="00675A81" w:rsidP="00342BC7">
      <w:pPr>
        <w:pStyle w:val="ATHeading3"/>
      </w:pPr>
      <w:bookmarkStart w:id="8" w:name="_Toc146722410"/>
      <w:bookmarkStart w:id="9" w:name="_Toc161913022"/>
      <w:r w:rsidRPr="000D0AEC">
        <w:lastRenderedPageBreak/>
        <w:t xml:space="preserve">2. </w:t>
      </w:r>
      <w:bookmarkEnd w:id="8"/>
      <w:bookmarkEnd w:id="9"/>
      <w:r w:rsidR="00342BC7" w:rsidRPr="000D0AEC">
        <w:t xml:space="preserve">Az Európai Parlament 2024. április 11-i határozata </w:t>
      </w:r>
      <w:r w:rsidRPr="000D0AEC">
        <w:t>az Európai Unió Bűnüldözési Képzési Ügynöksége (CEPOL) 2022. évi pénzügyi évre vonatkozó elszámolásának lezárásáról</w:t>
      </w:r>
      <w:r w:rsidR="00342BC7" w:rsidRPr="000D0AEC">
        <w:t xml:space="preserve"> </w:t>
      </w:r>
      <w:r w:rsidRPr="000D0AEC">
        <w:t>(2023/</w:t>
      </w:r>
      <w:proofErr w:type="gramStart"/>
      <w:r w:rsidRPr="000D0AEC">
        <w:t>2144(</w:t>
      </w:r>
      <w:proofErr w:type="gramEnd"/>
      <w:r w:rsidRPr="000D0AEC">
        <w:t>DEC))</w:t>
      </w:r>
    </w:p>
    <w:p w:rsidR="00675A81" w:rsidRPr="000D0AEC" w:rsidRDefault="00675A81" w:rsidP="00675A81">
      <w:pPr>
        <w:pStyle w:val="EPComma"/>
      </w:pPr>
      <w:r w:rsidRPr="000D0AEC">
        <w:rPr>
          <w:i/>
        </w:rPr>
        <w:t>Az Európai Parlament,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Bűnüldözési Képzési Ügynöksége (CEPOL) 2022. évi pénzügyi évre vonatkozó végleges éves beszámolójára,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 2022. évi pénzügyi évre vonatkozóan az uniós ügynökségekről szóló éves számvevőszéki jelentésre, az ügynökségek válaszaival együtt</w:t>
      </w:r>
      <w:r w:rsidRPr="000D0AEC">
        <w:rPr>
          <w:rStyle w:val="FootnoteReference"/>
        </w:rPr>
        <w:footnoteReference w:id="6"/>
      </w:r>
      <w:r w:rsidRPr="000D0AEC">
        <w:t>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0D0AEC">
        <w:rPr>
          <w:rStyle w:val="FootnoteReference"/>
        </w:rPr>
        <w:footnoteReference w:id="7"/>
      </w:r>
      <w:r w:rsidRPr="000D0AEC">
        <w:t>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 xml:space="preserve">tekintettel a 2022. évi pénzügyi évre vonatkozó költségvetés végrehajtása tekintetében az ügynökség számára adandó </w:t>
      </w:r>
      <w:proofErr w:type="gramStart"/>
      <w:r w:rsidRPr="000D0AEC">
        <w:t>mentesítésről</w:t>
      </w:r>
      <w:proofErr w:type="gramEnd"/>
      <w:r w:rsidRPr="000D0AEC">
        <w:t xml:space="preserve"> szóló, 2024. február 22-i tanácsi ajánlásra (</w:t>
      </w:r>
      <w:r w:rsidR="00CC7C6E" w:rsidRPr="000D0AEC">
        <w:t>06180</w:t>
      </w:r>
      <w:r w:rsidRPr="000D0AEC">
        <w:t>/2024 – C9</w:t>
      </w:r>
      <w:r w:rsidRPr="000D0AEC">
        <w:noBreakHyphen/>
      </w:r>
      <w:r w:rsidR="00CC7C6E" w:rsidRPr="000D0AEC">
        <w:t>0082</w:t>
      </w:r>
      <w:r w:rsidRPr="000D0AEC">
        <w:t>/2024),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működéséről szóló szerződés 319. cikkére,</w:t>
      </w:r>
    </w:p>
    <w:p w:rsidR="00675A81" w:rsidRPr="000D0AEC" w:rsidRDefault="00675A81" w:rsidP="00675A81">
      <w:pPr>
        <w:pStyle w:val="NormalHanging12a"/>
      </w:pPr>
      <w:proofErr w:type="gramStart"/>
      <w:r w:rsidRPr="000D0AEC">
        <w:t>–</w:t>
      </w:r>
      <w:r w:rsidRPr="000D0AEC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0D0AEC">
        <w:rPr>
          <w:rStyle w:val="FootnoteReference"/>
        </w:rPr>
        <w:footnoteReference w:id="8"/>
      </w:r>
      <w:r w:rsidRPr="000D0AEC">
        <w:t xml:space="preserve"> és különösen annak 70. cikkére,</w:t>
      </w:r>
      <w:proofErr w:type="gramEnd"/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Bűnüldözési Képzési Ügynökségéről (CEPOL), valamint a 2005/681/IB tanácsi határozat felváltásáról és hatályon kívül helyezéséről szóló, 2015. november 25-i (EU) 2015/2219 európai parlamenti és tanácsi rendeletre</w:t>
      </w:r>
      <w:r w:rsidRPr="000D0AEC">
        <w:rPr>
          <w:rStyle w:val="FootnoteReference"/>
        </w:rPr>
        <w:footnoteReference w:id="9"/>
      </w:r>
      <w:r w:rsidRPr="000D0AEC">
        <w:t xml:space="preserve"> és különösen annak 20. cikkére,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 2019/715 felhatalmazáson alapuló bizottsági rendeletre</w:t>
      </w:r>
      <w:r w:rsidRPr="000D0AEC">
        <w:rPr>
          <w:rStyle w:val="FootnoteReference"/>
        </w:rPr>
        <w:footnoteReference w:id="10"/>
      </w:r>
      <w:r w:rsidRPr="000D0AEC">
        <w:t xml:space="preserve"> és különösen annak 105. cikkére,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eljárási szabályzata 100. cikkére és V. mellékletére,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Állampolgári Jogi, Bel- és Igazságügyi Bizottság véleményére,</w:t>
      </w:r>
    </w:p>
    <w:p w:rsidR="00675A81" w:rsidRPr="000D0AEC" w:rsidRDefault="00675A81" w:rsidP="00675A81">
      <w:pPr>
        <w:pStyle w:val="NormalHanging12a"/>
      </w:pPr>
      <w:r w:rsidRPr="000D0AEC">
        <w:lastRenderedPageBreak/>
        <w:t>–</w:t>
      </w:r>
      <w:r w:rsidRPr="000D0AEC">
        <w:tab/>
        <w:t>tekintettel a Költségvetési Ellenőrző Bizottság jelentésére (A9-0098/2024),</w:t>
      </w:r>
    </w:p>
    <w:p w:rsidR="00675A81" w:rsidRPr="000D0AEC" w:rsidRDefault="00675A81" w:rsidP="00675A81">
      <w:pPr>
        <w:pStyle w:val="NormalHanging12a"/>
      </w:pPr>
      <w:r w:rsidRPr="000D0AEC">
        <w:t>1.</w:t>
      </w:r>
      <w:r w:rsidRPr="000D0AEC">
        <w:tab/>
        <w:t>jóváhagyja az Európai Unió Bűnüldözési Képzési Ügynöksége (CEPOL) 2022. évi pénzügyi évre vonatkozó elszámolásának lezárását;</w:t>
      </w:r>
    </w:p>
    <w:p w:rsidR="00675A81" w:rsidRPr="000D0AEC" w:rsidRDefault="00675A81" w:rsidP="00675A81">
      <w:pPr>
        <w:pStyle w:val="NormalHanging12a"/>
      </w:pPr>
      <w:r w:rsidRPr="000D0AEC">
        <w:t>2.</w:t>
      </w:r>
      <w:r w:rsidRPr="000D0AEC">
        <w:tab/>
        <w:t>utasítja elnökét, hogy továbbítsa ezt a határozatot az Európai Unió Bűnüldözési Képzési Ügynöksége (CEPOL) ügyvezető igazgatójának, a Tanácsnak, a Bizottságnak és a Számvevőszéknek</w:t>
      </w:r>
      <w:r w:rsidR="00CC7C6E" w:rsidRPr="000D0AEC">
        <w:t>,</w:t>
      </w:r>
      <w:r w:rsidRPr="000D0AEC">
        <w:t xml:space="preserve"> és gondoskodjon az </w:t>
      </w:r>
      <w:r w:rsidRPr="000D0AEC">
        <w:rPr>
          <w:i/>
        </w:rPr>
        <w:t>Európai Unió Hivatalos Lapjában</w:t>
      </w:r>
      <w:r w:rsidRPr="000D0AEC">
        <w:t xml:space="preserve"> (L sorozat) való közzétételéről.</w:t>
      </w:r>
    </w:p>
    <w:p w:rsidR="00675A81" w:rsidRPr="000D0AEC" w:rsidRDefault="00675A81" w:rsidP="00675A81"/>
    <w:p w:rsidR="00675A81" w:rsidRPr="000D0AEC" w:rsidRDefault="00675A81" w:rsidP="00675A81">
      <w:pPr>
        <w:widowControl/>
        <w:rPr>
          <w:rFonts w:ascii="Arial" w:hAnsi="Arial" w:cs="Arial"/>
          <w:b/>
        </w:rPr>
        <w:sectPr w:rsidR="00675A81" w:rsidRPr="000D0AEC" w:rsidSect="00405A48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675A81" w:rsidRPr="000D0AEC" w:rsidRDefault="00675A81" w:rsidP="00342BC7">
      <w:pPr>
        <w:pStyle w:val="ATHeading3"/>
      </w:pPr>
      <w:bookmarkStart w:id="10" w:name="_Toc146722411"/>
      <w:bookmarkStart w:id="11" w:name="_Toc161913023"/>
      <w:r w:rsidRPr="000D0AEC">
        <w:lastRenderedPageBreak/>
        <w:t>3. A</w:t>
      </w:r>
      <w:r w:rsidR="00342BC7" w:rsidRPr="000D0AEC">
        <w:t>z Európai parlament 2024. április 11-i állásfoglalása</w:t>
      </w:r>
      <w:bookmarkEnd w:id="10"/>
      <w:bookmarkEnd w:id="11"/>
      <w:r w:rsidR="00342BC7" w:rsidRPr="000D0AEC">
        <w:t xml:space="preserve"> </w:t>
      </w:r>
      <w:r w:rsidRPr="000D0AEC">
        <w:t>az Európai Unió Bűnüldözési Képzési Ügynöksége (CEPOL) 2022. évi pénzügyi évre szóló költségvetésének végrehajtására vonatkozó mentesítésről szóló határozat szerves részét képező megjegyzésekkel</w:t>
      </w:r>
      <w:r w:rsidR="00342BC7" w:rsidRPr="000D0AEC">
        <w:t xml:space="preserve"> </w:t>
      </w:r>
      <w:r w:rsidRPr="000D0AEC">
        <w:t>(2023/</w:t>
      </w:r>
      <w:proofErr w:type="gramStart"/>
      <w:r w:rsidRPr="000D0AEC">
        <w:t>2144(</w:t>
      </w:r>
      <w:proofErr w:type="gramEnd"/>
      <w:r w:rsidRPr="000D0AEC">
        <w:t>DEC))</w:t>
      </w:r>
    </w:p>
    <w:p w:rsidR="00675A81" w:rsidRPr="000D0AEC" w:rsidRDefault="00675A81" w:rsidP="00675A81">
      <w:pPr>
        <w:pStyle w:val="EPComma"/>
      </w:pPr>
      <w:r w:rsidRPr="000D0AEC">
        <w:rPr>
          <w:i/>
        </w:rPr>
        <w:t>Az Európai Parlament,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 xml:space="preserve">tekintettel az Európai Unió Bűnüldözési Képzési Ügynöksége (CEPOL) 2022. évi pénzügyi évre szóló költségvetésének végrehajtására vonatkozó </w:t>
      </w:r>
      <w:proofErr w:type="gramStart"/>
      <w:r w:rsidRPr="000D0AEC">
        <w:t>mentesítésről</w:t>
      </w:r>
      <w:proofErr w:type="gramEnd"/>
      <w:r w:rsidRPr="000D0AEC">
        <w:t xml:space="preserve"> szóló határozatára,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eljárási szabályzata 100. cikkére és V. mellékletére,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az Állampolgári Jogi, Bel- és Igazságügyi Bizottság véleményére,</w:t>
      </w:r>
    </w:p>
    <w:p w:rsidR="00675A81" w:rsidRPr="000D0AEC" w:rsidRDefault="00675A81" w:rsidP="00675A81">
      <w:pPr>
        <w:pStyle w:val="NormalHanging12a"/>
      </w:pPr>
      <w:r w:rsidRPr="000D0AEC">
        <w:t>–</w:t>
      </w:r>
      <w:r w:rsidRPr="000D0AEC">
        <w:tab/>
        <w:t>tekintettel a Költségvetési Ellenőrző Bizottság jelentésére (A9-0098/2024),</w:t>
      </w:r>
    </w:p>
    <w:p w:rsidR="00675A81" w:rsidRPr="000D0AEC" w:rsidRDefault="00675A81" w:rsidP="00675A81">
      <w:pPr>
        <w:pStyle w:val="ListParagraph"/>
        <w:spacing w:after="240"/>
        <w:ind w:left="567" w:hanging="567"/>
        <w:rPr>
          <w:rFonts w:eastAsia="Times New Roman"/>
        </w:rPr>
      </w:pPr>
      <w:proofErr w:type="gramStart"/>
      <w:r w:rsidRPr="000D0AEC">
        <w:t>A.</w:t>
      </w:r>
      <w:proofErr w:type="gramEnd"/>
      <w:r w:rsidRPr="000D0AEC">
        <w:tab/>
        <w:t>mivel a bevételi és kiadási kimutatása</w:t>
      </w:r>
      <w:r w:rsidRPr="000D0AEC">
        <w:rPr>
          <w:rStyle w:val="FootnoteReference"/>
          <w:rFonts w:eastAsia="Times New Roman"/>
        </w:rPr>
        <w:footnoteReference w:id="11"/>
      </w:r>
      <w:r w:rsidRPr="000D0AEC">
        <w:t xml:space="preserve"> szerint az Európai Unió Bűnüldözési Képzési Ügynökségének (a továbbiakban: CEPOL, vagy az ügynökség) 2022. évi pénzügyi évre szóló végleges költségvetése 28 295 362 EUR volt, ami 2021-hez képest 5,82%-</w:t>
      </w:r>
      <w:proofErr w:type="spellStart"/>
      <w:r w:rsidRPr="000D0AEC">
        <w:t>os</w:t>
      </w:r>
      <w:proofErr w:type="spellEnd"/>
      <w:r w:rsidRPr="000D0AEC">
        <w:t xml:space="preserve"> csökkenést jelent; mivel az ügynökséget az Unió hozzájárulásaiból és az egyes projektekre vonatkozó külső címzett bevételekből </w:t>
      </w:r>
      <w:proofErr w:type="gramStart"/>
      <w:r w:rsidRPr="000D0AEC">
        <w:t>finanszírozzák</w:t>
      </w:r>
      <w:proofErr w:type="gramEnd"/>
      <w:r w:rsidRPr="000D0AEC">
        <w:t>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B.</w:t>
      </w:r>
      <w:r w:rsidRPr="000D0AEC">
        <w:tab/>
        <w:t xml:space="preserve">mivel a Számvevőszék az ügynökség 2022. évi pénzügyi évre vonatkozó beszámolójáról készített jelentésében (a továbbiakban: </w:t>
      </w:r>
      <w:r w:rsidR="00CC7C6E" w:rsidRPr="000D0AEC">
        <w:t xml:space="preserve">a </w:t>
      </w:r>
      <w:r w:rsidRPr="000D0AEC">
        <w:t>számvevőszéki jelentés) megállapította, hogy kellő mértékben megbizonyosodott az ügynökség éves beszámolójának megbízhatóságáról, valamint arról, hogy a bevétel tekintetében az annak alapjául szolgáló ügyletek minden anyagi szempontból jogszerűek és szabályszerűek; mivel a Számvevőszék összesen 4,2 millió EUR összegű szabálytalan kifizetést állapított meg, amelyből 4,1 millió EUR két olyan keretszerződés alapján teljesített 359 kifizetéshez kapcsolódott, amelyeket a személyze</w:t>
      </w:r>
      <w:proofErr w:type="gramEnd"/>
      <w:r w:rsidRPr="000D0AEC">
        <w:t xml:space="preserve">t </w:t>
      </w:r>
      <w:proofErr w:type="gramStart"/>
      <w:r w:rsidRPr="000D0AEC">
        <w:t>olyan tagjai által küldött szolgáltatáskérések keretében hajtottak végre, akik nem rendelkeznek felhatalmazással arra, hogy az ügynökség nevében jogi kötelezettségvállalásokat tegyenek, valamint amelyből 152 655 EUR-t 2022-ben egy olyan keretszerződés alapján fizettek ki, amelynek tekintetében a kifizetett összegek egy része nem volt összeegyeztethető a nyújtott szolgáltatásokkal, ami a 2022-ben rendelkezésre álló kifizetési előirányzatok összesen 13,5%-át teszi ki, és ezzel meghaladja az ellenőrzésre megállapított lényegességi küszöböt, aminek következtében korlátozott vélemény született a beszámoló</w:t>
      </w:r>
      <w:proofErr w:type="gramEnd"/>
      <w:r w:rsidRPr="000D0AEC">
        <w:t xml:space="preserve"> </w:t>
      </w:r>
      <w:proofErr w:type="gramStart"/>
      <w:r w:rsidRPr="000D0AEC">
        <w:t>alapjául</w:t>
      </w:r>
      <w:proofErr w:type="gramEnd"/>
      <w:r w:rsidRPr="000D0AEC">
        <w:t xml:space="preserve"> szolgáló kifizetések jogszerűségéről és szabályszerűségéről; mivel az említett nem megfelelő kifizetések kivételével a Számvevőszék megállapítása szerint a beszámoló alapjául szolgáló ügyletek a 2022. december 31-ével lezárt év kifizetései tekintetében minden lényeges szempontból jogszerűek és szabályszerűek;</w:t>
      </w:r>
    </w:p>
    <w:p w:rsidR="00675A81" w:rsidRPr="000D0AEC" w:rsidRDefault="00675A81" w:rsidP="00675A81">
      <w:pPr>
        <w:spacing w:after="240"/>
        <w:ind w:left="567" w:hanging="567"/>
        <w:rPr>
          <w:b/>
          <w:i/>
          <w:szCs w:val="24"/>
        </w:rPr>
      </w:pPr>
      <w:r w:rsidRPr="000D0AEC">
        <w:rPr>
          <w:b/>
          <w:i/>
        </w:rPr>
        <w:t>Költségvetés és pénzgazdálkodás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1.</w:t>
      </w:r>
      <w:r w:rsidRPr="000D0AEC">
        <w:rPr>
          <w:color w:val="FFFFFF" w:themeColor="background1"/>
        </w:rPr>
        <w:tab/>
      </w:r>
      <w:r w:rsidRPr="000D0AEC">
        <w:t xml:space="preserve">elismeréssel nyugtázza, hogy a 2022. évi pénzügyi év során folytatott költségvetés-ellenőrzési erőfeszítések eredményeképpen a költségvetés végrehajtási aránya 100% </w:t>
      </w:r>
      <w:r w:rsidRPr="000D0AEC">
        <w:lastRenderedPageBreak/>
        <w:t>volt, ami 2021-hoz képest 3,21%-</w:t>
      </w:r>
      <w:proofErr w:type="spellStart"/>
      <w:r w:rsidRPr="000D0AEC">
        <w:t>os</w:t>
      </w:r>
      <w:proofErr w:type="spellEnd"/>
      <w:r w:rsidRPr="000D0AEC">
        <w:t xml:space="preserve"> növekedést jelent; megállapítja, hogy a kifizetési előirányzatok végrehajtási aránya 84,66% volt, ami 2021-hez képest 12,93%-</w:t>
      </w:r>
      <w:proofErr w:type="spellStart"/>
      <w:r w:rsidRPr="000D0AEC">
        <w:t>os</w:t>
      </w:r>
      <w:proofErr w:type="spellEnd"/>
      <w:r w:rsidRPr="000D0AEC">
        <w:t xml:space="preserve"> növekedést jelent; </w:t>
      </w:r>
      <w:proofErr w:type="spellStart"/>
      <w:r w:rsidRPr="000D0AEC">
        <w:t>megjegyzi</w:t>
      </w:r>
      <w:proofErr w:type="spellEnd"/>
      <w:r w:rsidRPr="000D0AEC">
        <w:t xml:space="preserve"> továbbá, hogy 2023-ra 1,6 millió EUR-t vittek át, ami a 2022. évi kötelezettségvállalások 15%-át teszi ki; </w:t>
      </w:r>
      <w:proofErr w:type="spellStart"/>
      <w:r w:rsidRPr="000D0AEC">
        <w:t>megjegyzi</w:t>
      </w:r>
      <w:proofErr w:type="spellEnd"/>
      <w:r w:rsidRPr="000D0AEC">
        <w:t>, hogy a harmadik országok kapacitásépítésének a vonatkozó bűnüldözési szakpolitikai területeken való támogatására szánt célhoz</w:t>
      </w:r>
      <w:proofErr w:type="gramEnd"/>
      <w:r w:rsidRPr="000D0AEC">
        <w:t xml:space="preserve"> </w:t>
      </w:r>
      <w:proofErr w:type="gramStart"/>
      <w:r w:rsidRPr="000D0AEC">
        <w:t>kötött</w:t>
      </w:r>
      <w:proofErr w:type="gramEnd"/>
      <w:r w:rsidRPr="000D0AEC">
        <w:t xml:space="preserve"> uniós külső támogatási alapok tekintetében a költségvetés-végrehajtási arány 2022 végére elérte a 48,5%-</w:t>
      </w:r>
      <w:proofErr w:type="spellStart"/>
      <w:r w:rsidRPr="000D0AEC">
        <w:t>ot</w:t>
      </w:r>
      <w:proofErr w:type="spellEnd"/>
      <w:r w:rsidRPr="000D0AEC">
        <w:t>;</w:t>
      </w:r>
    </w:p>
    <w:p w:rsidR="00675A81" w:rsidRPr="000D0AEC" w:rsidRDefault="00675A81" w:rsidP="00675A81">
      <w:pPr>
        <w:spacing w:after="240"/>
        <w:ind w:left="567" w:hanging="567"/>
        <w:rPr>
          <w:b/>
          <w:i/>
          <w:szCs w:val="24"/>
        </w:rPr>
      </w:pPr>
      <w:r w:rsidRPr="000D0AEC">
        <w:rPr>
          <w:b/>
          <w:i/>
        </w:rPr>
        <w:t>Teljesítmény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2.</w:t>
      </w:r>
      <w:r w:rsidRPr="000D0AEC">
        <w:tab/>
        <w:t>elismerését fejezi ki az ügynökségnek a 2022. évi munkaprogram 100%-</w:t>
      </w:r>
      <w:proofErr w:type="spellStart"/>
      <w:r w:rsidRPr="000D0AEC">
        <w:t>os</w:t>
      </w:r>
      <w:proofErr w:type="spellEnd"/>
      <w:r w:rsidRPr="000D0AEC">
        <w:t xml:space="preserve"> végrehajtási arányáért, tekintve, hogy a tervezett 417 képzési tevékenységgel szemben 418-at hajtottak végre; </w:t>
      </w:r>
      <w:proofErr w:type="spellStart"/>
      <w:r w:rsidRPr="000D0AEC">
        <w:t>megjegyzi</w:t>
      </w:r>
      <w:proofErr w:type="spellEnd"/>
      <w:r w:rsidRPr="000D0AEC">
        <w:t>, hogy 2022-ben az ügynökség – a lehető legnagyobb mértékben visszatérve az online környezethez – továbbra is nyújtott képzéseket a bűnüldözéssel foglalkozó szakemberek közösségének; elismeréssel veszi tudomásul, hogy az ügyfelek elégedettségi aránya 2022-ben is magas volt, hiszen az ügynökség képzési tevékenységeiben részt vevők 97%-a nyilatkozott úgy, hogy elégedett vagy nagyon elégedett;</w:t>
      </w:r>
      <w:proofErr w:type="gramEnd"/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r w:rsidRPr="000D0AEC">
        <w:t>3.</w:t>
      </w:r>
      <w:r w:rsidRPr="000D0AEC">
        <w:tab/>
        <w:t xml:space="preserve">elégedetten veszi tudomásul, hogy az ügynökség egyebek mellett többféle intézkedést is alkalmaz fő teljesítménymutatóként a tevékenységei által nyújtott hozzáadott érték értékelésére és költségvetési gazdálkodásának javítására; </w:t>
      </w:r>
      <w:proofErr w:type="spellStart"/>
      <w:r w:rsidRPr="000D0AEC">
        <w:t>megjegyzi</w:t>
      </w:r>
      <w:proofErr w:type="spellEnd"/>
      <w:r w:rsidRPr="000D0AEC">
        <w:t>, hogy 2022-ben szinte az összes fő teljesítménymutató teljesült, és csak egy – az elfogadott cselekvési tervvel összhangban lezárt ellenőrzési ajánlásokkal foglalkozó fő teljesítménymutató – maradt folyamatban, amelynek határideje 2023 vége volt;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4.</w:t>
      </w:r>
      <w:r w:rsidRPr="000D0AEC">
        <w:tab/>
        <w:t xml:space="preserve">elismeréssel veszi tudomásul, hogy 2022-ben az ügynökség képzésein 43 838-an vettek részt, ami a résztvevőket illetően tervezett 27 800 fős létszámhoz képest kiterjedt tájékoztatási tevékenységről árulkodik; elismerését fejezi ki az ügynökségnek, amiért közzétette a képzési igények második uniós stratégiai felmérését, amely a Bűnügyi Fenyegetettség Elleni Európai Multidiszciplináris Platform következő, 2022–2025-ös ciklusára vonatkozóan meghatározza a bűnüldöző szervek tagjainak stratégiai és képzési igényeit, és megkezdte annak végrehajtását; </w:t>
      </w:r>
      <w:proofErr w:type="spellStart"/>
      <w:r w:rsidRPr="000D0AEC">
        <w:t>megjegyzi</w:t>
      </w:r>
      <w:proofErr w:type="spellEnd"/>
      <w:r w:rsidRPr="000D0AEC">
        <w:t xml:space="preserve"> továbbá, hogy az ügynökség újonnan kinevezett</w:t>
      </w:r>
      <w:proofErr w:type="gramEnd"/>
      <w:r w:rsidRPr="000D0AEC">
        <w:t xml:space="preserve"> </w:t>
      </w:r>
      <w:proofErr w:type="gramStart"/>
      <w:r w:rsidRPr="000D0AEC">
        <w:t>ügyvezető igazgatója 2022-ben kezdeményezte az ügynökség 2023–2027-es időszakra vonatkozó irányát meghatározó új stratégia kidolgozását; nagyra értékeli továbbá az alapvető jogokkal foglalkozó szakértői csoport stratégiai dokumentumát, amelynek célja az alapvető szempontok beépítése valamennyi képzési tevékenységbe; megelégedéssel veszi tudomásul, hogy 2022-ben ad hoc képzést szerveztek az oknyomozó újságírók védelméről; üdvözli a gyűlölet-bűncselekmények témáiról szóló speciális képzési tevékenységeket, amelyek az áldozatok hatékony támogatási megoldásaival kapcsolatos ismereteket terjesztik;</w:t>
      </w:r>
      <w:proofErr w:type="gramEnd"/>
    </w:p>
    <w:p w:rsidR="00675A81" w:rsidRPr="000D0AEC" w:rsidRDefault="00675A81" w:rsidP="00675A81">
      <w:pPr>
        <w:pStyle w:val="NormalHanging12a"/>
      </w:pPr>
      <w:r w:rsidRPr="000D0AEC">
        <w:t>5.</w:t>
      </w:r>
      <w:r w:rsidRPr="000D0AEC">
        <w:tab/>
        <w:t xml:space="preserve">elismerését fejezi ki az ügynökségnek, amiért gyorsan </w:t>
      </w:r>
      <w:proofErr w:type="gramStart"/>
      <w:r w:rsidRPr="000D0AEC">
        <w:t>reagált</w:t>
      </w:r>
      <w:proofErr w:type="gramEnd"/>
      <w:r w:rsidRPr="000D0AEC">
        <w:t xml:space="preserve"> az Ukrajnában zajló indokolatlan háborúra, és az Európa Tanáccsal együttműködésben a nyílt forrásból származó értékelt felderítési információkkal kapcsolatban testreszabott tanfolyamot tartott az ukrán főügyészség számára;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6.</w:t>
      </w:r>
      <w:r w:rsidRPr="000D0AEC">
        <w:tab/>
        <w:t xml:space="preserve">az ügynökség 2022. évi konszolidált éves tevékenységi jelentése alapján megállapítja, hogy az elmúlt években kínált képzések exponenciális növekedése (a 2016. évi 18 000-ről 2022-ben közel 44 000-re) az ügynökség által végrehajtandó képzési tevékenységek iránti növekvő keresletet tükrözi; ezzel összefüggésben </w:t>
      </w:r>
      <w:proofErr w:type="spellStart"/>
      <w:r w:rsidRPr="000D0AEC">
        <w:t>megjegyzi</w:t>
      </w:r>
      <w:proofErr w:type="spellEnd"/>
      <w:r w:rsidRPr="000D0AEC">
        <w:t xml:space="preserve">, hogy 2022-ben az </w:t>
      </w:r>
      <w:r w:rsidRPr="000D0AEC">
        <w:lastRenderedPageBreak/>
        <w:t>elégtelen erőforrások miatt e kereslettel csak az online tanulási komponens bővítésével lehetett lépést tartani, amely viszont nem elégíti ki teljes mértékben az érdekelt felek igényeit; támogatja az ügynökség azon célkitűzését, hogy továbbra is olyan multidiszciplináris</w:t>
      </w:r>
      <w:proofErr w:type="gramEnd"/>
      <w:r w:rsidRPr="000D0AEC">
        <w:t xml:space="preserve"> </w:t>
      </w:r>
      <w:proofErr w:type="gramStart"/>
      <w:r w:rsidRPr="000D0AEC">
        <w:t>tevékenységeket</w:t>
      </w:r>
      <w:proofErr w:type="gramEnd"/>
      <w:r w:rsidRPr="000D0AEC">
        <w:t xml:space="preserve"> folytasson, amelyek a rendőrök, a vámtisztviselők és a határőrök közül egyaránt vonzzák a résztvevőket;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7.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 xml:space="preserve">, hogy 2022-ben az ügynökség továbbra is sikeresen hajtotta végre harmadik országokban a négy kapacitásépítési projektet, közvetlenül hozzájárulva ezáltal az Unió belső biztonságának megerősítéséhez, valamint a CEPOL terrorizmus elleni küzdelemmel foglalkozó tudásközpontjának és a CEPOL bűnüldözési együttműködéssel, információcserével és </w:t>
      </w:r>
      <w:proofErr w:type="spellStart"/>
      <w:r w:rsidRPr="000D0AEC">
        <w:t>interoperabilitással</w:t>
      </w:r>
      <w:proofErr w:type="spellEnd"/>
      <w:r w:rsidRPr="000D0AEC">
        <w:t xml:space="preserve"> foglalkozó új tudásközpontjának égisze alatt folytatott képzési tevékenységekhez; üdvözli, hogy Litvániában a vilniusi </w:t>
      </w:r>
      <w:proofErr w:type="spellStart"/>
      <w:r w:rsidRPr="000D0AEC">
        <w:t>Mykolas</w:t>
      </w:r>
      <w:proofErr w:type="spellEnd"/>
      <w:r w:rsidRPr="000D0AEC">
        <w:t xml:space="preserve"> </w:t>
      </w:r>
      <w:proofErr w:type="spellStart"/>
      <w:r w:rsidRPr="000D0AEC">
        <w:t>Romeris</w:t>
      </w:r>
      <w:proofErr w:type="spellEnd"/>
      <w:r w:rsidRPr="000D0AEC">
        <w:t xml:space="preserve"> Egyetemmel együttműködésben, közel 200 résztvevővel sikeresen lezajlott a CEPOL rendészettudományi</w:t>
      </w:r>
      <w:proofErr w:type="gramEnd"/>
      <w:r w:rsidRPr="000D0AEC">
        <w:t xml:space="preserve"> </w:t>
      </w:r>
      <w:proofErr w:type="gramStart"/>
      <w:r w:rsidRPr="000D0AEC">
        <w:t>konferenciája</w:t>
      </w:r>
      <w:proofErr w:type="gramEnd"/>
      <w:r w:rsidRPr="000D0AEC">
        <w:t>, ezzel is erősítve a bűnüldözési és kutatási ágazatok közötti együttműködést;</w:t>
      </w:r>
    </w:p>
    <w:p w:rsidR="00675A81" w:rsidRPr="000D0AEC" w:rsidRDefault="00675A81" w:rsidP="000D0AEC">
      <w:pPr>
        <w:pStyle w:val="NormalHanging12a"/>
      </w:pPr>
      <w:proofErr w:type="gramStart"/>
      <w:r w:rsidRPr="000D0AEC">
        <w:t>8.</w:t>
      </w:r>
      <w:r w:rsidRPr="000D0AEC">
        <w:tab/>
        <w:t>emlékeztet arra, hogy az uniós szintű bűnüldözési képzésnek a tagállamok képzési igényeivel összhangban tükröznie kell az uniós prioritásokat, és támogatnia kell a súlyos és szervezett bűnözésre és a belső biztonságot fenyegető egyéb veszélyekre adott uniós választ, és hogy az alapvető jogok védelmének az ügynökség képzési tevékenységeinek központi pillérét kell képeznie; tudomásul veszi a terrorizmus elleni küzdelemmel kapcsolatos képzési tevékenységeket, többek között a terrorizmus finanszírozásával, a terrorizmussal és a tűzfegyverekkel, a külföldi terrorista harcosokkal, valamint a szélsőségesség</w:t>
      </w:r>
      <w:proofErr w:type="gramEnd"/>
      <w:r w:rsidRPr="000D0AEC">
        <w:t xml:space="preserve"> </w:t>
      </w:r>
      <w:proofErr w:type="gramStart"/>
      <w:r w:rsidRPr="000D0AEC">
        <w:t>és</w:t>
      </w:r>
      <w:proofErr w:type="gramEnd"/>
      <w:r w:rsidRPr="000D0AEC">
        <w:t xml:space="preserve"> a radikalizálódás elleni küzdelemmel kapcsolatos tevékenységeket; több uniós szintű képzésre szólít fel a </w:t>
      </w:r>
      <w:proofErr w:type="spellStart"/>
      <w:r w:rsidRPr="000D0AEC">
        <w:t>kiberbűnözéssel</w:t>
      </w:r>
      <w:proofErr w:type="spellEnd"/>
      <w:r w:rsidRPr="000D0AEC">
        <w:t xml:space="preserve">, a </w:t>
      </w:r>
      <w:proofErr w:type="spellStart"/>
      <w:r w:rsidRPr="000D0AEC">
        <w:t>kibernyomozással</w:t>
      </w:r>
      <w:proofErr w:type="spellEnd"/>
      <w:r w:rsidRPr="000D0AEC">
        <w:t>, a mesterséges intelligenciával, az adatvédelemmel, az alapvető jogokkal és a rasszizmus elleni küzdelemmel kapcsolatban; felhívja az ügynökséget, hogy valamennyi tevékenysége során – különösen a harmadik országokkal folytatott tevékenységek során – biztosítsa a teljes átláthatóságot és az alapvető jogok és a nemzetközi jog teljes körű tiszteletben tartását;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r w:rsidRPr="000D0AEC">
        <w:t>9.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>, hogy az ügynökség sikeresen megőrizte az ISO 9001:2015 minőségirányítási rendszer szerinti tanúsítását, és előkészületeket tett az ISO 29993:2017 szabványnak a tanulási szolgáltatásokra való kiterjesztésére, ami továbbra is bizonyítja, hogy az ügynökség gondoskodik a minőségbiztosítási rendszer hatékony működéséről;</w:t>
      </w:r>
    </w:p>
    <w:p w:rsidR="00675A81" w:rsidRPr="000D0AEC" w:rsidRDefault="00675A81" w:rsidP="00675A81">
      <w:pPr>
        <w:widowControl/>
        <w:spacing w:after="240"/>
        <w:ind w:left="567" w:hanging="567"/>
        <w:rPr>
          <w:b/>
          <w:i/>
          <w:szCs w:val="24"/>
        </w:rPr>
      </w:pPr>
      <w:r w:rsidRPr="000D0AEC">
        <w:rPr>
          <w:b/>
          <w:i/>
        </w:rPr>
        <w:t>Hatékonyság és eredmények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10.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 xml:space="preserve">, hogy az ügynökség a képzési tevékenységek megosztása és a tanfolyamok közös szervezése révén továbbra is szorosan együttműködik a bel- és igazságügyi ügynökségek hálózatával és a hálózat részét képező ügynökségekkel, többek között különösen </w:t>
      </w:r>
      <w:r w:rsidRPr="000D0AEC">
        <w:rPr>
          <w:rStyle w:val="pointer"/>
        </w:rPr>
        <w:t>a Bűnüldözési Együttműködés Európai Uniós Ügynökségével</w:t>
      </w:r>
      <w:r w:rsidRPr="000D0AEC">
        <w:t xml:space="preserve">, az </w:t>
      </w:r>
      <w:proofErr w:type="spellStart"/>
      <w:r w:rsidRPr="000D0AEC">
        <w:t>Europollal</w:t>
      </w:r>
      <w:proofErr w:type="spellEnd"/>
      <w:r w:rsidRPr="000D0AEC">
        <w:t xml:space="preserve"> és az Európai Határ- és Partvédelmi Ügynökséggel; ezzel összefüggésben </w:t>
      </w:r>
      <w:proofErr w:type="spellStart"/>
      <w:r w:rsidRPr="000D0AEC">
        <w:t>megjegyzi</w:t>
      </w:r>
      <w:proofErr w:type="spellEnd"/>
      <w:r w:rsidRPr="000D0AEC">
        <w:t xml:space="preserve">, hogy 2022-ben az ügynökség elnökölte a bel- és igazságügyi ügynökségek hálózatát; </w:t>
      </w:r>
      <w:proofErr w:type="spellStart"/>
      <w:r w:rsidRPr="000D0AEC">
        <w:t>megjegyzi</w:t>
      </w:r>
      <w:proofErr w:type="spellEnd"/>
      <w:r w:rsidRPr="000D0AEC">
        <w:t xml:space="preserve"> továbbá, hogy 2023-tól kezdődően megállapodás van érvényben az ügynökség és a Kábítószer és Kábítószer-függőség</w:t>
      </w:r>
      <w:proofErr w:type="gramEnd"/>
      <w:r w:rsidRPr="000D0AEC">
        <w:t xml:space="preserve"> Európai Megfigyelőközpontja (EMCDDA) között az ügynökség </w:t>
      </w:r>
      <w:proofErr w:type="spellStart"/>
      <w:r w:rsidRPr="000D0AEC">
        <w:t>LEEd</w:t>
      </w:r>
      <w:proofErr w:type="spellEnd"/>
      <w:r w:rsidRPr="000D0AEC">
        <w:t xml:space="preserve"> tanulási platformjának bérbeadását illetően, ezáltal költségmentesen korszerű tanulási platformot biztosít az EMCDDA és közössége számára; kéri az ügynökséget, hogy továbbra is működjön együtt más ügynökségekkel annak érdekében, hogy minden rendelkezésre álló erőforrás felhasználható legyen;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r w:rsidRPr="000D0AEC">
        <w:lastRenderedPageBreak/>
        <w:t>11.</w:t>
      </w:r>
      <w:r w:rsidRPr="000D0AEC">
        <w:tab/>
        <w:t xml:space="preserve">elismerését fejezi ki az ügynökségnek azért, hogy – gyakran a Bizottság Digitális Szolgáltatások Főigazgatóságával szoros együttműködésben – számos folyamatát papírmentessé/elektronikussá alakította át, így viszonylag magas szintű </w:t>
      </w:r>
      <w:proofErr w:type="spellStart"/>
      <w:r w:rsidRPr="000D0AEC">
        <w:t>digitalizációt</w:t>
      </w:r>
      <w:proofErr w:type="spellEnd"/>
      <w:r w:rsidRPr="000D0AEC">
        <w:t xml:space="preserve"> valósított meg, ideértve például a nyílt közbeszerzési eljárásokhoz kapcsolódó elektronikus benyújtási rendszert, az e-pályáztatást, az elektronikus emberierőforrás-gazdálkodási rendszert (SYSPER), az e-számlázást és az elektronikus utazásfoglalást;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12.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 xml:space="preserve">, hogy az ügynökség belső szabályokkal rendelkezik, amelyek szerint a személyzetnek (és a képzési tevékenységek résztvevőinek) rövid távolságok esetében a repülés helyett más közlekedési módokat – például vonatot vagy buszt – kell igénybe venniük; elismeréssel veszi tudomásul, hogy 2022 óta az ügynökség felajánlja személyzete számára a tömegközlekedési költségek megtérítését; </w:t>
      </w:r>
      <w:proofErr w:type="spellStart"/>
      <w:r w:rsidRPr="000D0AEC">
        <w:t>megjegyzi</w:t>
      </w:r>
      <w:proofErr w:type="spellEnd"/>
      <w:r w:rsidRPr="000D0AEC">
        <w:t xml:space="preserve"> továbbá, hogy a szakértői csoportok számos – korábban a helyszínen tartott – ülését ma már online tartják; sajnálja, hogy az ügynökség nem rendelkezik az eredmények és a megtakarítások éves szintű alakulásána</w:t>
      </w:r>
      <w:proofErr w:type="gramEnd"/>
      <w:r w:rsidRPr="000D0AEC">
        <w:t xml:space="preserve">k </w:t>
      </w:r>
      <w:proofErr w:type="gramStart"/>
      <w:r w:rsidRPr="000D0AEC">
        <w:t>objektív</w:t>
      </w:r>
      <w:proofErr w:type="gramEnd"/>
      <w:r w:rsidRPr="000D0AEC">
        <w:t xml:space="preserve"> és részletes nyomon követésére szolgáló rendszerrel, és felkéri az ügynökséget, hogy hozzon létre egy ilyen rendszert;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13.</w:t>
      </w:r>
      <w:r w:rsidRPr="000D0AEC">
        <w:tab/>
        <w:t xml:space="preserve">a Számvevőszék jelentése alapján megállapítja, hogy az ügynökség nem rendelkezik a műveletei energiahatékonyságának és klímasemlegességének javítására irányuló szervezeti tervvel; sajnálja, hogy az ügynökség még nem kezdte meg a környezetvédelmi vezetési és hitelesítési rendszer (EMAS) tanúsítási folyamatát; </w:t>
      </w:r>
      <w:proofErr w:type="spellStart"/>
      <w:r w:rsidRPr="000D0AEC">
        <w:t>megjegyzi</w:t>
      </w:r>
      <w:proofErr w:type="spellEnd"/>
      <w:r w:rsidRPr="000D0AEC">
        <w:t xml:space="preserve"> azonban, hogy az új központi épületére vonatkozó követelmények tekintetében az ügynökség jelezte, hogy a közeljövőben lépéseket fog tenni az EMAS tanúsítás irányába; ezzel összefüggésben még </w:t>
      </w:r>
      <w:proofErr w:type="spellStart"/>
      <w:r w:rsidRPr="000D0AEC">
        <w:t>megjegyzi</w:t>
      </w:r>
      <w:proofErr w:type="spellEnd"/>
      <w:r w:rsidRPr="000D0AEC">
        <w:t>, hogy az ügynökség követi a Bizottság iránymutatását, tehát a közbeszerzési</w:t>
      </w:r>
      <w:proofErr w:type="gramEnd"/>
      <w:r w:rsidRPr="000D0AEC">
        <w:t xml:space="preserve"> eljárások többsége környezetvédelmi megfontolásokhoz kapcsolódó odaítélési </w:t>
      </w:r>
      <w:proofErr w:type="gramStart"/>
      <w:r w:rsidRPr="000D0AEC">
        <w:t>kritériumokat</w:t>
      </w:r>
      <w:proofErr w:type="gramEnd"/>
      <w:r w:rsidRPr="000D0AEC">
        <w:t xml:space="preserve"> is tartalmaz; kéri az ügynökséget, hogy a zöld közbeszerzés terén kövesse más ügynökségek példáit;</w:t>
      </w:r>
    </w:p>
    <w:p w:rsidR="00675A81" w:rsidRPr="000D0AEC" w:rsidRDefault="00675A81" w:rsidP="00675A81">
      <w:pPr>
        <w:spacing w:after="240"/>
        <w:ind w:left="567" w:hanging="567"/>
        <w:rPr>
          <w:b/>
          <w:i/>
          <w:szCs w:val="24"/>
        </w:rPr>
      </w:pPr>
      <w:r w:rsidRPr="000D0AEC">
        <w:rPr>
          <w:b/>
          <w:i/>
        </w:rPr>
        <w:t>Személyzeti politika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14.</w:t>
      </w:r>
      <w:r w:rsidRPr="000D0AEC">
        <w:tab/>
        <w:t>tudomásul veszi, hogy 2022. december 31-én a létszámterv végrehajtása 79%-</w:t>
      </w:r>
      <w:proofErr w:type="spellStart"/>
      <w:r w:rsidRPr="000D0AEC">
        <w:t>os</w:t>
      </w:r>
      <w:proofErr w:type="spellEnd"/>
      <w:r w:rsidRPr="000D0AEC">
        <w:t xml:space="preserve"> szintet ért el: az uniós költségvetés értelmében engedélyezett 33 ideiglenes alkalmazotti álláshelyből (ugyanannyi, mint 2021-ben) 26-ra neveztek ki ideiglenes alkalmazottat; </w:t>
      </w:r>
      <w:proofErr w:type="spellStart"/>
      <w:r w:rsidRPr="000D0AEC">
        <w:t>megjegyzi</w:t>
      </w:r>
      <w:proofErr w:type="spellEnd"/>
      <w:r w:rsidRPr="000D0AEC">
        <w:t xml:space="preserve"> továbbá, hogy 2022-ben 59 szerződéses alkalmazott (ebből 20-an szokásos tevékenységek, 39-en pedig külső finanszírozású kapacitásépítési projektek keretében), valamint hat kirendelt nemzeti szakértő dolgozott az ügynökségnél; </w:t>
      </w:r>
      <w:proofErr w:type="spellStart"/>
      <w:r w:rsidRPr="000D0AEC">
        <w:t>megjegyzi</w:t>
      </w:r>
      <w:proofErr w:type="spellEnd"/>
      <w:r w:rsidRPr="000D0AEC">
        <w:t xml:space="preserve"> továbbá, hogy 2022. december 31-én 24 ideiglenes alkalmazottat foglalkoztattak olyan alapvető tevékenységekhez</w:t>
      </w:r>
      <w:proofErr w:type="gramEnd"/>
      <w:r w:rsidRPr="000D0AEC">
        <w:t xml:space="preserve"> kapcsolódó feladatok elvégzése céljából, mint az e-tanulás, az </w:t>
      </w:r>
      <w:proofErr w:type="gramStart"/>
      <w:r w:rsidRPr="000D0AEC">
        <w:t>információs</w:t>
      </w:r>
      <w:proofErr w:type="gramEnd"/>
      <w:r w:rsidRPr="000D0AEC">
        <w:t xml:space="preserve"> és kommunikációs technológia, valamint a jogi és irányítási támogatás;</w:t>
      </w:r>
    </w:p>
    <w:p w:rsidR="00675A81" w:rsidRPr="000D0AEC" w:rsidRDefault="00675A81" w:rsidP="00675A81">
      <w:pPr>
        <w:tabs>
          <w:tab w:val="left" w:pos="720"/>
          <w:tab w:val="left" w:pos="1665"/>
        </w:tabs>
        <w:spacing w:after="240"/>
        <w:ind w:left="567" w:hanging="567"/>
        <w:rPr>
          <w:szCs w:val="24"/>
        </w:rPr>
      </w:pPr>
      <w:r w:rsidRPr="000D0AEC">
        <w:t>15.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 xml:space="preserve">, hogy 2022-ben még mindig viszonylag magas volt a személyzet </w:t>
      </w:r>
      <w:proofErr w:type="gramStart"/>
      <w:r w:rsidRPr="000D0AEC">
        <w:t>fluktuációja</w:t>
      </w:r>
      <w:proofErr w:type="gramEnd"/>
      <w:r w:rsidRPr="000D0AEC">
        <w:t xml:space="preserve">, ami jelentős hatást gyakorolt az ügynökségre; ezzel összefüggésben </w:t>
      </w:r>
      <w:proofErr w:type="spellStart"/>
      <w:r w:rsidRPr="000D0AEC">
        <w:t>megjegyzi</w:t>
      </w:r>
      <w:proofErr w:type="spellEnd"/>
      <w:r w:rsidRPr="000D0AEC">
        <w:t>, hogy 2022-ben 4-en mondtak le az ügynökségen belüli és kívüli új munkalehetőségek miatt, 3-an vonultak nyugdíjba, 2022. december 31-én pedig 4-en fizetés nélküli szabadságra mentek;</w:t>
      </w:r>
    </w:p>
    <w:p w:rsidR="00675A81" w:rsidRPr="000D0AEC" w:rsidRDefault="00675A81" w:rsidP="00675A81">
      <w:pPr>
        <w:tabs>
          <w:tab w:val="left" w:pos="720"/>
          <w:tab w:val="left" w:pos="1665"/>
        </w:tabs>
        <w:spacing w:after="240"/>
        <w:ind w:left="567" w:hanging="567"/>
        <w:rPr>
          <w:szCs w:val="24"/>
        </w:rPr>
      </w:pPr>
      <w:proofErr w:type="gramStart"/>
      <w:r w:rsidRPr="000D0AEC">
        <w:t>16.</w:t>
      </w:r>
      <w:r w:rsidRPr="000D0AEC">
        <w:tab/>
        <w:t>megismétli, hogy támogatja az ügynökségnek a jelenlegi megbízatása által meghatározott feladatokkal és célokkal arányos létszámnövelését; megelégedéssel veszi tudomásul az ügynökség „A CEPOL-</w:t>
      </w:r>
      <w:proofErr w:type="spellStart"/>
      <w:r w:rsidRPr="000D0AEC">
        <w:t>nak</w:t>
      </w:r>
      <w:proofErr w:type="spellEnd"/>
      <w:r w:rsidRPr="000D0AEC">
        <w:t xml:space="preserve"> az EP 2021-es pénzügyi évre vonatkozó mentesítési határozatára válaszul kidolgozott cselekvési terve” című </w:t>
      </w:r>
      <w:proofErr w:type="spellStart"/>
      <w:r w:rsidRPr="000D0AEC">
        <w:t>nyomonkövetési</w:t>
      </w:r>
      <w:proofErr w:type="spellEnd"/>
      <w:r w:rsidRPr="000D0AEC">
        <w:t xml:space="preserve"> jelentését (a továbbiakban: az ügynökség </w:t>
      </w:r>
      <w:proofErr w:type="spellStart"/>
      <w:r w:rsidRPr="000D0AEC">
        <w:t>nyomonkövetési</w:t>
      </w:r>
      <w:proofErr w:type="spellEnd"/>
      <w:r w:rsidRPr="000D0AEC">
        <w:t xml:space="preserve"> jelentése), valamint azt, hogy </w:t>
      </w:r>
      <w:r w:rsidRPr="000D0AEC">
        <w:lastRenderedPageBreak/>
        <w:t>az ügynökség ügyvezető igazgatója a források iránti jövőbeli kérelem alátámasztása érdekében munkacsoportot hozott létre azzal a céllal, hogy a 2023–2027-es új stratégiával összefüggésben rendszeresen</w:t>
      </w:r>
      <w:proofErr w:type="gramEnd"/>
      <w:r w:rsidRPr="000D0AEC">
        <w:t xml:space="preserve"> </w:t>
      </w:r>
      <w:proofErr w:type="gramStart"/>
      <w:r w:rsidRPr="000D0AEC">
        <w:t>dokumentálja</w:t>
      </w:r>
      <w:proofErr w:type="gramEnd"/>
      <w:r w:rsidRPr="000D0AEC">
        <w:t xml:space="preserve"> és megindokolja a további költségvetési és emberi erőforrások iránti igényeket;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17.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 xml:space="preserve">, hogy a személyzeti állomány fluktuációja 2022-ben is magas (11,8%) volt, ami jelentős hatást gyakorolt a szervezetre; az ügynökség </w:t>
      </w:r>
      <w:proofErr w:type="spellStart"/>
      <w:r w:rsidRPr="000D0AEC">
        <w:t>nyomonkövetési</w:t>
      </w:r>
      <w:proofErr w:type="spellEnd"/>
      <w:r w:rsidRPr="000D0AEC">
        <w:t xml:space="preserve"> jelentése alapján megállapítja, hogy az Ügynökség nem tudja befolyásolni a fluktuációt, mivel a fő kiváltó tényező az országra vonatkozó alacsony korrekciós együttható és az, hogy az ügynökségnél a kulcsfontosságú támogató funkciókhoz viszonylag alacsony fokozatú beosztások társulnak; </w:t>
      </w:r>
      <w:proofErr w:type="spellStart"/>
      <w:r w:rsidRPr="000D0AEC">
        <w:t>megjegyzi</w:t>
      </w:r>
      <w:proofErr w:type="spellEnd"/>
      <w:r w:rsidRPr="000D0AEC">
        <w:t>, hogy 2022-ben az ügynökség folytatta a személyzet megtartására és az üzletmenet-folytonosság biztosítására irányuló intézkedések végrehajtását,</w:t>
      </w:r>
      <w:proofErr w:type="gramEnd"/>
      <w:r w:rsidRPr="000D0AEC">
        <w:t xml:space="preserve"> </w:t>
      </w:r>
      <w:proofErr w:type="gramStart"/>
      <w:r w:rsidRPr="000D0AEC">
        <w:t>számos ideiglenes alkalmazottat és kirendelt nemzeti szakértőt alkalmazott a hiányzó személyzet pótlására a személyzeti szabályzat hatálya alá tartozó állomány felvételének befejezéséig, folytatta a személyzet és a funkciók átsorolását, valamint fenntartotta a szociális rendelkezéseket (pl. a személyzet gyermekeinek iskoláztatását), a távmunkát és a rugalmas munkaidőt; ismételten kéri a Bizottságot, hogy vizsgálja felül a korrekciós együtthatót annak érdekében, hogy az jobban tükrözze az ügynökség fogadó városába való áttelepülés és az ott-tartózkodás gazdasági realitásait;</w:t>
      </w:r>
      <w:proofErr w:type="gramEnd"/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r w:rsidRPr="000D0AEC">
        <w:t>18.</w:t>
      </w:r>
      <w:r w:rsidRPr="000D0AEC">
        <w:tab/>
        <w:t xml:space="preserve">a SYSPER eszköz tekintetében elismeréssel veszi tudomásul, hogy az ügynökség olyan modulokat vezetett be, mint a REPORTING, az ETHICS és a STAGE, illetve más </w:t>
      </w:r>
      <w:proofErr w:type="spellStart"/>
      <w:r w:rsidRPr="000D0AEC">
        <w:t>Sysper</w:t>
      </w:r>
      <w:proofErr w:type="spellEnd"/>
      <w:r w:rsidRPr="000D0AEC">
        <w:t>-modulok (pl. EVAL/PROMO) bevezetésén dolgozik;</w:t>
      </w:r>
    </w:p>
    <w:p w:rsidR="00675A81" w:rsidRPr="000D0AEC" w:rsidRDefault="00675A81" w:rsidP="00675A81">
      <w:pPr>
        <w:pStyle w:val="ListParagraph"/>
        <w:spacing w:after="240"/>
        <w:ind w:left="567" w:hanging="567"/>
      </w:pPr>
      <w:r w:rsidRPr="000D0AEC">
        <w:t>19.</w:t>
      </w:r>
      <w:r w:rsidRPr="000D0AEC">
        <w:tab/>
        <w:t>üdvözli az ügynökség jelentésében szereplő nemek szerinti megoszlást 2022-ben: 3 férfi és 3 nő vezetői beosztásban (1 felső vezető és 5 középvezető), 15 férfi (56%) és 12 nő (44%) az igazgatótanácsban, a teljes személyzetben pedig 37 férfi (44%) és 48 nő (56%) dolgozott; elismerését fejezi ki az ügynökségnek a 2022-ben elért nemek közötti egyensúlyért;</w:t>
      </w:r>
    </w:p>
    <w:p w:rsidR="00675A81" w:rsidRPr="000D0AEC" w:rsidRDefault="00675A81" w:rsidP="00675A81">
      <w:pPr>
        <w:pStyle w:val="NormalHanging12a"/>
      </w:pPr>
      <w:r w:rsidRPr="000D0AEC">
        <w:t>20.</w:t>
      </w:r>
      <w:r w:rsidRPr="000D0AEC">
        <w:tab/>
        <w:t xml:space="preserve">az ügynökség 2022. évi konszolidált éves tevékenységi jelentése alapján megállapítja, hogy 2022-ben 17 tagállam képviseltette magát az ügynökség személyzetében; </w:t>
      </w:r>
      <w:proofErr w:type="spellStart"/>
      <w:r w:rsidRPr="000D0AEC">
        <w:t>megjegyzi</w:t>
      </w:r>
      <w:proofErr w:type="spellEnd"/>
      <w:r w:rsidRPr="000D0AEC">
        <w:t>, hogy a személyzet 39%-</w:t>
      </w:r>
      <w:proofErr w:type="gramStart"/>
      <w:r w:rsidRPr="000D0AEC">
        <w:t>a</w:t>
      </w:r>
      <w:proofErr w:type="gramEnd"/>
      <w:r w:rsidRPr="000D0AEC">
        <w:t xml:space="preserve"> az ügynökség székhelye szerinti tagállam állampolgára; emlékeztet a földrajzi egyensúly fontosságára, és felhívja az ügynökséget, hogy tegyen további intézkedéseket a kiegyensúlyozott és méltányos földrajzi képviselet biztosítása érdekében;</w:t>
      </w:r>
    </w:p>
    <w:p w:rsidR="00675A81" w:rsidRPr="000D0AEC" w:rsidRDefault="00675A81" w:rsidP="00675A81">
      <w:pPr>
        <w:pStyle w:val="ListParagraph"/>
        <w:spacing w:after="240"/>
        <w:ind w:left="567" w:hanging="567"/>
      </w:pPr>
      <w:proofErr w:type="gramStart"/>
      <w:r w:rsidRPr="000D0AEC">
        <w:t>21.</w:t>
      </w:r>
      <w:r w:rsidRPr="000D0AEC">
        <w:tab/>
        <w:t xml:space="preserve">üdvözli, hogy az ügynökség 2022-ben új határozatot fogadott el, amely a cél- és eredményorientált irányítás elvein és a bizalom kultúráján alapul; </w:t>
      </w:r>
      <w:proofErr w:type="spellStart"/>
      <w:r w:rsidRPr="000D0AEC">
        <w:t>megjegyzi</w:t>
      </w:r>
      <w:proofErr w:type="spellEnd"/>
      <w:r w:rsidRPr="000D0AEC">
        <w:t>, hogy ez a határozat a lecsatlakozáshoz való jog biztosítása és a lecsatlakozási időszak egyértelmű meghatározása révén a munkaidő és a távmunka tekintetében egyaránt nagyobb rugalmasságot vezetett be a személyzet számára, aminek hozzá kell járulnia a munka és a magánélet közötti jobb egyensúly megteremtéséhez, és védenie kell a személyzetet a túlzott digitális munkaterheléstől;</w:t>
      </w:r>
      <w:proofErr w:type="gramEnd"/>
    </w:p>
    <w:p w:rsidR="00675A81" w:rsidRPr="000D0AEC" w:rsidRDefault="00675A81" w:rsidP="00675A81">
      <w:pPr>
        <w:spacing w:after="240"/>
        <w:ind w:left="567" w:hanging="567"/>
        <w:rPr>
          <w:color w:val="000000"/>
          <w:szCs w:val="24"/>
        </w:rPr>
      </w:pPr>
      <w:r w:rsidRPr="000D0AEC">
        <w:rPr>
          <w:color w:val="000000"/>
        </w:rPr>
        <w:t>22.</w:t>
      </w:r>
      <w:r w:rsidRPr="000D0AEC">
        <w:rPr>
          <w:color w:val="000000"/>
        </w:rPr>
        <w:tab/>
        <w:t xml:space="preserve">a közbeszerzési eljárásokkal foglalkozó személyzettel kapcsolatos észrevételt illetően az ügynökség </w:t>
      </w:r>
      <w:proofErr w:type="spellStart"/>
      <w:r w:rsidRPr="000D0AEC">
        <w:rPr>
          <w:color w:val="000000"/>
        </w:rPr>
        <w:t>nyomonkövetési</w:t>
      </w:r>
      <w:proofErr w:type="spellEnd"/>
      <w:r w:rsidRPr="000D0AEC">
        <w:rPr>
          <w:color w:val="000000"/>
        </w:rPr>
        <w:t xml:space="preserve"> jelentése alapján üdvözli, hogy a 2023-as létszámterv előirányozza a vonatkozó AST-5 álláshely (AST-3 felvételi besorolási fokozat) AD-5 álláshellyé történő átalakítását;</w:t>
      </w:r>
    </w:p>
    <w:p w:rsidR="00675A81" w:rsidRPr="000D0AEC" w:rsidRDefault="00675A81" w:rsidP="00675A81">
      <w:pPr>
        <w:spacing w:after="240"/>
        <w:ind w:left="567" w:hanging="567"/>
        <w:rPr>
          <w:rFonts w:eastAsiaTheme="minorHAnsi"/>
          <w:b/>
          <w:i/>
          <w:szCs w:val="24"/>
        </w:rPr>
      </w:pPr>
      <w:r w:rsidRPr="000D0AEC">
        <w:rPr>
          <w:b/>
          <w:i/>
        </w:rPr>
        <w:lastRenderedPageBreak/>
        <w:t>Közbeszerzés</w:t>
      </w:r>
    </w:p>
    <w:p w:rsidR="00675A81" w:rsidRPr="000D0AEC" w:rsidRDefault="00675A81" w:rsidP="00675A81">
      <w:pPr>
        <w:pStyle w:val="NormalHanging12a"/>
      </w:pPr>
      <w:proofErr w:type="gramStart"/>
      <w:r w:rsidRPr="000D0AEC">
        <w:t>23.</w:t>
      </w:r>
      <w:r w:rsidRPr="000D0AEC">
        <w:tab/>
        <w:t>a Számvevőszék jelentése alapján aggodalommal állapítja meg, hogy a 2020-as pénzügyi év óta a Számvevőszék minden évben új, közbeszerzéssel kapcsolatos észrevételeket tesz az ügynökségnek; a Számvevőszék jelentéséből kiemeli a Számvevőszék azon korlátozott véleményének alapját képező észrevételt, amely a 2022-ben olyan megrendelőlapok (szolgáltatáskérések) keretében közvetlenül végrehajtott két keretszerződés alapján teljesített 359 darab, 4,1 millió EUR összértékű kifizetés jogszerűségére és szabályszerűségére vonatkozik, amelyeket a személyzet olyan tagjai küldtek, akik nem rendelkeztek</w:t>
      </w:r>
      <w:proofErr w:type="gramEnd"/>
      <w:r w:rsidRPr="000D0AEC">
        <w:t xml:space="preserve"> </w:t>
      </w:r>
      <w:proofErr w:type="gramStart"/>
      <w:r w:rsidRPr="000D0AEC">
        <w:t>felhatalmazással arra, hogy az ügynökség nevében jogi kötelezettségvállalásokat tegyenek, illetve olyan kölcsönzött alkalmazottak küldtek, akik – ideiglenes státuszuk miatt – jogilag nem rendelkezhettek ilyen felhatalmazással; tudomásul veszi az ügynökség Számvevőszék észrevételére adott válaszát, miszerint még ha voltak is hiányosságok a jogi kötelezettségvállalás formalitásait illetően, a szolgáltatásokat az ügynökség igényeivel összhangban rendelték meg, és teljes körű ellenőrzéseket végeztek annak biztosítása érdekében, hogy a pénzeszközöket az eredetileg tervezett célra fordítsák, és nem</w:t>
      </w:r>
      <w:proofErr w:type="gramEnd"/>
      <w:r w:rsidRPr="000D0AEC">
        <w:t xml:space="preserve"> </w:t>
      </w:r>
      <w:proofErr w:type="gramStart"/>
      <w:r w:rsidRPr="000D0AEC">
        <w:t>merült fel tényleges veszteség; az ügynökségnek a Parlament írásbeli kérdéseire adott válaszai alapján megállapítja, hogy e szerződések esetében nem fordultak elő más szabálytalanságok, és az ügynökség a Számvevőszék észrevétele alapján intézkedéseket tett és módosította az ügynökség belső eljárásait annak biztosítása érdekében, hogy az utazási irodának csak a személyzeti szabályzat hatálya alá tartozó állomány azon tagjai küldhessenek megrendelést, akiket egy engedélyezésre jogosult tisztviselő felhatalmazott arra, hogy jogi kötelezettségvállalásokat tegyenek; tudomásul veszi az ügynökség válaszát,</w:t>
      </w:r>
      <w:proofErr w:type="gramEnd"/>
      <w:r w:rsidRPr="000D0AEC">
        <w:t xml:space="preserve"> miszerint az ügynökség már az ellenőrzési folyamat vége előtt haladéktalanul </w:t>
      </w:r>
      <w:proofErr w:type="gramStart"/>
      <w:r w:rsidRPr="000D0AEC">
        <w:t>korrekciós</w:t>
      </w:r>
      <w:proofErr w:type="gramEnd"/>
      <w:r w:rsidRPr="000D0AEC">
        <w:t xml:space="preserve"> intézkedéseket vezetett be; felhívja az ügynökséget, hogy teljes mértékben foglalkozzon ezekkel az észrevételekkel, és javítsa közbeszerzési eljárásait annak érdekében, hogy az elkövetkező években elkerülhetők legyenek a hasonló helyzetek;</w:t>
      </w:r>
    </w:p>
    <w:p w:rsidR="00675A81" w:rsidRPr="000D0AEC" w:rsidRDefault="00675A81" w:rsidP="00675A81">
      <w:pPr>
        <w:pStyle w:val="NormalHanging12a"/>
      </w:pPr>
      <w:proofErr w:type="gramStart"/>
      <w:r w:rsidRPr="000D0AEC">
        <w:t>24.</w:t>
      </w:r>
      <w:r w:rsidRPr="000D0AEC">
        <w:tab/>
        <w:t>kiemeli továbbá a Számvevőszék jelentésében foglalt azon korlátozott véleményt, miszerint a (oktatási szerkesztési szolgáltatások nyújtására vonatkozó) keretszerződés végrehajtása kapcsán 2022-ben kifizetett összegek (152 655 EUR) nem egyeztethetők össze a nyújtott szolgáltatásokkal, valamint egyes feladatkategóriák nem tükrözték a ténylegesen elvégzett munka jellegét, és néhány kategória esetében a kifizetett munka összege nem felelt meg a ténylegesen elvégzett munka összegének, ami szabálytalanná tette ezeket a kifizetéseket; tudomásul veszi az ügynökség magyarázatát, miszerint a megrendelt,</w:t>
      </w:r>
      <w:proofErr w:type="gramEnd"/>
      <w:r w:rsidRPr="000D0AEC">
        <w:t xml:space="preserve"> </w:t>
      </w:r>
      <w:proofErr w:type="gramStart"/>
      <w:r w:rsidRPr="000D0AEC">
        <w:t xml:space="preserve">teljesített és kifizetett oldalak száma nem teljesen egyezett, mivel a munka jellege, nevezetesen a szerkesztői és ismeretterjesztő tartalom fejlesztése miatt ez nem mindig volt előzetesen pontosan számszerűsíthető; </w:t>
      </w:r>
      <w:proofErr w:type="spellStart"/>
      <w:r w:rsidRPr="000D0AEC">
        <w:t>megjegyzi</w:t>
      </w:r>
      <w:proofErr w:type="spellEnd"/>
      <w:r w:rsidRPr="000D0AEC">
        <w:t xml:space="preserve"> továbbá, hogy az ügynökség válasza szerint a teljesített szolgáltatás ellenőrzése megtörtént, és a feladatkategóriák a Kiadóhivatallal kötött korábbi szerződésben felsoroltakon alapultak; felhívja az ügynökséget, hogy vezessen be olyan intézkedéseket, amelyek lehetővé teszik az ügynökség számára, hogy előre jobban </w:t>
      </w:r>
      <w:proofErr w:type="spellStart"/>
      <w:r w:rsidRPr="000D0AEC">
        <w:t>számszerűsítse</w:t>
      </w:r>
      <w:proofErr w:type="spellEnd"/>
      <w:r w:rsidRPr="000D0AEC">
        <w:t xml:space="preserve"> az elérendő eredményeket, és a jövőben elkerülje</w:t>
      </w:r>
      <w:proofErr w:type="gramEnd"/>
      <w:r w:rsidRPr="000D0AEC">
        <w:t xml:space="preserve"> </w:t>
      </w:r>
      <w:proofErr w:type="gramStart"/>
      <w:r w:rsidRPr="000D0AEC">
        <w:t>az</w:t>
      </w:r>
      <w:proofErr w:type="gramEnd"/>
      <w:r w:rsidRPr="000D0AEC">
        <w:t xml:space="preserve"> ilyen helyzeteket;</w:t>
      </w:r>
    </w:p>
    <w:p w:rsidR="00675A81" w:rsidRPr="000D0AEC" w:rsidRDefault="00675A81" w:rsidP="00675A81">
      <w:pPr>
        <w:spacing w:after="240"/>
        <w:ind w:left="567" w:hanging="567"/>
        <w:rPr>
          <w:color w:val="000000"/>
          <w:szCs w:val="24"/>
        </w:rPr>
      </w:pPr>
      <w:proofErr w:type="gramStart"/>
      <w:r w:rsidRPr="000D0AEC">
        <w:rPr>
          <w:color w:val="000000"/>
        </w:rPr>
        <w:t>25.</w:t>
      </w:r>
      <w:r w:rsidRPr="000D0AEC">
        <w:rPr>
          <w:color w:val="000000"/>
        </w:rPr>
        <w:tab/>
        <w:t xml:space="preserve">a Számvevőszék 2021. évi pénzügyi évre vonatkozó jelentése alapján megállapítja, hogy a közbeszerzési eljárás értékelési folyamatával kapcsolatban van egy észrevétel, amelyet még mindig nem zártak le: e folyamat során az ügynökség hangsúlyt helyezett egy olyan szempontra, amely nem szerepelt egyértelműen a kiírási feltételekben, ami azzal a kockázattal jár, hogy az ajánlattevőket egyenlőtlen bánásmódban részesítik; tudomásul veszi, hogy a szerződés 2023 szeptemberéig volt érvényben, és ezen </w:t>
      </w:r>
      <w:r w:rsidRPr="000D0AEC">
        <w:rPr>
          <w:color w:val="000000"/>
        </w:rPr>
        <w:lastRenderedPageBreak/>
        <w:t>észrevétel státuszának számvevőszéki felülvizsgálata idején az ügynökségnek nem állt szándékában további</w:t>
      </w:r>
      <w:proofErr w:type="gramEnd"/>
      <w:r w:rsidRPr="000D0AEC">
        <w:rPr>
          <w:color w:val="000000"/>
        </w:rPr>
        <w:t xml:space="preserve"> 12 hónapra megújítani a szerződést;</w:t>
      </w:r>
    </w:p>
    <w:p w:rsidR="00675A81" w:rsidRPr="000D0AEC" w:rsidRDefault="00675A81" w:rsidP="00675A81">
      <w:pPr>
        <w:spacing w:after="240"/>
        <w:ind w:left="567" w:hanging="567"/>
        <w:rPr>
          <w:color w:val="000000"/>
          <w:szCs w:val="24"/>
        </w:rPr>
      </w:pPr>
      <w:r w:rsidRPr="000D0AEC">
        <w:rPr>
          <w:color w:val="000000"/>
        </w:rPr>
        <w:t>26.</w:t>
      </w:r>
      <w:r w:rsidRPr="000D0AEC">
        <w:rPr>
          <w:color w:val="000000"/>
        </w:rPr>
        <w:tab/>
        <w:t xml:space="preserve">elismerését fejezi ki az ügynökségnek azért, hogy bevezette a közbeszerzési irányítási eszközt, amelyet 2022 októberétől minden típusú közbeszerzési eljárás esetében használnak; kéri az ügynökséget, hogy gyorsítsa fel olyan eszközök elfogadását és végrehajtását, amelyek lehetővé teszik az elektronikus aláírás használatát a közbeszerzési és szerződéses </w:t>
      </w:r>
      <w:proofErr w:type="gramStart"/>
      <w:r w:rsidRPr="000D0AEC">
        <w:rPr>
          <w:color w:val="000000"/>
        </w:rPr>
        <w:t>dokumentumokhoz</w:t>
      </w:r>
      <w:proofErr w:type="gramEnd"/>
      <w:r w:rsidRPr="000D0AEC">
        <w:rPr>
          <w:color w:val="000000"/>
        </w:rPr>
        <w:t xml:space="preserve"> szükséges jóváhagyások és aláírások belső és külső partnerektől való beszerzéséhez;</w:t>
      </w:r>
    </w:p>
    <w:p w:rsidR="00675A81" w:rsidRPr="000D0AEC" w:rsidRDefault="00675A81" w:rsidP="00675A81">
      <w:pPr>
        <w:pStyle w:val="ListParagraph"/>
        <w:spacing w:after="240"/>
        <w:ind w:left="567" w:hanging="567"/>
        <w:rPr>
          <w:rFonts w:eastAsia="Times New Roman"/>
        </w:rPr>
      </w:pPr>
      <w:r w:rsidRPr="000D0AEC">
        <w:rPr>
          <w:b/>
          <w:i/>
        </w:rPr>
        <w:t>Az összeférhetetlenségek megelőzése és kezelése, valamint az átláthatóság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27.</w:t>
      </w:r>
      <w:r w:rsidRPr="000D0AEC">
        <w:tab/>
        <w:t xml:space="preserve">elismeréssel veszi tudomásul az ügynökségnek az átláthatóság biztosítására, valamint az összeférhetetlenségek megelőzésére és kezelésére irányuló meglévő intézkedéseit és folyamatos erőfeszítéseit; megelégedéssel veszi tudomásul, hogy az igazgatótanács és a felső vezetés tagjainak érdekeltségi nyilatkozatait és önéletrajzait közzéteszik az ügynökség honlapján, és a nyilatkozatok formátuma lehetővé teszi az ügynökség tevékenységeihez esetlegesen kapcsolódó szakmai, pénzügyi, személyes és egyéb érdekek felsorolását; a mentesítésért felelős hatóság észrevételét illetően az ügynökség </w:t>
      </w:r>
      <w:proofErr w:type="spellStart"/>
      <w:r w:rsidRPr="000D0AEC">
        <w:t>nyomonkövetési</w:t>
      </w:r>
      <w:proofErr w:type="spellEnd"/>
      <w:proofErr w:type="gramEnd"/>
      <w:r w:rsidRPr="000D0AEC">
        <w:t xml:space="preserve"> </w:t>
      </w:r>
      <w:proofErr w:type="gramStart"/>
      <w:r w:rsidRPr="000D0AEC">
        <w:t>jelentése</w:t>
      </w:r>
      <w:proofErr w:type="gramEnd"/>
      <w:r w:rsidRPr="000D0AEC">
        <w:t xml:space="preserve"> alapján tudomásul veszi, hogy a fizetett szakértők összeférhetetlenségi és titoktartási nyilatkozatait nem teszik közzé az ügynökség honlapján, és az ügynökség úgy értékelte, hogy adatvédelmi megfontolások miatt a szakértői pályázatok/önéletrajzok közzététele jelentősen csökkentené a szakértői pályázatok számát, mivel az ügynökségnél dolgozó szakértők többsége bűnüldözési háttérrel rendelkezik;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28.</w:t>
      </w:r>
      <w:r w:rsidRPr="000D0AEC">
        <w:tab/>
        <w:t xml:space="preserve">az ügynökség </w:t>
      </w:r>
      <w:proofErr w:type="spellStart"/>
      <w:r w:rsidRPr="000D0AEC">
        <w:t>nyomonkövetési</w:t>
      </w:r>
      <w:proofErr w:type="spellEnd"/>
      <w:r w:rsidRPr="000D0AEC">
        <w:t xml:space="preserve"> jelentése alapján elismeréssel veszi tudomásul, hogy az új honlap 2022-es elindításával az ügynökség javította nyilvános dokumentum-nyilvántartását, és a bevezetett technikai változtatások lehetővé teszik a polgárok számára, hogy kategóriánként keressenek az ügynökség hivatalos dokumentumai között, vagy internetes űrlapon keresztül hozzáférést kérjenek egy dokumentumhoz, ha nem biztosítanak közvetlen hozzáférést a nyilvános dokumentum-nyilvántartáson keresztül; </w:t>
      </w:r>
      <w:proofErr w:type="spellStart"/>
      <w:r w:rsidRPr="000D0AEC">
        <w:t>megjegyzi</w:t>
      </w:r>
      <w:proofErr w:type="spellEnd"/>
      <w:r w:rsidRPr="000D0AEC">
        <w:t>, hogy 2022-ben az ügynökséghez öt, dokumentumokhoz való nyilvános hozzáférés iránti kérelem</w:t>
      </w:r>
      <w:proofErr w:type="gramEnd"/>
      <w:r w:rsidRPr="000D0AEC">
        <w:t xml:space="preserve"> </w:t>
      </w:r>
      <w:proofErr w:type="gramStart"/>
      <w:r w:rsidRPr="000D0AEC">
        <w:t>érkezett</w:t>
      </w:r>
      <w:proofErr w:type="gramEnd"/>
      <w:r w:rsidRPr="000D0AEC">
        <w:t>, és az ügynökség 920 állampolgári megkeresést kezelt;</w:t>
      </w:r>
    </w:p>
    <w:p w:rsidR="00675A81" w:rsidRPr="000D0AEC" w:rsidRDefault="00675A81" w:rsidP="00675A81">
      <w:pPr>
        <w:spacing w:after="240"/>
        <w:ind w:left="567" w:hanging="567"/>
        <w:rPr>
          <w:b/>
          <w:i/>
          <w:szCs w:val="24"/>
        </w:rPr>
      </w:pPr>
      <w:r w:rsidRPr="000D0AEC">
        <w:rPr>
          <w:b/>
          <w:i/>
        </w:rPr>
        <w:t xml:space="preserve">Belső </w:t>
      </w:r>
      <w:proofErr w:type="gramStart"/>
      <w:r w:rsidRPr="000D0AEC">
        <w:rPr>
          <w:b/>
          <w:i/>
        </w:rPr>
        <w:t>kontroll</w:t>
      </w:r>
      <w:proofErr w:type="gramEnd"/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29.</w:t>
      </w:r>
      <w:r w:rsidRPr="000D0AEC">
        <w:tab/>
        <w:t xml:space="preserve">az ügynökség </w:t>
      </w:r>
      <w:proofErr w:type="spellStart"/>
      <w:r w:rsidRPr="000D0AEC">
        <w:t>nyomonkövetési</w:t>
      </w:r>
      <w:proofErr w:type="spellEnd"/>
      <w:r w:rsidRPr="000D0AEC">
        <w:t xml:space="preserve"> jelentése alapján az ügynökség belsőkontroll-rendszerét érintő, különösen a közbeszerzési eljárásokkal és a költségvetési kötelezettségvállalások kezelésével kapcsolatban felmerült számos hiányosságot illetően megállapítja, hogy az ügynökség lépéseket tett, többek között képzéseket és munkaértekezleteket tartott, hogy növelje a tudatosságot és csökkentse az adminisztratív hibák előfordulását; ezzel összefüggésben a Számvevőszék jelentése alapján tudomásul veszi, hogy az említett hiányosságokkal kapcsolatos (a 2021-es pénzügyi évre vonatkozó) észrevételeinek státusza</w:t>
      </w:r>
      <w:proofErr w:type="gramEnd"/>
      <w:r w:rsidRPr="000D0AEC">
        <w:t xml:space="preserve"> </w:t>
      </w:r>
      <w:proofErr w:type="gramStart"/>
      <w:r w:rsidRPr="000D0AEC">
        <w:t>lezárult</w:t>
      </w:r>
      <w:proofErr w:type="gramEnd"/>
      <w:r w:rsidRPr="000D0AEC">
        <w:t>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30.</w:t>
      </w:r>
      <w:r w:rsidRPr="000D0AEC">
        <w:tab/>
        <w:t xml:space="preserve">tudomásul veszi az ügynökség 2022. évi értékelését saját belsőkontroll-rendszeréről, és annak következtetését, amely szerint a rendszer létezik, hatékony és jól működik, és csak kisebb javításokra van szükség; kéri az ügynökséget, hogy orvosolja a belső ellenőrzés „Kontrolltevékenységek” és „Információ és kommunikáció” elemeivel </w:t>
      </w:r>
      <w:r w:rsidRPr="000D0AEC">
        <w:lastRenderedPageBreak/>
        <w:t xml:space="preserve">kapcsolatban feltárt hiányosságokat, és folyamatosan tájékoztassa a mentesítésért felelős hatóságot az e téren elért eredményekről; az ügynökség </w:t>
      </w:r>
      <w:proofErr w:type="spellStart"/>
      <w:r w:rsidRPr="000D0AEC">
        <w:t>nyomonkövetési</w:t>
      </w:r>
      <w:proofErr w:type="spellEnd"/>
      <w:r w:rsidRPr="000D0AEC">
        <w:t xml:space="preserve"> jelentése alapján elismeréssel veszi tudomásul, hogy a „</w:t>
      </w:r>
      <w:proofErr w:type="spellStart"/>
      <w:r w:rsidRPr="000D0AEC">
        <w:t>Nyomonkövetési</w:t>
      </w:r>
      <w:proofErr w:type="spellEnd"/>
      <w:r w:rsidRPr="000D0AEC">
        <w:t xml:space="preserve"> tevékenységek” elem, „a hiányosságok</w:t>
      </w:r>
      <w:proofErr w:type="gramEnd"/>
      <w:r w:rsidRPr="000D0AEC">
        <w:t xml:space="preserve"> értékelése és közlése” 17. alapelv értékelése során figyelembe vette a Számvevőszék korábbi években tett vonatkozó észrevételeit; felkéri az ügynökséget, hogy a továbbiakban is foglalkozzon a Belső Ellenőrzési Szolgálat által 2021-ben „Emberierőforrás-gazdálkodás és </w:t>
      </w:r>
      <w:proofErr w:type="gramStart"/>
      <w:r w:rsidRPr="000D0AEC">
        <w:t>etika</w:t>
      </w:r>
      <w:proofErr w:type="gramEnd"/>
      <w:r w:rsidRPr="000D0AEC">
        <w:t xml:space="preserve"> a CEPOL-</w:t>
      </w:r>
      <w:proofErr w:type="spellStart"/>
      <w:r w:rsidRPr="000D0AEC">
        <w:t>nál</w:t>
      </w:r>
      <w:proofErr w:type="spellEnd"/>
      <w:r w:rsidRPr="000D0AEC">
        <w:t>” címmel végzett ellenőrzés keretében tett összes észrevétellel;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31.</w:t>
      </w:r>
      <w:r w:rsidRPr="000D0AEC">
        <w:tab/>
      </w:r>
      <w:proofErr w:type="spellStart"/>
      <w:r w:rsidRPr="000D0AEC">
        <w:t>megjegyzi</w:t>
      </w:r>
      <w:proofErr w:type="spellEnd"/>
      <w:r w:rsidRPr="000D0AEC">
        <w:t xml:space="preserve">, hogy az ügynökség nyilvántartásba vételi és engedélyezési eljárást hajt végre azon kivételek kapcsán, amelyeket megvizsgálnak az aggodalomra okot adó konkrét területek és a vonatkozó, javítást célzó intézkedések azonosítása érdekében; </w:t>
      </w:r>
      <w:proofErr w:type="spellStart"/>
      <w:r w:rsidRPr="000D0AEC">
        <w:t>megjegyzi</w:t>
      </w:r>
      <w:proofErr w:type="spellEnd"/>
      <w:r w:rsidRPr="000D0AEC">
        <w:t xml:space="preserve">, hogy a kivételekről szóló 2022. évi jelentés megerősíti, hogy az ügynökség belsőkontroll-rendszere megfelelően működik, a meg nem felelés eseteit pedig korrekciós és megelőző intézkedésekkel tárják fel, illetve </w:t>
      </w:r>
      <w:proofErr w:type="spellStart"/>
      <w:r w:rsidRPr="000D0AEC">
        <w:t>mérséklik</w:t>
      </w:r>
      <w:proofErr w:type="spellEnd"/>
      <w:r w:rsidRPr="000D0AEC">
        <w:t xml:space="preserve">; </w:t>
      </w:r>
      <w:proofErr w:type="spellStart"/>
      <w:r w:rsidRPr="000D0AEC">
        <w:t>megjegyzi</w:t>
      </w:r>
      <w:proofErr w:type="spellEnd"/>
      <w:r w:rsidRPr="000D0AEC">
        <w:t xml:space="preserve"> továbbá, hogy 2022-ben összesen 46 kivételt említettek (szemben a 2021. évi 27 kivétellel), amelyek értéke</w:t>
      </w:r>
      <w:proofErr w:type="gramEnd"/>
      <w:r w:rsidRPr="000D0AEC">
        <w:t xml:space="preserve"> 51 697 EUR volt (a 2021. évi 257 825 EUR-hoz képest), amelyek közül 13 esetében a pénzügyi hatás meghaladta az 1</w:t>
      </w:r>
      <w:r w:rsidR="00342BC7" w:rsidRPr="000D0AEC">
        <w:t> </w:t>
      </w:r>
      <w:r w:rsidRPr="000D0AEC">
        <w:t>000 EUR-t (1</w:t>
      </w:r>
      <w:r w:rsidR="00CC7C6E" w:rsidRPr="000D0AEC">
        <w:t> </w:t>
      </w:r>
      <w:r w:rsidRPr="000D0AEC">
        <w:t>053</w:t>
      </w:r>
      <w:r w:rsidR="00CC7C6E" w:rsidRPr="000D0AEC">
        <w:t xml:space="preserve"> EUR</w:t>
      </w:r>
      <w:r w:rsidRPr="000D0AEC">
        <w:t>–12 240 EUR);</w:t>
      </w:r>
    </w:p>
    <w:p w:rsidR="00675A81" w:rsidRPr="000D0AEC" w:rsidRDefault="00675A81" w:rsidP="00675A81">
      <w:pPr>
        <w:spacing w:after="240"/>
        <w:ind w:left="567" w:hanging="567"/>
        <w:rPr>
          <w:b/>
          <w:i/>
          <w:szCs w:val="24"/>
        </w:rPr>
      </w:pPr>
      <w:r w:rsidRPr="000D0AEC">
        <w:rPr>
          <w:b/>
          <w:i/>
        </w:rPr>
        <w:t>Egyéb megjegyzések</w:t>
      </w:r>
    </w:p>
    <w:p w:rsidR="00675A81" w:rsidRPr="000D0AEC" w:rsidRDefault="00675A81" w:rsidP="00675A81">
      <w:pPr>
        <w:spacing w:after="240"/>
        <w:ind w:left="567" w:hanging="567"/>
        <w:rPr>
          <w:szCs w:val="24"/>
        </w:rPr>
      </w:pPr>
      <w:proofErr w:type="gramStart"/>
      <w:r w:rsidRPr="000D0AEC">
        <w:t>32.</w:t>
      </w:r>
      <w:r w:rsidRPr="000D0AEC">
        <w:tab/>
        <w:t xml:space="preserve">azon problémát illetően, hogy az ügynökség nem rendelkezik elegendő irodahelyiséggel és -területtel a működési tevékenységekhez, az ügynökség </w:t>
      </w:r>
      <w:proofErr w:type="spellStart"/>
      <w:r w:rsidRPr="000D0AEC">
        <w:t>nyomonkövetési</w:t>
      </w:r>
      <w:proofErr w:type="spellEnd"/>
      <w:r w:rsidRPr="000D0AEC">
        <w:t xml:space="preserve"> jelentése alapján tudomásul veszi, hogy a magyar kormány kötelezettséget vállalt arra, hogy biztosítja a folytonosságot, és megfelelő létesítményekről gondoskodik az ügynökség számára, és e célból határozatot fogadott el az új székhely (6</w:t>
      </w:r>
      <w:r w:rsidR="00342BC7" w:rsidRPr="000D0AEC">
        <w:t> </w:t>
      </w:r>
      <w:r w:rsidRPr="000D0AEC">
        <w:t xml:space="preserve">000 m²) bérleményként történő biztosításáról; </w:t>
      </w:r>
      <w:proofErr w:type="spellStart"/>
      <w:r w:rsidRPr="000D0AEC">
        <w:t>megjegyzi</w:t>
      </w:r>
      <w:proofErr w:type="spellEnd"/>
      <w:r w:rsidRPr="000D0AEC">
        <w:t xml:space="preserve"> továbbá, hogy az új helyre való költözésre 2024 végéig kerülhet sor, az új székhely-megállapodás aláírásával párhuzamosan;</w:t>
      </w:r>
      <w:proofErr w:type="gramEnd"/>
    </w:p>
    <w:p w:rsidR="00675A81" w:rsidRPr="000D0AEC" w:rsidRDefault="00675A81" w:rsidP="00675A81">
      <w:pPr>
        <w:pStyle w:val="NormalHanging12a"/>
      </w:pPr>
      <w:proofErr w:type="gramStart"/>
      <w:r w:rsidRPr="000D0AEC">
        <w:t>33.</w:t>
      </w:r>
      <w:r w:rsidRPr="000D0AEC">
        <w:tab/>
        <w:t xml:space="preserve">elismerését fejezi ki az ügynökségnek a nyilvános láthatóságának és online jelenlétének növelésére irányuló erőfeszítéseiért; ezzel összefüggésben üdvözli, hogy 2022-ben elindult az ügynökség új honlapja, amely olyan kulcsfontosságú fejlesztéseket tartalmaz, mint az egyértelműbb megjelenés és felépítés, a jobb külső megjelenés és az online érzékenység; </w:t>
      </w:r>
      <w:proofErr w:type="spellStart"/>
      <w:r w:rsidRPr="000D0AEC">
        <w:t>megjegyzi</w:t>
      </w:r>
      <w:proofErr w:type="spellEnd"/>
      <w:r w:rsidRPr="000D0AEC">
        <w:t xml:space="preserve"> továbbá, hogy az ügynökség 2022-ben jelentős közösségimédia-tevékenységet végzett: 1</w:t>
      </w:r>
      <w:r w:rsidR="00342BC7" w:rsidRPr="000D0AEC">
        <w:t> </w:t>
      </w:r>
      <w:r w:rsidRPr="000D0AEC">
        <w:t>590 tartalmat töltött fel, ami az előző évhez képest 54%-</w:t>
      </w:r>
      <w:proofErr w:type="spellStart"/>
      <w:r w:rsidRPr="000D0AEC">
        <w:t>kal</w:t>
      </w:r>
      <w:proofErr w:type="spellEnd"/>
      <w:r w:rsidRPr="000D0AEC">
        <w:t xml:space="preserve"> több bejegyzést jelent; </w:t>
      </w:r>
      <w:proofErr w:type="spellStart"/>
      <w:r w:rsidRPr="000D0AEC">
        <w:t>megjegyzi</w:t>
      </w:r>
      <w:proofErr w:type="spellEnd"/>
      <w:r w:rsidRPr="000D0AEC">
        <w:t xml:space="preserve"> e tekintetben, hogy az ügynökség webfelhasználóinak</w:t>
      </w:r>
      <w:proofErr w:type="gramEnd"/>
      <w:r w:rsidRPr="000D0AEC">
        <w:t xml:space="preserve"> </w:t>
      </w:r>
      <w:proofErr w:type="gramStart"/>
      <w:r w:rsidRPr="000D0AEC">
        <w:t>száma</w:t>
      </w:r>
      <w:proofErr w:type="gramEnd"/>
      <w:r w:rsidRPr="000D0AEC">
        <w:t xml:space="preserve"> folyamatosan növekszik, immár több mint 200</w:t>
      </w:r>
      <w:r w:rsidR="00342BC7" w:rsidRPr="000D0AEC">
        <w:t> </w:t>
      </w:r>
      <w:r w:rsidRPr="000D0AEC">
        <w:t xml:space="preserve">000 látogatást regisztráltak, a </w:t>
      </w:r>
      <w:proofErr w:type="spellStart"/>
      <w:r w:rsidRPr="000D0AEC">
        <w:t>LinkedIn</w:t>
      </w:r>
      <w:proofErr w:type="spellEnd"/>
      <w:r w:rsidRPr="000D0AEC">
        <w:t xml:space="preserve">, az X (korábban </w:t>
      </w:r>
      <w:proofErr w:type="spellStart"/>
      <w:r w:rsidRPr="000D0AEC">
        <w:t>Twitter</w:t>
      </w:r>
      <w:proofErr w:type="spellEnd"/>
      <w:r w:rsidRPr="000D0AEC">
        <w:t>) és a Facebook platformokon pedig 38 500 követője van az ügynökségnek;</w:t>
      </w:r>
    </w:p>
    <w:p w:rsidR="00675A81" w:rsidRPr="000D0AEC" w:rsidRDefault="00675A81" w:rsidP="00675A81">
      <w:pPr>
        <w:pStyle w:val="NormalCenter12a"/>
      </w:pPr>
      <w:r w:rsidRPr="000D0AEC">
        <w:t>°</w:t>
      </w:r>
    </w:p>
    <w:p w:rsidR="00675A81" w:rsidRPr="000D0AEC" w:rsidRDefault="00675A81" w:rsidP="00675A81">
      <w:pPr>
        <w:pStyle w:val="NormalCenter12a"/>
      </w:pPr>
      <w:r w:rsidRPr="000D0AEC">
        <w:t>°</w:t>
      </w:r>
      <w:r w:rsidRPr="000D0AEC">
        <w:tab/>
        <w:t>°</w:t>
      </w:r>
    </w:p>
    <w:p w:rsidR="009A7231" w:rsidRPr="00471B40" w:rsidRDefault="00675A81" w:rsidP="000D0AEC">
      <w:pPr>
        <w:pStyle w:val="NormalHanging12a"/>
        <w:rPr>
          <w:noProof/>
        </w:rPr>
      </w:pPr>
      <w:r w:rsidRPr="000D0AEC">
        <w:t>34.</w:t>
      </w:r>
      <w:r w:rsidRPr="000D0AEC">
        <w:tab/>
        <w:t xml:space="preserve">a mentesítő határozatot kísérő </w:t>
      </w:r>
      <w:proofErr w:type="gramStart"/>
      <w:r w:rsidRPr="000D0AEC">
        <w:t>horizontális</w:t>
      </w:r>
      <w:proofErr w:type="gramEnd"/>
      <w:r w:rsidRPr="000D0AEC">
        <w:t xml:space="preserve"> jellegű egyéb észrevételei tekintetében utal az ügynökségek teljesítményéről, pénzgazdálkodásáról és ellenőrzéséről szóló, </w:t>
      </w:r>
      <w:r w:rsidR="00CC7C6E" w:rsidRPr="000D0AEC">
        <w:t>2024. április 11-i</w:t>
      </w:r>
      <w:r w:rsidRPr="000D0AEC">
        <w:t xml:space="preserve"> állásfoglalására</w:t>
      </w:r>
      <w:r w:rsidRPr="000D0AEC">
        <w:rPr>
          <w:rStyle w:val="FootnoteReference"/>
        </w:rPr>
        <w:footnoteReference w:id="12"/>
      </w:r>
      <w:r w:rsidRPr="000D0AEC">
        <w:t>.</w:t>
      </w:r>
    </w:p>
    <w:sectPr w:rsidR="009A7231" w:rsidRPr="00471B40" w:rsidSect="000D0A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086" w:rsidRPr="00471B40" w:rsidRDefault="00144086">
      <w:r w:rsidRPr="00471B40">
        <w:separator/>
      </w:r>
    </w:p>
  </w:endnote>
  <w:endnote w:type="continuationSeparator" w:id="0">
    <w:p w:rsidR="00144086" w:rsidRPr="00471B40" w:rsidRDefault="00144086">
      <w:r w:rsidRPr="00471B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A81" w:rsidRPr="00407BA0" w:rsidRDefault="00675A81" w:rsidP="00CF7AC3">
    <w:pPr>
      <w:pStyle w:val="EPFooter"/>
    </w:pPr>
    <w:proofErr w:type="gramStart"/>
    <w:r w:rsidRPr="00407BA0">
      <w:t>PE</w:t>
    </w:r>
    <w:r w:rsidRPr="00407BA0">
      <w:rPr>
        <w:rStyle w:val="HideTWBExt"/>
      </w:rPr>
      <w:t>&lt;</w:t>
    </w:r>
    <w:proofErr w:type="spellStart"/>
    <w:proofErr w:type="gramEnd"/>
    <w:r w:rsidRPr="00407BA0">
      <w:rPr>
        <w:rStyle w:val="HideTWBExt"/>
      </w:rPr>
      <w:t>NoPE</w:t>
    </w:r>
    <w:proofErr w:type="spellEnd"/>
    <w:r w:rsidRPr="00407BA0">
      <w:rPr>
        <w:rStyle w:val="HideTWBExt"/>
      </w:rPr>
      <w:t>&gt;</w:t>
    </w:r>
    <w:r w:rsidRPr="00407BA0">
      <w:t>753.510</w:t>
    </w:r>
    <w:r w:rsidRPr="00407BA0">
      <w:rPr>
        <w:rStyle w:val="HideTWBExt"/>
      </w:rPr>
      <w:t>&lt;/</w:t>
    </w:r>
    <w:proofErr w:type="spellStart"/>
    <w:r w:rsidRPr="00407BA0">
      <w:rPr>
        <w:rStyle w:val="HideTWBExt"/>
      </w:rPr>
      <w:t>NoPE</w:t>
    </w:r>
    <w:proofErr w:type="spellEnd"/>
    <w:r w:rsidRPr="00407BA0">
      <w:rPr>
        <w:rStyle w:val="HideTWBExt"/>
      </w:rPr>
      <w:t>&gt;&lt;Version&gt;</w:t>
    </w:r>
    <w:r w:rsidRPr="00407BA0">
      <w:t>v02-00</w:t>
    </w:r>
    <w:r w:rsidRPr="00407BA0">
      <w:rPr>
        <w:rStyle w:val="HideTWBExt"/>
      </w:rPr>
      <w:t>&lt;/Version&gt;</w:t>
    </w:r>
    <w:r w:rsidRPr="00407BA0">
      <w:tab/>
    </w:r>
    <w:r w:rsidRPr="00407BA0">
      <w:fldChar w:fldCharType="begin"/>
    </w:r>
    <w:r w:rsidRPr="00407BA0">
      <w:instrText xml:space="preserve"> PAGE  \* MERGEFORMAT </w:instrText>
    </w:r>
    <w:r w:rsidRPr="00407BA0">
      <w:fldChar w:fldCharType="separate"/>
    </w:r>
    <w:r>
      <w:rPr>
        <w:noProof/>
      </w:rPr>
      <w:t>22</w:t>
    </w:r>
    <w:r w:rsidRPr="00407BA0">
      <w:fldChar w:fldCharType="end"/>
    </w:r>
    <w:r w:rsidRPr="00407BA0">
      <w:t>/</w:t>
    </w:r>
    <w:fldSimple w:instr=" NUMPAGES  \* MERGEFORMAT ">
      <w:r>
        <w:rPr>
          <w:noProof/>
        </w:rPr>
        <w:t>23</w:t>
      </w:r>
    </w:fldSimple>
    <w:r w:rsidRPr="00407BA0">
      <w:tab/>
    </w:r>
    <w:r w:rsidRPr="00407BA0">
      <w:rPr>
        <w:rStyle w:val="HideTWBExt"/>
      </w:rPr>
      <w:t>&lt;PathFdR&gt;</w:t>
    </w:r>
    <w:r w:rsidRPr="00407BA0">
      <w:t>RR\1298754HU.docx</w:t>
    </w:r>
    <w:r w:rsidRPr="00407BA0">
      <w:rPr>
        <w:rStyle w:val="HideTWBExt"/>
      </w:rPr>
      <w:t>&lt;/</w:t>
    </w:r>
    <w:proofErr w:type="spellStart"/>
    <w:r w:rsidRPr="00407BA0">
      <w:rPr>
        <w:rStyle w:val="HideTWBExt"/>
      </w:rPr>
      <w:t>PathFdR</w:t>
    </w:r>
    <w:proofErr w:type="spellEnd"/>
    <w:r w:rsidRPr="00407BA0">
      <w:rPr>
        <w:rStyle w:val="HideTWBExt"/>
      </w:rPr>
      <w:t>&gt;</w:t>
    </w:r>
  </w:p>
  <w:p w:rsidR="00675A81" w:rsidRPr="00407BA0" w:rsidRDefault="00675A81" w:rsidP="00CF7AC3">
    <w:pPr>
      <w:pStyle w:val="EPFooter2"/>
    </w:pPr>
    <w:r w:rsidRPr="00407BA0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A81" w:rsidRPr="00342BC7" w:rsidRDefault="00675A81" w:rsidP="000D0A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A81" w:rsidRPr="00342BC7" w:rsidRDefault="00675A81" w:rsidP="000D0AE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1B4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1B4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1B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086" w:rsidRPr="00471B40" w:rsidRDefault="00144086">
      <w:r w:rsidRPr="00471B40">
        <w:separator/>
      </w:r>
    </w:p>
  </w:footnote>
  <w:footnote w:type="continuationSeparator" w:id="0">
    <w:p w:rsidR="00144086" w:rsidRPr="00471B40" w:rsidRDefault="00144086">
      <w:r w:rsidRPr="00471B40">
        <w:continuationSeparator/>
      </w:r>
    </w:p>
  </w:footnote>
  <w:footnote w:id="1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 w:rsidRPr="000D0AEC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C, C/2023/594, 2023.10.27.</w:t>
      </w:r>
    </w:p>
  </w:footnote>
  <w:footnote w:id="2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 w:rsidRPr="000D0AEC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C, C/2023/112, 2023.10.12.</w:t>
      </w:r>
    </w:p>
  </w:footnote>
  <w:footnote w:id="3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L 193., 2018.7.30., 1. o.</w:t>
      </w:r>
    </w:p>
  </w:footnote>
  <w:footnote w:id="4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de-DE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de-DE"/>
        </w:rPr>
        <w:t xml:space="preserve"> </w:t>
      </w:r>
      <w:r w:rsidR="00342BC7" w:rsidRPr="000D0AEC">
        <w:rPr>
          <w:sz w:val="24"/>
          <w:szCs w:val="24"/>
          <w:lang w:val="de-DE"/>
        </w:rPr>
        <w:tab/>
      </w:r>
      <w:r w:rsidRPr="000D0AEC">
        <w:rPr>
          <w:sz w:val="24"/>
          <w:szCs w:val="24"/>
          <w:lang w:val="de-DE"/>
        </w:rPr>
        <w:t>HL L 319., 2015.12.4., 1. o.</w:t>
      </w:r>
    </w:p>
  </w:footnote>
  <w:footnote w:id="5">
    <w:p w:rsidR="00675A81" w:rsidRPr="009322CD" w:rsidRDefault="00675A81" w:rsidP="00675A81">
      <w:pPr>
        <w:pStyle w:val="FootnoteText"/>
        <w:ind w:left="567" w:hanging="567"/>
        <w:rPr>
          <w:sz w:val="24"/>
          <w:szCs w:val="24"/>
          <w:lang w:val="de-DE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de-DE"/>
        </w:rPr>
        <w:t xml:space="preserve"> </w:t>
      </w:r>
      <w:r w:rsidR="00342BC7" w:rsidRPr="000D0AEC">
        <w:rPr>
          <w:sz w:val="24"/>
          <w:szCs w:val="24"/>
          <w:lang w:val="de-DE"/>
        </w:rPr>
        <w:tab/>
      </w:r>
      <w:r w:rsidRPr="000D0AEC">
        <w:rPr>
          <w:sz w:val="24"/>
          <w:szCs w:val="24"/>
          <w:lang w:val="de-DE"/>
        </w:rPr>
        <w:t>HL L 122., 2019.5.10., 1. o.</w:t>
      </w:r>
    </w:p>
  </w:footnote>
  <w:footnote w:id="6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de-DE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de-DE"/>
        </w:rPr>
        <w:t xml:space="preserve"> </w:t>
      </w:r>
      <w:r w:rsidR="00342BC7" w:rsidRPr="000D0AEC">
        <w:rPr>
          <w:sz w:val="24"/>
          <w:szCs w:val="24"/>
          <w:lang w:val="de-DE"/>
        </w:rPr>
        <w:tab/>
      </w:r>
      <w:r w:rsidRPr="000D0AEC">
        <w:rPr>
          <w:sz w:val="24"/>
          <w:szCs w:val="24"/>
          <w:lang w:val="de-DE"/>
        </w:rPr>
        <w:t>HL C, C/2023/594, 2023.10.27.</w:t>
      </w:r>
    </w:p>
  </w:footnote>
  <w:footnote w:id="7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C, C/2023/112, 2023.10.12.</w:t>
      </w:r>
    </w:p>
  </w:footnote>
  <w:footnote w:id="8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L 193., 2018.7.30., 1. o.</w:t>
      </w:r>
    </w:p>
  </w:footnote>
  <w:footnote w:id="9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L 319., 2015.12.4., 1. o.</w:t>
      </w:r>
    </w:p>
  </w:footnote>
  <w:footnote w:id="10">
    <w:p w:rsidR="00675A81" w:rsidRPr="00342BC7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 L 122., 2019.5.10., 1. o.</w:t>
      </w:r>
    </w:p>
  </w:footnote>
  <w:footnote w:id="11">
    <w:p w:rsidR="00675A81" w:rsidRPr="000D0AEC" w:rsidRDefault="00675A81" w:rsidP="00675A81">
      <w:pPr>
        <w:pStyle w:val="FootnoteText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r w:rsidRPr="000D0AEC">
        <w:rPr>
          <w:sz w:val="24"/>
          <w:szCs w:val="24"/>
          <w:lang w:val="pt-PT"/>
        </w:rPr>
        <w:t>HL C 73., 2023.2.28., 44. o.</w:t>
      </w:r>
    </w:p>
  </w:footnote>
  <w:footnote w:id="12">
    <w:p w:rsidR="00675A81" w:rsidRPr="000D0AEC" w:rsidRDefault="00675A81" w:rsidP="00675A81">
      <w:pPr>
        <w:pStyle w:val="FootnoteText"/>
        <w:ind w:left="567" w:hanging="567"/>
        <w:rPr>
          <w:sz w:val="24"/>
          <w:szCs w:val="24"/>
          <w:lang w:val="pt-PT"/>
        </w:rPr>
      </w:pPr>
      <w:r w:rsidRPr="000D0AEC">
        <w:rPr>
          <w:rStyle w:val="FootnoteReference"/>
          <w:sz w:val="24"/>
          <w:szCs w:val="24"/>
        </w:rPr>
        <w:footnoteRef/>
      </w:r>
      <w:r w:rsidRPr="000D0AEC">
        <w:rPr>
          <w:sz w:val="24"/>
          <w:szCs w:val="24"/>
          <w:lang w:val="pt-PT"/>
        </w:rPr>
        <w:t xml:space="preserve"> </w:t>
      </w:r>
      <w:r w:rsidR="00342BC7">
        <w:rPr>
          <w:sz w:val="24"/>
          <w:szCs w:val="24"/>
          <w:lang w:val="pt-PT"/>
        </w:rPr>
        <w:tab/>
      </w:r>
      <w:proofErr w:type="spellStart"/>
      <w:r w:rsidRPr="000D0AEC">
        <w:rPr>
          <w:sz w:val="24"/>
          <w:szCs w:val="24"/>
          <w:lang w:val="pt-PT"/>
        </w:rPr>
        <w:t>Elfogadott</w:t>
      </w:r>
      <w:proofErr w:type="spellEnd"/>
      <w:r w:rsidRPr="000D0AEC">
        <w:rPr>
          <w:sz w:val="24"/>
          <w:szCs w:val="24"/>
          <w:lang w:val="pt-PT"/>
        </w:rPr>
        <w:t xml:space="preserve"> </w:t>
      </w:r>
      <w:proofErr w:type="spellStart"/>
      <w:r w:rsidRPr="000D0AEC">
        <w:rPr>
          <w:sz w:val="24"/>
          <w:szCs w:val="24"/>
          <w:lang w:val="pt-PT"/>
        </w:rPr>
        <w:t>szövegek</w:t>
      </w:r>
      <w:proofErr w:type="spellEnd"/>
      <w:r w:rsidRPr="000D0AEC">
        <w:rPr>
          <w:sz w:val="24"/>
          <w:szCs w:val="24"/>
          <w:lang w:val="pt-PT"/>
        </w:rPr>
        <w:t>, P9_TA(2024)</w:t>
      </w:r>
      <w:r w:rsidR="00D26894">
        <w:rPr>
          <w:sz w:val="24"/>
          <w:szCs w:val="24"/>
          <w:lang w:val="pt-PT"/>
        </w:rPr>
        <w:t>0280</w:t>
      </w:r>
      <w:bookmarkStart w:id="12" w:name="_GoBack"/>
      <w:bookmarkEnd w:id="12"/>
      <w:r w:rsidRPr="000D0AEC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1B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1B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1B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F78B3"/>
    <w:multiLevelType w:val="hybridMultilevel"/>
    <w:tmpl w:val="6184A36E"/>
    <w:lvl w:ilvl="0" w:tplc="D9505B70">
      <w:start w:val="1"/>
      <w:numFmt w:val="decimal"/>
      <w:lvlText w:val="%1."/>
      <w:lvlJc w:val="left"/>
      <w:pPr>
        <w:ind w:left="720" w:hanging="360"/>
      </w:pPr>
    </w:lvl>
    <w:lvl w:ilvl="1" w:tplc="5E6A8E70">
      <w:start w:val="1"/>
      <w:numFmt w:val="lowerLetter"/>
      <w:lvlText w:val="%2."/>
      <w:lvlJc w:val="left"/>
      <w:pPr>
        <w:ind w:left="1440" w:hanging="360"/>
      </w:pPr>
    </w:lvl>
    <w:lvl w:ilvl="2" w:tplc="E4FA0466" w:tentative="1">
      <w:start w:val="1"/>
      <w:numFmt w:val="lowerRoman"/>
      <w:lvlText w:val="%3."/>
      <w:lvlJc w:val="right"/>
      <w:pPr>
        <w:ind w:left="2160" w:hanging="180"/>
      </w:pPr>
    </w:lvl>
    <w:lvl w:ilvl="3" w:tplc="095A082A" w:tentative="1">
      <w:start w:val="1"/>
      <w:numFmt w:val="decimal"/>
      <w:lvlText w:val="%4."/>
      <w:lvlJc w:val="left"/>
      <w:pPr>
        <w:ind w:left="2880" w:hanging="360"/>
      </w:pPr>
    </w:lvl>
    <w:lvl w:ilvl="4" w:tplc="9E70BECE" w:tentative="1">
      <w:start w:val="1"/>
      <w:numFmt w:val="lowerLetter"/>
      <w:lvlText w:val="%5."/>
      <w:lvlJc w:val="left"/>
      <w:pPr>
        <w:ind w:left="3600" w:hanging="360"/>
      </w:pPr>
    </w:lvl>
    <w:lvl w:ilvl="5" w:tplc="7654E1A0" w:tentative="1">
      <w:start w:val="1"/>
      <w:numFmt w:val="lowerRoman"/>
      <w:lvlText w:val="%6."/>
      <w:lvlJc w:val="right"/>
      <w:pPr>
        <w:ind w:left="4320" w:hanging="180"/>
      </w:pPr>
    </w:lvl>
    <w:lvl w:ilvl="6" w:tplc="34BC9E52" w:tentative="1">
      <w:start w:val="1"/>
      <w:numFmt w:val="decimal"/>
      <w:lvlText w:val="%7."/>
      <w:lvlJc w:val="left"/>
      <w:pPr>
        <w:ind w:left="5040" w:hanging="360"/>
      </w:pPr>
    </w:lvl>
    <w:lvl w:ilvl="7" w:tplc="60A4F668" w:tentative="1">
      <w:start w:val="1"/>
      <w:numFmt w:val="lowerLetter"/>
      <w:lvlText w:val="%8."/>
      <w:lvlJc w:val="left"/>
      <w:pPr>
        <w:ind w:left="5760" w:hanging="360"/>
      </w:pPr>
    </w:lvl>
    <w:lvl w:ilvl="8" w:tplc="83E684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AA873DF"/>
    <w:multiLevelType w:val="hybridMultilevel"/>
    <w:tmpl w:val="C5BE9404"/>
    <w:lvl w:ilvl="0" w:tplc="C8700B98">
      <w:start w:val="1"/>
      <w:numFmt w:val="decimal"/>
      <w:lvlText w:val="%1."/>
      <w:lvlJc w:val="left"/>
      <w:pPr>
        <w:ind w:left="720" w:hanging="360"/>
      </w:pPr>
    </w:lvl>
    <w:lvl w:ilvl="1" w:tplc="0D20CB62" w:tentative="1">
      <w:start w:val="1"/>
      <w:numFmt w:val="lowerLetter"/>
      <w:lvlText w:val="%2."/>
      <w:lvlJc w:val="left"/>
      <w:pPr>
        <w:ind w:left="1440" w:hanging="360"/>
      </w:pPr>
    </w:lvl>
    <w:lvl w:ilvl="2" w:tplc="2ABCF314" w:tentative="1">
      <w:start w:val="1"/>
      <w:numFmt w:val="lowerRoman"/>
      <w:lvlText w:val="%3."/>
      <w:lvlJc w:val="right"/>
      <w:pPr>
        <w:ind w:left="2160" w:hanging="180"/>
      </w:pPr>
    </w:lvl>
    <w:lvl w:ilvl="3" w:tplc="F2AC5606" w:tentative="1">
      <w:start w:val="1"/>
      <w:numFmt w:val="decimal"/>
      <w:lvlText w:val="%4."/>
      <w:lvlJc w:val="left"/>
      <w:pPr>
        <w:ind w:left="2880" w:hanging="360"/>
      </w:pPr>
    </w:lvl>
    <w:lvl w:ilvl="4" w:tplc="A5CE449C" w:tentative="1">
      <w:start w:val="1"/>
      <w:numFmt w:val="lowerLetter"/>
      <w:lvlText w:val="%5."/>
      <w:lvlJc w:val="left"/>
      <w:pPr>
        <w:ind w:left="3600" w:hanging="360"/>
      </w:pPr>
    </w:lvl>
    <w:lvl w:ilvl="5" w:tplc="97F666AE" w:tentative="1">
      <w:start w:val="1"/>
      <w:numFmt w:val="lowerRoman"/>
      <w:lvlText w:val="%6."/>
      <w:lvlJc w:val="right"/>
      <w:pPr>
        <w:ind w:left="4320" w:hanging="180"/>
      </w:pPr>
    </w:lvl>
    <w:lvl w:ilvl="6" w:tplc="9698AF0C" w:tentative="1">
      <w:start w:val="1"/>
      <w:numFmt w:val="decimal"/>
      <w:lvlText w:val="%7."/>
      <w:lvlJc w:val="left"/>
      <w:pPr>
        <w:ind w:left="5040" w:hanging="360"/>
      </w:pPr>
    </w:lvl>
    <w:lvl w:ilvl="7" w:tplc="FFDE930E" w:tentative="1">
      <w:start w:val="1"/>
      <w:numFmt w:val="lowerLetter"/>
      <w:lvlText w:val="%8."/>
      <w:lvlJc w:val="left"/>
      <w:pPr>
        <w:ind w:left="5760" w:hanging="360"/>
      </w:pPr>
    </w:lvl>
    <w:lvl w:ilvl="8" w:tplc="0FC68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86D48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3DE7BF3"/>
    <w:multiLevelType w:val="hybridMultilevel"/>
    <w:tmpl w:val="B81228FA"/>
    <w:lvl w:ilvl="0" w:tplc="C4EE97AE">
      <w:start w:val="1"/>
      <w:numFmt w:val="decimal"/>
      <w:lvlText w:val="%1."/>
      <w:lvlJc w:val="left"/>
      <w:pPr>
        <w:ind w:left="720" w:hanging="360"/>
      </w:pPr>
    </w:lvl>
    <w:lvl w:ilvl="1" w:tplc="80D4C9EA">
      <w:start w:val="1"/>
      <w:numFmt w:val="lowerLetter"/>
      <w:lvlText w:val="%2."/>
      <w:lvlJc w:val="left"/>
      <w:pPr>
        <w:ind w:left="1440" w:hanging="360"/>
      </w:pPr>
    </w:lvl>
    <w:lvl w:ilvl="2" w:tplc="C722EC6C" w:tentative="1">
      <w:start w:val="1"/>
      <w:numFmt w:val="lowerRoman"/>
      <w:lvlText w:val="%3."/>
      <w:lvlJc w:val="right"/>
      <w:pPr>
        <w:ind w:left="2160" w:hanging="180"/>
      </w:pPr>
    </w:lvl>
    <w:lvl w:ilvl="3" w:tplc="811699AC" w:tentative="1">
      <w:start w:val="1"/>
      <w:numFmt w:val="decimal"/>
      <w:lvlText w:val="%4."/>
      <w:lvlJc w:val="left"/>
      <w:pPr>
        <w:ind w:left="2880" w:hanging="360"/>
      </w:pPr>
    </w:lvl>
    <w:lvl w:ilvl="4" w:tplc="DE0C1252" w:tentative="1">
      <w:start w:val="1"/>
      <w:numFmt w:val="lowerLetter"/>
      <w:lvlText w:val="%5."/>
      <w:lvlJc w:val="left"/>
      <w:pPr>
        <w:ind w:left="3600" w:hanging="360"/>
      </w:pPr>
    </w:lvl>
    <w:lvl w:ilvl="5" w:tplc="3356FBF4" w:tentative="1">
      <w:start w:val="1"/>
      <w:numFmt w:val="lowerRoman"/>
      <w:lvlText w:val="%6."/>
      <w:lvlJc w:val="right"/>
      <w:pPr>
        <w:ind w:left="4320" w:hanging="180"/>
      </w:pPr>
    </w:lvl>
    <w:lvl w:ilvl="6" w:tplc="60E6DEAE" w:tentative="1">
      <w:start w:val="1"/>
      <w:numFmt w:val="decimal"/>
      <w:lvlText w:val="%7."/>
      <w:lvlJc w:val="left"/>
      <w:pPr>
        <w:ind w:left="5040" w:hanging="360"/>
      </w:pPr>
    </w:lvl>
    <w:lvl w:ilvl="7" w:tplc="3EFE1ADA" w:tentative="1">
      <w:start w:val="1"/>
      <w:numFmt w:val="lowerLetter"/>
      <w:lvlText w:val="%8."/>
      <w:lvlJc w:val="left"/>
      <w:pPr>
        <w:ind w:left="5760" w:hanging="360"/>
      </w:pPr>
    </w:lvl>
    <w:lvl w:ilvl="8" w:tplc="7D3E39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BB72F1"/>
    <w:multiLevelType w:val="hybridMultilevel"/>
    <w:tmpl w:val="D6D0A520"/>
    <w:lvl w:ilvl="0" w:tplc="F2F8B4E0">
      <w:start w:val="1"/>
      <w:numFmt w:val="decimal"/>
      <w:lvlText w:val="%1."/>
      <w:lvlJc w:val="left"/>
      <w:pPr>
        <w:ind w:left="720" w:hanging="360"/>
      </w:pPr>
    </w:lvl>
    <w:lvl w:ilvl="1" w:tplc="86144B9E">
      <w:start w:val="1"/>
      <w:numFmt w:val="lowerLetter"/>
      <w:lvlText w:val="%2."/>
      <w:lvlJc w:val="left"/>
      <w:pPr>
        <w:ind w:left="1440" w:hanging="360"/>
      </w:pPr>
    </w:lvl>
    <w:lvl w:ilvl="2" w:tplc="545CDE66" w:tentative="1">
      <w:start w:val="1"/>
      <w:numFmt w:val="lowerRoman"/>
      <w:lvlText w:val="%3."/>
      <w:lvlJc w:val="right"/>
      <w:pPr>
        <w:ind w:left="2160" w:hanging="180"/>
      </w:pPr>
    </w:lvl>
    <w:lvl w:ilvl="3" w:tplc="ACAA71D2" w:tentative="1">
      <w:start w:val="1"/>
      <w:numFmt w:val="decimal"/>
      <w:lvlText w:val="%4."/>
      <w:lvlJc w:val="left"/>
      <w:pPr>
        <w:ind w:left="2880" w:hanging="360"/>
      </w:pPr>
    </w:lvl>
    <w:lvl w:ilvl="4" w:tplc="007AA65C" w:tentative="1">
      <w:start w:val="1"/>
      <w:numFmt w:val="lowerLetter"/>
      <w:lvlText w:val="%5."/>
      <w:lvlJc w:val="left"/>
      <w:pPr>
        <w:ind w:left="3600" w:hanging="360"/>
      </w:pPr>
    </w:lvl>
    <w:lvl w:ilvl="5" w:tplc="A2E4804E" w:tentative="1">
      <w:start w:val="1"/>
      <w:numFmt w:val="lowerRoman"/>
      <w:lvlText w:val="%6."/>
      <w:lvlJc w:val="right"/>
      <w:pPr>
        <w:ind w:left="4320" w:hanging="180"/>
      </w:pPr>
    </w:lvl>
    <w:lvl w:ilvl="6" w:tplc="C8D4E156" w:tentative="1">
      <w:start w:val="1"/>
      <w:numFmt w:val="decimal"/>
      <w:lvlText w:val="%7."/>
      <w:lvlJc w:val="left"/>
      <w:pPr>
        <w:ind w:left="5040" w:hanging="360"/>
      </w:pPr>
    </w:lvl>
    <w:lvl w:ilvl="7" w:tplc="1BA25D66" w:tentative="1">
      <w:start w:val="1"/>
      <w:numFmt w:val="lowerLetter"/>
      <w:lvlText w:val="%8."/>
      <w:lvlJc w:val="left"/>
      <w:pPr>
        <w:ind w:left="5760" w:hanging="360"/>
      </w:pPr>
    </w:lvl>
    <w:lvl w:ilvl="8" w:tplc="945E7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43E7B"/>
    <w:multiLevelType w:val="hybridMultilevel"/>
    <w:tmpl w:val="6B3A0F7E"/>
    <w:lvl w:ilvl="0" w:tplc="EF10C28C">
      <w:start w:val="1"/>
      <w:numFmt w:val="decimal"/>
      <w:lvlText w:val="%1."/>
      <w:lvlJc w:val="left"/>
      <w:pPr>
        <w:ind w:left="720" w:hanging="360"/>
      </w:pPr>
    </w:lvl>
    <w:lvl w:ilvl="1" w:tplc="1A62AA4E">
      <w:start w:val="1"/>
      <w:numFmt w:val="lowerLetter"/>
      <w:lvlText w:val="%2."/>
      <w:lvlJc w:val="left"/>
      <w:pPr>
        <w:ind w:left="1440" w:hanging="360"/>
      </w:pPr>
    </w:lvl>
    <w:lvl w:ilvl="2" w:tplc="EA5E9F46" w:tentative="1">
      <w:start w:val="1"/>
      <w:numFmt w:val="lowerRoman"/>
      <w:lvlText w:val="%3."/>
      <w:lvlJc w:val="right"/>
      <w:pPr>
        <w:ind w:left="2160" w:hanging="180"/>
      </w:pPr>
    </w:lvl>
    <w:lvl w:ilvl="3" w:tplc="CC1E1EEA" w:tentative="1">
      <w:start w:val="1"/>
      <w:numFmt w:val="decimal"/>
      <w:lvlText w:val="%4."/>
      <w:lvlJc w:val="left"/>
      <w:pPr>
        <w:ind w:left="2880" w:hanging="360"/>
      </w:pPr>
    </w:lvl>
    <w:lvl w:ilvl="4" w:tplc="8012908E" w:tentative="1">
      <w:start w:val="1"/>
      <w:numFmt w:val="lowerLetter"/>
      <w:lvlText w:val="%5."/>
      <w:lvlJc w:val="left"/>
      <w:pPr>
        <w:ind w:left="3600" w:hanging="360"/>
      </w:pPr>
    </w:lvl>
    <w:lvl w:ilvl="5" w:tplc="FD4CE6F4" w:tentative="1">
      <w:start w:val="1"/>
      <w:numFmt w:val="lowerRoman"/>
      <w:lvlText w:val="%6."/>
      <w:lvlJc w:val="right"/>
      <w:pPr>
        <w:ind w:left="4320" w:hanging="180"/>
      </w:pPr>
    </w:lvl>
    <w:lvl w:ilvl="6" w:tplc="AC606350" w:tentative="1">
      <w:start w:val="1"/>
      <w:numFmt w:val="decimal"/>
      <w:lvlText w:val="%7."/>
      <w:lvlJc w:val="left"/>
      <w:pPr>
        <w:ind w:left="5040" w:hanging="360"/>
      </w:pPr>
    </w:lvl>
    <w:lvl w:ilvl="7" w:tplc="6C40352A" w:tentative="1">
      <w:start w:val="1"/>
      <w:numFmt w:val="lowerLetter"/>
      <w:lvlText w:val="%8."/>
      <w:lvlJc w:val="left"/>
      <w:pPr>
        <w:ind w:left="5760" w:hanging="360"/>
      </w:pPr>
    </w:lvl>
    <w:lvl w:ilvl="8" w:tplc="1384F0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3"/>
  </w:num>
  <w:num w:numId="46">
    <w:abstractNumId w:val="17"/>
  </w:num>
  <w:num w:numId="47">
    <w:abstractNumId w:val="16"/>
  </w:num>
  <w:num w:numId="48">
    <w:abstractNumId w:val="15"/>
  </w:num>
  <w:num w:numId="49">
    <w:abstractNumId w:val="10"/>
  </w:num>
  <w:num w:numId="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7/2024"/>
    <w:docVar w:name="dvlangue" w:val="HU"/>
    <w:docVar w:name="dvnumam" w:val="0"/>
    <w:docVar w:name="dvpe" w:val="753.634"/>
    <w:docVar w:name="dvrapporteur" w:val="Előadó: "/>
    <w:docVar w:name="dvtitre" w:val="Az Európai Parlament 2024.  ...-i határozata az Európai Unió 2022. évi pénzügyi évre szóló általános költségvetésének végrehajtására vonatkozó mentesítésről, I. szakasz – Európai Parlament(2023/2130(DEC))"/>
  </w:docVars>
  <w:rsids>
    <w:rsidRoot w:val="00144086"/>
    <w:rsid w:val="00002272"/>
    <w:rsid w:val="00064002"/>
    <w:rsid w:val="000677B9"/>
    <w:rsid w:val="000831BA"/>
    <w:rsid w:val="000A42CC"/>
    <w:rsid w:val="000D0AEC"/>
    <w:rsid w:val="000E7DD9"/>
    <w:rsid w:val="000F66D6"/>
    <w:rsid w:val="0010095E"/>
    <w:rsid w:val="00125B37"/>
    <w:rsid w:val="00144086"/>
    <w:rsid w:val="00187494"/>
    <w:rsid w:val="001F32AE"/>
    <w:rsid w:val="002767FF"/>
    <w:rsid w:val="002B18FE"/>
    <w:rsid w:val="002B5493"/>
    <w:rsid w:val="00342BC7"/>
    <w:rsid w:val="00343214"/>
    <w:rsid w:val="00361C00"/>
    <w:rsid w:val="00395FA1"/>
    <w:rsid w:val="003E15D4"/>
    <w:rsid w:val="00411CCE"/>
    <w:rsid w:val="0041666E"/>
    <w:rsid w:val="00421060"/>
    <w:rsid w:val="00471B40"/>
    <w:rsid w:val="00471C19"/>
    <w:rsid w:val="004867E3"/>
    <w:rsid w:val="00494A28"/>
    <w:rsid w:val="004A725C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5A8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320"/>
    <w:rsid w:val="00930C23"/>
    <w:rsid w:val="0093193B"/>
    <w:rsid w:val="009322CD"/>
    <w:rsid w:val="009509D8"/>
    <w:rsid w:val="00950B64"/>
    <w:rsid w:val="00981893"/>
    <w:rsid w:val="009A72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C6E"/>
    <w:rsid w:val="00CF071A"/>
    <w:rsid w:val="00D058B8"/>
    <w:rsid w:val="00D2689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91B7B"/>
  <w15:chartTrackingRefBased/>
  <w15:docId w15:val="{27B6536F-7A82-4339-838B-A22A01D4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A723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A723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A723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A723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A723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A7231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9A7231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9A7231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9A7231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9A723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A72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A7231"/>
    <w:pPr>
      <w:spacing w:before="480" w:after="240"/>
    </w:pPr>
  </w:style>
  <w:style w:type="paragraph" w:customStyle="1" w:styleId="TOCPage">
    <w:name w:val="TOC Page"/>
    <w:basedOn w:val="Normal"/>
    <w:next w:val="TOC1"/>
    <w:rsid w:val="009A723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9A72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A7231"/>
    <w:rPr>
      <w:b/>
    </w:rPr>
  </w:style>
  <w:style w:type="paragraph" w:customStyle="1" w:styleId="NormalHanging12a">
    <w:name w:val="NormalHanging12a"/>
    <w:basedOn w:val="Normal"/>
    <w:link w:val="NormalHanging12aChar"/>
    <w:rsid w:val="009A723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A7231"/>
    <w:pPr>
      <w:spacing w:after="480"/>
      <w:ind w:left="1417"/>
    </w:pPr>
  </w:style>
  <w:style w:type="paragraph" w:customStyle="1" w:styleId="CoverNormal">
    <w:name w:val="CoverNormal"/>
    <w:basedOn w:val="Normal"/>
    <w:rsid w:val="009A7231"/>
    <w:pPr>
      <w:ind w:left="1418"/>
    </w:pPr>
  </w:style>
  <w:style w:type="paragraph" w:customStyle="1" w:styleId="CoverReference">
    <w:name w:val="CoverReference"/>
    <w:basedOn w:val="Normal"/>
    <w:rsid w:val="009A723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9A723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A7231"/>
    <w:pPr>
      <w:spacing w:before="240" w:after="1200"/>
    </w:pPr>
  </w:style>
  <w:style w:type="paragraph" w:customStyle="1" w:styleId="EPBody">
    <w:name w:val="EPBody"/>
    <w:basedOn w:val="Normal"/>
    <w:rsid w:val="009A723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A72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9A72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7231"/>
    <w:rPr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9A7231"/>
    <w:rPr>
      <w:sz w:val="24"/>
      <w:lang w:val="hu-HU"/>
    </w:rPr>
  </w:style>
  <w:style w:type="character" w:styleId="CommentReference">
    <w:name w:val="annotation reference"/>
    <w:basedOn w:val="DefaultParagraphFont"/>
    <w:uiPriority w:val="99"/>
    <w:rsid w:val="009A7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A72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7231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A7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7231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9A72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7231"/>
    <w:rPr>
      <w:rFonts w:ascii="Segoe UI" w:hAnsi="Segoe UI" w:cs="Segoe UI"/>
      <w:sz w:val="18"/>
      <w:szCs w:val="18"/>
      <w:lang w:val="hu-HU"/>
    </w:rPr>
  </w:style>
  <w:style w:type="paragraph" w:customStyle="1" w:styleId="Body">
    <w:name w:val="Body"/>
    <w:rsid w:val="009A7231"/>
    <w:pPr>
      <w:widowControl w:val="0"/>
    </w:pPr>
    <w:rPr>
      <w:color w:val="000000"/>
      <w:sz w:val="24"/>
      <w:szCs w:val="24"/>
      <w:u w:color="000000"/>
      <w:lang w:val="hu-HU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rsid w:val="009A7231"/>
    <w:pPr>
      <w:widowControl w:val="0"/>
      <w:ind w:left="720"/>
    </w:pPr>
    <w:rPr>
      <w:rFonts w:eastAsia="Arial Unicode MS" w:cs="Arial Unicode MS"/>
      <w:color w:val="000000"/>
      <w:sz w:val="24"/>
      <w:szCs w:val="24"/>
      <w:u w:color="000000"/>
      <w:lang w:val="hu-HU"/>
    </w:rPr>
  </w:style>
  <w:style w:type="paragraph" w:customStyle="1" w:styleId="Normal12Hanging">
    <w:name w:val="Normal12Hanging"/>
    <w:basedOn w:val="Normal"/>
    <w:rsid w:val="009A7231"/>
    <w:pPr>
      <w:spacing w:after="240"/>
      <w:ind w:left="567" w:hanging="567"/>
    </w:pPr>
  </w:style>
  <w:style w:type="character" w:styleId="Hyperlink">
    <w:name w:val="Hyperlink"/>
    <w:basedOn w:val="DefaultParagraphFont"/>
    <w:rsid w:val="009A7231"/>
    <w:rPr>
      <w:color w:val="0563C1" w:themeColor="hyperlink"/>
      <w:u w:val="single"/>
    </w:rPr>
  </w:style>
  <w:style w:type="character" w:customStyle="1" w:styleId="HRtextbodyChar">
    <w:name w:val="HR_text body_ Char"/>
    <w:basedOn w:val="DefaultParagraphFont"/>
    <w:link w:val="HRtextbody"/>
    <w:locked/>
    <w:rsid w:val="009A7231"/>
    <w:rPr>
      <w:rFonts w:ascii="Arial" w:hAnsi="Arial" w:cs="Arial"/>
      <w:color w:val="595959"/>
    </w:rPr>
  </w:style>
  <w:style w:type="paragraph" w:customStyle="1" w:styleId="HRtextbody">
    <w:name w:val="HR_text body_"/>
    <w:basedOn w:val="Normal"/>
    <w:link w:val="HRtextbodyChar"/>
    <w:rsid w:val="009A7231"/>
    <w:pPr>
      <w:widowControl/>
      <w:jc w:val="both"/>
    </w:pPr>
    <w:rPr>
      <w:rFonts w:ascii="Arial" w:hAnsi="Arial" w:cs="Arial"/>
      <w:color w:val="595959"/>
      <w:sz w:val="20"/>
      <w:lang w:val="en-GB"/>
    </w:rPr>
  </w:style>
  <w:style w:type="character" w:styleId="Strong">
    <w:name w:val="Strong"/>
    <w:basedOn w:val="DefaultParagraphFont"/>
    <w:uiPriority w:val="22"/>
    <w:qFormat/>
    <w:rsid w:val="009A7231"/>
    <w:rPr>
      <w:b/>
      <w:bCs/>
    </w:rPr>
  </w:style>
  <w:style w:type="paragraph" w:styleId="Revision">
    <w:name w:val="Revision"/>
    <w:hidden/>
    <w:uiPriority w:val="99"/>
    <w:semiHidden/>
    <w:rsid w:val="009A7231"/>
    <w:rPr>
      <w:sz w:val="24"/>
      <w:lang w:val="hu-HU"/>
    </w:rPr>
  </w:style>
  <w:style w:type="character" w:customStyle="1" w:styleId="ui-provider">
    <w:name w:val="ui-provider"/>
    <w:basedOn w:val="DefaultParagraphFont"/>
    <w:rsid w:val="009A7231"/>
  </w:style>
  <w:style w:type="paragraph" w:customStyle="1" w:styleId="title-article-norm">
    <w:name w:val="title-article-norm"/>
    <w:basedOn w:val="Normal"/>
    <w:rsid w:val="009A7231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rsid w:val="009A7231"/>
    <w:pPr>
      <w:spacing w:after="480"/>
    </w:pPr>
  </w:style>
  <w:style w:type="paragraph" w:customStyle="1" w:styleId="NormalBoldCenter">
    <w:name w:val="NormalBoldCenter"/>
    <w:basedOn w:val="Normal"/>
    <w:rsid w:val="009A7231"/>
    <w:pPr>
      <w:jc w:val="center"/>
    </w:pPr>
    <w:rPr>
      <w:b/>
    </w:rPr>
  </w:style>
  <w:style w:type="paragraph" w:customStyle="1" w:styleId="Normal12a">
    <w:name w:val="Normal12a"/>
    <w:basedOn w:val="Normal"/>
    <w:rsid w:val="009A7231"/>
    <w:pPr>
      <w:spacing w:after="240"/>
    </w:pPr>
  </w:style>
  <w:style w:type="paragraph" w:customStyle="1" w:styleId="PageHeadingNotTOC">
    <w:name w:val="PageHeadingNotTOC"/>
    <w:basedOn w:val="Normal"/>
    <w:rsid w:val="009A72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umPar1">
    <w:name w:val="NumPar 1"/>
    <w:basedOn w:val="Normal"/>
    <w:rsid w:val="009A7231"/>
    <w:pPr>
      <w:numPr>
        <w:numId w:val="50"/>
      </w:numPr>
    </w:pPr>
  </w:style>
  <w:style w:type="paragraph" w:customStyle="1" w:styleId="NumPar2">
    <w:name w:val="NumPar 2"/>
    <w:basedOn w:val="Normal"/>
    <w:rsid w:val="009A7231"/>
    <w:pPr>
      <w:numPr>
        <w:ilvl w:val="1"/>
        <w:numId w:val="50"/>
      </w:numPr>
    </w:pPr>
  </w:style>
  <w:style w:type="paragraph" w:customStyle="1" w:styleId="NumPar3">
    <w:name w:val="NumPar 3"/>
    <w:basedOn w:val="Normal"/>
    <w:rsid w:val="009A7231"/>
    <w:pPr>
      <w:numPr>
        <w:ilvl w:val="2"/>
        <w:numId w:val="50"/>
      </w:numPr>
    </w:pPr>
  </w:style>
  <w:style w:type="paragraph" w:customStyle="1" w:styleId="NumPar4">
    <w:name w:val="NumPar 4"/>
    <w:basedOn w:val="Normal"/>
    <w:rsid w:val="009A7231"/>
    <w:pPr>
      <w:numPr>
        <w:ilvl w:val="3"/>
        <w:numId w:val="50"/>
      </w:numPr>
    </w:pPr>
  </w:style>
  <w:style w:type="paragraph" w:customStyle="1" w:styleId="NumPar5">
    <w:name w:val="NumPar 5"/>
    <w:basedOn w:val="Normal"/>
    <w:rsid w:val="009A7231"/>
    <w:pPr>
      <w:numPr>
        <w:ilvl w:val="4"/>
        <w:numId w:val="50"/>
      </w:numPr>
    </w:pPr>
  </w:style>
  <w:style w:type="paragraph" w:customStyle="1" w:styleId="NumPar6">
    <w:name w:val="NumPar 6"/>
    <w:basedOn w:val="Normal"/>
    <w:rsid w:val="009A7231"/>
    <w:pPr>
      <w:numPr>
        <w:ilvl w:val="5"/>
        <w:numId w:val="50"/>
      </w:numPr>
    </w:pPr>
  </w:style>
  <w:style w:type="paragraph" w:customStyle="1" w:styleId="NumPar7">
    <w:name w:val="NumPar 7"/>
    <w:basedOn w:val="Normal"/>
    <w:rsid w:val="009A7231"/>
    <w:pPr>
      <w:numPr>
        <w:ilvl w:val="6"/>
        <w:numId w:val="50"/>
      </w:numPr>
    </w:pPr>
  </w:style>
  <w:style w:type="paragraph" w:customStyle="1" w:styleId="RollCallSymbols14pt">
    <w:name w:val="RollCallSymbols14pt"/>
    <w:basedOn w:val="Normal"/>
    <w:rsid w:val="009A723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A723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A723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A7231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rsid w:val="009A723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9A72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A7231"/>
    <w:rPr>
      <w:sz w:val="24"/>
      <w:lang w:val="hu-HU"/>
    </w:rPr>
  </w:style>
  <w:style w:type="paragraph" w:customStyle="1" w:styleId="NormalCenter12a">
    <w:name w:val="NormalCenter12a"/>
    <w:basedOn w:val="Normal"/>
    <w:rsid w:val="00675A81"/>
    <w:pPr>
      <w:spacing w:after="240"/>
      <w:jc w:val="center"/>
    </w:pPr>
  </w:style>
  <w:style w:type="character" w:customStyle="1" w:styleId="pointer">
    <w:name w:val="pointer"/>
    <w:basedOn w:val="DefaultParagraphFont"/>
    <w:rsid w:val="00675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5648F-1588-4B12-9A67-E87E2596E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3953</Words>
  <Characters>28939</Characters>
  <Application>Microsoft Office Word</Application>
  <DocSecurity>0</DocSecurity>
  <Lines>241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2024-04-11T13:05:00Z</dcterms:created>
  <dcterms:modified xsi:type="dcterms:W3CDTF">2024-04-11T13:05:00Z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A9-0067/2024</vt:lpwstr>
  </property>
  <property fmtid="{D5CDD505-2E9C-101B-9397-08002B2CF9AE}" pid="4" name="&lt;Type&gt;">
    <vt:lpwstr>RR</vt:lpwstr>
  </property>
</Properties>
</file>