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1CE" w:rsidTr="0010095E">
        <w:trPr>
          <w:trHeight w:hRule="exact" w:val="1418"/>
        </w:trPr>
        <w:tc>
          <w:tcPr>
            <w:tcW w:w="6804" w:type="dxa"/>
            <w:shd w:val="clear" w:color="auto" w:fill="auto"/>
            <w:vAlign w:val="center"/>
          </w:tcPr>
          <w:p w:rsidR="00751A4A" w:rsidRPr="000E41CE" w:rsidRDefault="004A79B9" w:rsidP="0010095E">
            <w:pPr>
              <w:pStyle w:val="EPName"/>
            </w:pPr>
            <w:r w:rsidRPr="000E41CE">
              <w:t>Europos Parlamentas</w:t>
            </w:r>
          </w:p>
          <w:p w:rsidR="00751A4A" w:rsidRPr="000E41CE" w:rsidRDefault="00817416" w:rsidP="00756632">
            <w:pPr>
              <w:pStyle w:val="EPTerm"/>
              <w:rPr>
                <w:rStyle w:val="HideTWBExt"/>
                <w:noProof w:val="0"/>
                <w:vanish w:val="0"/>
                <w:color w:val="auto"/>
              </w:rPr>
            </w:pPr>
            <w:r w:rsidRPr="000E41CE">
              <w:t>2019-2024</w:t>
            </w:r>
          </w:p>
        </w:tc>
        <w:tc>
          <w:tcPr>
            <w:tcW w:w="2268" w:type="dxa"/>
            <w:shd w:val="clear" w:color="auto" w:fill="auto"/>
          </w:tcPr>
          <w:p w:rsidR="00751A4A" w:rsidRPr="000E41CE" w:rsidRDefault="00187494" w:rsidP="0010095E">
            <w:pPr>
              <w:pStyle w:val="EPLogo"/>
            </w:pPr>
            <w:r w:rsidRPr="000E41C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41CE" w:rsidRDefault="00D058B8" w:rsidP="004C5D52">
      <w:pPr>
        <w:pStyle w:val="LineTop"/>
      </w:pPr>
    </w:p>
    <w:p w:rsidR="00680577" w:rsidRPr="000E41CE" w:rsidRDefault="004A79B9" w:rsidP="00680577">
      <w:pPr>
        <w:pStyle w:val="EPBodyTA1"/>
      </w:pPr>
      <w:r w:rsidRPr="000E41CE">
        <w:t>PRIIMTI TEKSTAI</w:t>
      </w:r>
    </w:p>
    <w:p w:rsidR="00D058B8" w:rsidRPr="000E41CE" w:rsidRDefault="00D058B8" w:rsidP="00D058B8">
      <w:pPr>
        <w:pStyle w:val="LineBottom"/>
      </w:pPr>
    </w:p>
    <w:p w:rsidR="004A79B9" w:rsidRPr="000E41CE" w:rsidRDefault="004A79B9" w:rsidP="004A79B9">
      <w:pPr>
        <w:pStyle w:val="ATHeading1"/>
      </w:pPr>
      <w:bookmarkStart w:id="0" w:name="TANumber"/>
      <w:r w:rsidRPr="000E41CE">
        <w:t>P9_TA(2024)0</w:t>
      </w:r>
      <w:r w:rsidR="00B80798">
        <w:t>254</w:t>
      </w:r>
      <w:bookmarkEnd w:id="0"/>
    </w:p>
    <w:p w:rsidR="004A79B9" w:rsidRPr="000E41CE" w:rsidRDefault="004A79B9" w:rsidP="004A79B9">
      <w:pPr>
        <w:pStyle w:val="ATHeading2"/>
      </w:pPr>
      <w:bookmarkStart w:id="1" w:name="title"/>
      <w:r w:rsidRPr="000E41CE">
        <w:t>2022 m. biudžeto įvykdymo patvirtinimas: Europos Sąjungos teisėsaugos mokymo agentūra (CEPOL)</w:t>
      </w:r>
      <w:bookmarkEnd w:id="1"/>
    </w:p>
    <w:p w:rsidR="004A79B9" w:rsidRPr="000E41CE" w:rsidRDefault="004A79B9" w:rsidP="004A79B9">
      <w:pPr>
        <w:rPr>
          <w:i/>
          <w:vanish/>
        </w:rPr>
      </w:pPr>
      <w:r w:rsidRPr="000E41CE">
        <w:rPr>
          <w:i/>
        </w:rPr>
        <w:fldChar w:fldCharType="begin"/>
      </w:r>
      <w:r w:rsidRPr="000E41CE">
        <w:rPr>
          <w:i/>
        </w:rPr>
        <w:instrText xml:space="preserve"> TC"(</w:instrText>
      </w:r>
      <w:bookmarkStart w:id="2" w:name="DocNumber"/>
      <w:r w:rsidRPr="000E41CE">
        <w:rPr>
          <w:i/>
        </w:rPr>
        <w:instrText>A9-0098/2024</w:instrText>
      </w:r>
      <w:bookmarkEnd w:id="2"/>
      <w:r w:rsidRPr="000E41CE">
        <w:rPr>
          <w:i/>
        </w:rPr>
        <w:instrText xml:space="preserve"> - Pranešėjas: </w:instrText>
      </w:r>
      <w:proofErr w:type="spellStart"/>
      <w:r w:rsidRPr="000E41CE">
        <w:rPr>
          <w:i/>
        </w:rPr>
        <w:instrText>Petri</w:instrText>
      </w:r>
      <w:proofErr w:type="spellEnd"/>
      <w:r w:rsidRPr="000E41CE">
        <w:rPr>
          <w:i/>
        </w:rPr>
        <w:instrText xml:space="preserve"> </w:instrText>
      </w:r>
      <w:proofErr w:type="spellStart"/>
      <w:r w:rsidRPr="000E41CE">
        <w:rPr>
          <w:i/>
        </w:rPr>
        <w:instrText>Sarvamaa</w:instrText>
      </w:r>
      <w:proofErr w:type="spellEnd"/>
      <w:r w:rsidRPr="000E41CE">
        <w:rPr>
          <w:i/>
        </w:rPr>
        <w:instrText xml:space="preserve">)"\l3 \n&gt; \* MERGEFORMAT </w:instrText>
      </w:r>
      <w:r w:rsidRPr="000E41CE">
        <w:rPr>
          <w:i/>
        </w:rPr>
        <w:fldChar w:fldCharType="end"/>
      </w:r>
    </w:p>
    <w:p w:rsidR="004A79B9" w:rsidRPr="000E41CE" w:rsidRDefault="004A79B9" w:rsidP="004A79B9">
      <w:pPr>
        <w:rPr>
          <w:vanish/>
        </w:rPr>
      </w:pPr>
      <w:bookmarkStart w:id="3" w:name="Commission"/>
      <w:r w:rsidRPr="000E41CE">
        <w:rPr>
          <w:vanish/>
        </w:rPr>
        <w:t>Biudžeto kontrolės komitetas</w:t>
      </w:r>
      <w:bookmarkEnd w:id="3"/>
    </w:p>
    <w:p w:rsidR="004A79B9" w:rsidRPr="000E41CE" w:rsidRDefault="004A79B9" w:rsidP="004A79B9">
      <w:pPr>
        <w:rPr>
          <w:vanish/>
        </w:rPr>
      </w:pPr>
      <w:bookmarkStart w:id="4" w:name="PE"/>
      <w:r w:rsidRPr="000E41CE">
        <w:rPr>
          <w:vanish/>
        </w:rPr>
        <w:t>PE753.510</w:t>
      </w:r>
      <w:bookmarkEnd w:id="4"/>
    </w:p>
    <w:p w:rsidR="004A79B9" w:rsidRPr="000E41CE" w:rsidRDefault="00B25B48" w:rsidP="00B25B48">
      <w:pPr>
        <w:pStyle w:val="ATHeading3"/>
      </w:pPr>
      <w:bookmarkStart w:id="5" w:name="Sujet"/>
      <w:r>
        <w:t xml:space="preserve">1. 2024 m. balandžio 11 d. </w:t>
      </w:r>
      <w:r w:rsidR="004A79B9" w:rsidRPr="000E41CE">
        <w:t>Europos Parlamento sprendimas dėl Europos Sąjungos teisėsaugos mokymo agentūros (CEPOL) 2022 finansinių metų biudžeto įvykdymo patvirtinimo</w:t>
      </w:r>
      <w:bookmarkEnd w:id="5"/>
      <w:r w:rsidR="004A79B9" w:rsidRPr="000E41CE">
        <w:t xml:space="preserve"> </w:t>
      </w:r>
      <w:bookmarkStart w:id="6" w:name="References"/>
      <w:r w:rsidR="004A79B9" w:rsidRPr="000E41CE">
        <w:t>(2023/2144(DEC))</w:t>
      </w:r>
      <w:bookmarkEnd w:id="6"/>
    </w:p>
    <w:p w:rsidR="008D7634" w:rsidRPr="000E41CE" w:rsidRDefault="008D7634" w:rsidP="008D7634">
      <w:pPr>
        <w:pStyle w:val="EPComma"/>
      </w:pPr>
      <w:bookmarkStart w:id="7" w:name="TextBodyBegin"/>
      <w:bookmarkEnd w:id="7"/>
      <w:r w:rsidRPr="000E41CE">
        <w:rPr>
          <w:i/>
        </w:rPr>
        <w:t>Europos Parlamentas</w:t>
      </w:r>
      <w:r w:rsidRPr="000E41CE">
        <w:t>,</w:t>
      </w:r>
    </w:p>
    <w:p w:rsidR="008D7634" w:rsidRPr="000E41CE" w:rsidRDefault="008D7634" w:rsidP="008D7634">
      <w:pPr>
        <w:pStyle w:val="NormalHanging12a"/>
      </w:pPr>
      <w:r w:rsidRPr="000E41CE">
        <w:t>–</w:t>
      </w:r>
      <w:r w:rsidRPr="000E41CE">
        <w:tab/>
        <w:t>atsižvelgdamas į Europos Sąjungos teisėsaugos mokymo agentūros (CEPOL) 2022 finansinių metų galutines metines ataskaitas,</w:t>
      </w:r>
    </w:p>
    <w:p w:rsidR="008D7634" w:rsidRPr="000E41CE" w:rsidRDefault="008D7634" w:rsidP="008D7634">
      <w:pPr>
        <w:pStyle w:val="NormalHanging12a"/>
      </w:pPr>
      <w:r w:rsidRPr="000E41CE">
        <w:t>–</w:t>
      </w:r>
      <w:r w:rsidRPr="000E41CE">
        <w:tab/>
        <w:t>atsižvelgdamas į Audito Rūmų 2022 finansinių metų metinę ataskaitą dėl ES agentūrų kartu su agentūrų atsakymais</w:t>
      </w:r>
      <w:r w:rsidRPr="000E41CE">
        <w:rPr>
          <w:rStyle w:val="FootnoteReference"/>
        </w:rPr>
        <w:footnoteReference w:id="1"/>
      </w:r>
      <w:r w:rsidRPr="000E41CE">
        <w:t>,</w:t>
      </w:r>
    </w:p>
    <w:p w:rsidR="008D7634" w:rsidRPr="000E41CE" w:rsidRDefault="008D7634" w:rsidP="008D7634">
      <w:pPr>
        <w:pStyle w:val="NormalHanging12a"/>
      </w:pPr>
      <w:r w:rsidRPr="000E41CE">
        <w:t>–</w:t>
      </w:r>
      <w:r w:rsidRPr="000E41CE">
        <w:tab/>
        <w:t>atsižvelgdamas į Audito Rūmų pagal Sutarties dėl Europos Sąjungos veikimo 287 straipsnį pateiktą 2022 finansinių metų sąskaitų patikimumo ir pagal jas atliktų operacijų teisėtumo ir tvarkingumo patikinimo pareiškimą</w:t>
      </w:r>
      <w:r w:rsidRPr="000E41CE">
        <w:rPr>
          <w:rStyle w:val="FootnoteReference"/>
        </w:rPr>
        <w:footnoteReference w:id="2"/>
      </w:r>
      <w:r w:rsidRPr="000E41CE">
        <w:t>,</w:t>
      </w:r>
    </w:p>
    <w:p w:rsidR="008D7634" w:rsidRPr="000E41CE" w:rsidRDefault="008D7634" w:rsidP="008D7634">
      <w:pPr>
        <w:pStyle w:val="NormalHanging12a"/>
      </w:pPr>
      <w:r w:rsidRPr="000E41CE">
        <w:t>–</w:t>
      </w:r>
      <w:r w:rsidRPr="000E41CE">
        <w:tab/>
        <w:t xml:space="preserve">atsižvelgdamas į 2024 m. vasario 22 d. </w:t>
      </w:r>
      <w:r w:rsidR="00A95A97" w:rsidRPr="000E41CE">
        <w:t xml:space="preserve">Tarybos </w:t>
      </w:r>
      <w:r w:rsidRPr="000E41CE">
        <w:t>rekomendaciją dėl patvirtinimo, kad Agentūra įvykdė 2022 finansinių metų biudžetą (</w:t>
      </w:r>
      <w:r w:rsidR="00CE3F34" w:rsidRPr="00CE3F34">
        <w:t>06180</w:t>
      </w:r>
      <w:r w:rsidRPr="000E41CE">
        <w:t>/2024 – C9</w:t>
      </w:r>
      <w:r w:rsidRPr="000E41CE">
        <w:noBreakHyphen/>
      </w:r>
      <w:r w:rsidR="00CE3F34" w:rsidRPr="00CE3F34">
        <w:t>0082</w:t>
      </w:r>
      <w:r w:rsidRPr="000E41CE">
        <w:t>/2024),</w:t>
      </w:r>
    </w:p>
    <w:p w:rsidR="008D7634" w:rsidRPr="000E41CE" w:rsidRDefault="008D7634" w:rsidP="008D7634">
      <w:pPr>
        <w:pStyle w:val="NormalHanging12a"/>
      </w:pPr>
      <w:r w:rsidRPr="000E41CE">
        <w:t>–</w:t>
      </w:r>
      <w:r w:rsidRPr="000E41CE">
        <w:tab/>
        <w:t>atsižvelgdamas į Sutarties dėl Europos Sąjungos veikimo 319 straipsnį,</w:t>
      </w:r>
    </w:p>
    <w:p w:rsidR="008D7634" w:rsidRPr="000E41CE" w:rsidRDefault="008D7634" w:rsidP="008D7634">
      <w:pPr>
        <w:pStyle w:val="NormalHanging12a"/>
      </w:pPr>
      <w:r w:rsidRPr="000E41CE">
        <w:t>–</w:t>
      </w:r>
      <w:r w:rsidRPr="000E41CE">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E41CE">
        <w:rPr>
          <w:rStyle w:val="FootnoteReference"/>
        </w:rPr>
        <w:footnoteReference w:id="3"/>
      </w:r>
      <w:r w:rsidRPr="000E41CE">
        <w:t>, ypač į jo 70 straipsnį,</w:t>
      </w:r>
    </w:p>
    <w:p w:rsidR="008D7634" w:rsidRPr="000E41CE" w:rsidRDefault="008D7634" w:rsidP="008D7634">
      <w:pPr>
        <w:pStyle w:val="NormalHanging12a"/>
      </w:pPr>
      <w:r w:rsidRPr="000E41CE">
        <w:t>–</w:t>
      </w:r>
      <w:r w:rsidRPr="000E41CE">
        <w:tab/>
        <w:t xml:space="preserve">atsižvelgdamas į 2015 m. lapkričio 25 d. Europos Parlamento ir Tarybos reglamentą (ES) 2015/2219 dėl Europos Sąjungos teisėsaugos mokymo agentūros (CEPOL) ir </w:t>
      </w:r>
      <w:r w:rsidRPr="000E41CE">
        <w:lastRenderedPageBreak/>
        <w:t>kuriuo pakeičiamas ir panaikinamas Tarybos sprendimas 2005/681/TVR</w:t>
      </w:r>
      <w:r w:rsidRPr="000E41CE">
        <w:rPr>
          <w:rStyle w:val="FootnoteReference"/>
        </w:rPr>
        <w:footnoteReference w:id="4"/>
      </w:r>
      <w:r w:rsidRPr="000E41CE">
        <w:t>, ypač į jo 20 straipsnį,</w:t>
      </w:r>
    </w:p>
    <w:p w:rsidR="008D7634" w:rsidRPr="000E41CE" w:rsidRDefault="008D7634" w:rsidP="008D7634">
      <w:pPr>
        <w:pStyle w:val="NormalHanging12a"/>
      </w:pPr>
      <w:r w:rsidRPr="000E41CE">
        <w:t>–</w:t>
      </w:r>
      <w:r w:rsidRPr="000E41CE">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E41CE">
        <w:rPr>
          <w:rStyle w:val="FootnoteReference"/>
        </w:rPr>
        <w:footnoteReference w:id="5"/>
      </w:r>
      <w:r w:rsidRPr="000E41CE">
        <w:t>, ypač į jo 105 straipsnį,</w:t>
      </w:r>
    </w:p>
    <w:p w:rsidR="008D7634" w:rsidRPr="000E41CE" w:rsidRDefault="008D7634" w:rsidP="008D7634">
      <w:pPr>
        <w:pStyle w:val="NormalHanging12a"/>
      </w:pPr>
      <w:r w:rsidRPr="000E41CE">
        <w:t>–</w:t>
      </w:r>
      <w:r w:rsidRPr="000E41CE">
        <w:tab/>
        <w:t>atsižvelgdamas į Darbo tvarkos taisyklių 100 straipsnį ir V priedą,</w:t>
      </w:r>
    </w:p>
    <w:p w:rsidR="008D7634" w:rsidRPr="000E41CE" w:rsidRDefault="008D7634" w:rsidP="008D7634">
      <w:pPr>
        <w:pStyle w:val="NormalHanging12a"/>
      </w:pPr>
      <w:r w:rsidRPr="000E41CE">
        <w:t>–</w:t>
      </w:r>
      <w:r w:rsidRPr="000E41CE">
        <w:tab/>
        <w:t>atsižvelgdamas į Piliečių laisvių, teisingumo ir vidaus reikalų komiteto nuomonę,</w:t>
      </w:r>
    </w:p>
    <w:p w:rsidR="008D7634" w:rsidRPr="000E41CE" w:rsidRDefault="008D7634" w:rsidP="008D7634">
      <w:pPr>
        <w:pStyle w:val="NormalHanging12a"/>
      </w:pPr>
      <w:r w:rsidRPr="000E41CE">
        <w:t>–</w:t>
      </w:r>
      <w:r w:rsidRPr="000E41CE">
        <w:tab/>
        <w:t>atsižvelgdamas į Biudžeto kontrolės komiteto pranešimą (A9</w:t>
      </w:r>
      <w:r w:rsidRPr="000E41CE">
        <w:noBreakHyphen/>
        <w:t>0098/2024),</w:t>
      </w:r>
    </w:p>
    <w:p w:rsidR="008D7634" w:rsidRPr="000E41CE" w:rsidRDefault="008D7634" w:rsidP="008D7634">
      <w:pPr>
        <w:pStyle w:val="NormalHanging12a"/>
      </w:pPr>
      <w:r w:rsidRPr="000E41CE">
        <w:t>1.</w:t>
      </w:r>
      <w:r w:rsidRPr="000E41CE">
        <w:tab/>
        <w:t>patvirtina Europos Sąjungos teisėsaugos mokymo agentūros (CEPOL) vykdomajai direktorei, kad Agentūros 2022 finansinių metų biudžetas įvykdytas;</w:t>
      </w:r>
    </w:p>
    <w:p w:rsidR="008D7634" w:rsidRPr="000E41CE" w:rsidRDefault="008D7634" w:rsidP="008D7634">
      <w:pPr>
        <w:pStyle w:val="NormalHanging12a"/>
      </w:pPr>
      <w:r w:rsidRPr="000E41CE">
        <w:t>2.</w:t>
      </w:r>
      <w:r w:rsidRPr="000E41CE">
        <w:tab/>
        <w:t>išdėsto savo pastabas toliau pateikiamoje rezoliucijoje;</w:t>
      </w:r>
    </w:p>
    <w:p w:rsidR="008D7634" w:rsidRPr="000E41CE" w:rsidRDefault="008D7634" w:rsidP="008D7634">
      <w:pPr>
        <w:pStyle w:val="NormalHanging12a"/>
      </w:pPr>
      <w:r w:rsidRPr="000E41CE">
        <w:t>3.</w:t>
      </w:r>
      <w:r w:rsidRPr="000E41CE">
        <w:tab/>
        <w:t xml:space="preserve">paveda Pirmininkei perduoti šį sprendimą ir rezoliuciją, kuri yra neatskiriama jo dalis, Europos Sąjungos teisėsaugos mokymo agentūros (CEPOL) vykdomajai direktorei, Tarybai, Komisijai ir Audito Rūmams ir pasirūpinti, kad jie būtų paskelbti </w:t>
      </w:r>
      <w:r w:rsidRPr="000E41CE">
        <w:rPr>
          <w:i/>
        </w:rPr>
        <w:t>Europos Sąjungos oficialiajame leidinyje</w:t>
      </w:r>
      <w:r w:rsidRPr="000E41CE">
        <w:t xml:space="preserve"> (L serijoje).</w:t>
      </w:r>
    </w:p>
    <w:p w:rsidR="008D7634" w:rsidRPr="000E41CE" w:rsidRDefault="008D7634" w:rsidP="008D7634"/>
    <w:p w:rsidR="008D7634" w:rsidRPr="000E41CE" w:rsidRDefault="008D7634" w:rsidP="008D7634">
      <w:pPr>
        <w:widowControl/>
        <w:rPr>
          <w:rFonts w:ascii="Arial" w:hAnsi="Arial" w:cs="Arial"/>
          <w:b/>
        </w:rPr>
        <w:sectPr w:rsidR="008D7634" w:rsidRPr="000E41CE" w:rsidSect="000E41C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D7634" w:rsidRPr="000E41CE" w:rsidRDefault="00B25B48" w:rsidP="00B25B48">
      <w:pPr>
        <w:pStyle w:val="ATHeading3"/>
      </w:pPr>
      <w:r>
        <w:lastRenderedPageBreak/>
        <w:t xml:space="preserve">2. 2024 m. balandžio 11 d. </w:t>
      </w:r>
      <w:r w:rsidRPr="000E41CE">
        <w:t xml:space="preserve">Europos Parlamento sprendimas </w:t>
      </w:r>
      <w:r w:rsidR="008D7634" w:rsidRPr="000E41CE">
        <w:t>dėl Europos Sąjungos teisėsaugos mokymo agentūros (CEPOL) 2022 finansinių metų sąskaitų uždarymo</w:t>
      </w:r>
      <w:r>
        <w:t xml:space="preserve"> </w:t>
      </w:r>
      <w:r w:rsidR="008D7634" w:rsidRPr="000E41CE">
        <w:t>(2023/2144(DEC))</w:t>
      </w:r>
    </w:p>
    <w:p w:rsidR="008D7634" w:rsidRPr="000E41CE" w:rsidRDefault="008D7634" w:rsidP="008D7634">
      <w:pPr>
        <w:pStyle w:val="EPComma"/>
      </w:pPr>
      <w:r w:rsidRPr="000E41CE">
        <w:rPr>
          <w:i/>
        </w:rPr>
        <w:t>Europos Parlamentas</w:t>
      </w:r>
      <w:r w:rsidRPr="000E41CE">
        <w:t>,</w:t>
      </w:r>
    </w:p>
    <w:p w:rsidR="008D7634" w:rsidRPr="000E41CE" w:rsidRDefault="008D7634" w:rsidP="008D7634">
      <w:pPr>
        <w:pStyle w:val="NormalHanging12a"/>
      </w:pPr>
      <w:r w:rsidRPr="000E41CE">
        <w:t>–</w:t>
      </w:r>
      <w:r w:rsidRPr="000E41CE">
        <w:tab/>
        <w:t>atsižvelgdamas į Europos Sąjungos teisėsaugos mokymo agentūros (CEPOL) 2022 finansinių metų galutines metines ataskaitas,</w:t>
      </w:r>
    </w:p>
    <w:p w:rsidR="008D7634" w:rsidRPr="000E41CE" w:rsidRDefault="008D7634" w:rsidP="008D7634">
      <w:pPr>
        <w:pStyle w:val="NormalHanging12a"/>
      </w:pPr>
      <w:r w:rsidRPr="000E41CE">
        <w:t>–</w:t>
      </w:r>
      <w:r w:rsidRPr="000E41CE">
        <w:tab/>
        <w:t>atsižvelgdamas į Audito Rūmų 2022 finansinių metų metinę ataskaitą dėl ES agentūrų kartu su agentūrų atsakymais</w:t>
      </w:r>
      <w:r w:rsidRPr="000E41CE">
        <w:rPr>
          <w:rStyle w:val="FootnoteReference"/>
        </w:rPr>
        <w:footnoteReference w:id="6"/>
      </w:r>
      <w:r w:rsidRPr="000E41CE">
        <w:t>,</w:t>
      </w:r>
    </w:p>
    <w:p w:rsidR="008D7634" w:rsidRPr="000E41CE" w:rsidRDefault="008D7634" w:rsidP="008D7634">
      <w:pPr>
        <w:pStyle w:val="NormalHanging12a"/>
      </w:pPr>
      <w:r w:rsidRPr="000E41CE">
        <w:t>–</w:t>
      </w:r>
      <w:r w:rsidRPr="000E41CE">
        <w:tab/>
        <w:t>atsižvelgdamas į Audito Rūmų pagal Sutarties dėl Europos Sąjungos veikimo 287 straipsnį pateiktą 2022 finansinių metų sąskaitų patikimumo ir pagal jas atliktų operacijų teisėtumo ir tvarkingumo patikinimo pareiškimą</w:t>
      </w:r>
      <w:r w:rsidRPr="000E41CE">
        <w:rPr>
          <w:rStyle w:val="FootnoteReference"/>
        </w:rPr>
        <w:footnoteReference w:id="7"/>
      </w:r>
      <w:r w:rsidRPr="000E41CE">
        <w:t>,</w:t>
      </w:r>
    </w:p>
    <w:p w:rsidR="008D7634" w:rsidRPr="000E41CE" w:rsidRDefault="008D7634" w:rsidP="008D7634">
      <w:pPr>
        <w:pStyle w:val="NormalHanging12a"/>
      </w:pPr>
      <w:r w:rsidRPr="000E41CE">
        <w:t>–</w:t>
      </w:r>
      <w:r w:rsidRPr="000E41CE">
        <w:tab/>
        <w:t xml:space="preserve">atsižvelgdamas į 2024 m. vasario 22 d. </w:t>
      </w:r>
      <w:r w:rsidR="00A95A97" w:rsidRPr="000E41CE">
        <w:t xml:space="preserve">Tarybos </w:t>
      </w:r>
      <w:r w:rsidRPr="000E41CE">
        <w:t>rekomendaciją dėl patvirtinimo, kad Agentūra įvykdė 2022 finansinių metų biudžetą (</w:t>
      </w:r>
      <w:r w:rsidR="00CE3F34" w:rsidRPr="00CE3F34">
        <w:t>06180</w:t>
      </w:r>
      <w:r w:rsidRPr="000E41CE">
        <w:t>/2024 – C9</w:t>
      </w:r>
      <w:r w:rsidRPr="000E41CE">
        <w:noBreakHyphen/>
      </w:r>
      <w:r w:rsidR="00CE3F34" w:rsidRPr="00CE3F34">
        <w:t>0082</w:t>
      </w:r>
      <w:r w:rsidRPr="000E41CE">
        <w:t>/2024),</w:t>
      </w:r>
    </w:p>
    <w:p w:rsidR="008D7634" w:rsidRPr="000E41CE" w:rsidRDefault="008D7634" w:rsidP="008D7634">
      <w:pPr>
        <w:pStyle w:val="NormalHanging12a"/>
      </w:pPr>
      <w:r w:rsidRPr="000E41CE">
        <w:t>–</w:t>
      </w:r>
      <w:r w:rsidRPr="000E41CE">
        <w:tab/>
        <w:t>atsižvelgdamas į Sutarties dėl Europos Sąjungos veikimo 319 straipsnį,</w:t>
      </w:r>
    </w:p>
    <w:p w:rsidR="008D7634" w:rsidRPr="000E41CE" w:rsidRDefault="008D7634" w:rsidP="008D7634">
      <w:pPr>
        <w:pStyle w:val="NormalHanging12a"/>
      </w:pPr>
      <w:r w:rsidRPr="000E41CE">
        <w:t>–</w:t>
      </w:r>
      <w:r w:rsidRPr="000E41CE">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E41CE">
        <w:rPr>
          <w:rStyle w:val="FootnoteReference"/>
        </w:rPr>
        <w:footnoteReference w:id="8"/>
      </w:r>
      <w:r w:rsidRPr="000E41CE">
        <w:t>, ypač į jo 70 straipsnį,</w:t>
      </w:r>
    </w:p>
    <w:p w:rsidR="008D7634" w:rsidRPr="000E41CE" w:rsidRDefault="008D7634" w:rsidP="008D7634">
      <w:pPr>
        <w:pStyle w:val="NormalHanging12a"/>
      </w:pPr>
      <w:r w:rsidRPr="000E41CE">
        <w:t>–</w:t>
      </w:r>
      <w:r w:rsidRPr="000E41CE">
        <w:tab/>
        <w:t>atsižvelgdamas į 2015 m. lapkričio 25 d. Europos Parlamento ir Tarybos reglamentą (ES) 2015/2219 dėl Europos Sąjungos teisėsaugos mokymo agentūros (CEPOL) ir kuriuo pakeičiamas ir panaikinamas Tarybos sprendimas 2005/681/TVR</w:t>
      </w:r>
      <w:r w:rsidRPr="000E41CE">
        <w:rPr>
          <w:rStyle w:val="FootnoteReference"/>
        </w:rPr>
        <w:footnoteReference w:id="9"/>
      </w:r>
      <w:r w:rsidRPr="000E41CE">
        <w:t>, ypač į jo 20 straipsnį,</w:t>
      </w:r>
    </w:p>
    <w:p w:rsidR="008D7634" w:rsidRPr="000E41CE" w:rsidRDefault="008D7634" w:rsidP="008D7634">
      <w:pPr>
        <w:pStyle w:val="NormalHanging12a"/>
      </w:pPr>
      <w:r w:rsidRPr="000E41CE">
        <w:t>–</w:t>
      </w:r>
      <w:r w:rsidRPr="000E41CE">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E41CE">
        <w:rPr>
          <w:rStyle w:val="FootnoteReference"/>
        </w:rPr>
        <w:footnoteReference w:id="10"/>
      </w:r>
      <w:r w:rsidRPr="000E41CE">
        <w:t>, ypač į jo 105 straipsnį,</w:t>
      </w:r>
    </w:p>
    <w:p w:rsidR="008D7634" w:rsidRPr="000E41CE" w:rsidRDefault="008D7634" w:rsidP="008D7634">
      <w:pPr>
        <w:pStyle w:val="NormalHanging12a"/>
      </w:pPr>
      <w:r w:rsidRPr="000E41CE">
        <w:t>–</w:t>
      </w:r>
      <w:r w:rsidRPr="000E41CE">
        <w:tab/>
        <w:t>atsižvelgdamas į Darbo tvarkos taisyklių 100 straipsnį ir V priedą,</w:t>
      </w:r>
    </w:p>
    <w:p w:rsidR="008D7634" w:rsidRPr="000E41CE" w:rsidRDefault="008D7634" w:rsidP="008D7634">
      <w:pPr>
        <w:pStyle w:val="NormalHanging12a"/>
      </w:pPr>
      <w:r w:rsidRPr="000E41CE">
        <w:t>–</w:t>
      </w:r>
      <w:r w:rsidRPr="000E41CE">
        <w:tab/>
        <w:t>atsižvelgdamas į Piliečių laisvių, teisingumo ir vidaus reikalų komiteto nuomonę,</w:t>
      </w:r>
    </w:p>
    <w:p w:rsidR="008D7634" w:rsidRPr="000E41CE" w:rsidRDefault="008D7634" w:rsidP="008D7634">
      <w:pPr>
        <w:pStyle w:val="NormalHanging12a"/>
      </w:pPr>
      <w:r w:rsidRPr="000E41CE">
        <w:t>–</w:t>
      </w:r>
      <w:r w:rsidRPr="000E41CE">
        <w:tab/>
        <w:t>atsižvelgdamas į Biudžeto kontrolės komiteto pranešimą (A9</w:t>
      </w:r>
      <w:r w:rsidRPr="000E41CE">
        <w:noBreakHyphen/>
        <w:t>0098/2024),</w:t>
      </w:r>
    </w:p>
    <w:p w:rsidR="008D7634" w:rsidRPr="000E41CE" w:rsidRDefault="008D7634" w:rsidP="008D7634">
      <w:pPr>
        <w:pStyle w:val="NormalHanging12a"/>
      </w:pPr>
      <w:r w:rsidRPr="000E41CE">
        <w:t>1.</w:t>
      </w:r>
      <w:r w:rsidRPr="000E41CE">
        <w:tab/>
        <w:t xml:space="preserve">pritaria Europos Sąjungos teisėsaugos mokymo agentūros (CEPOL) 2022 finansinių </w:t>
      </w:r>
      <w:r w:rsidRPr="000E41CE">
        <w:lastRenderedPageBreak/>
        <w:t>metų sąskaitų uždarymui;</w:t>
      </w:r>
    </w:p>
    <w:p w:rsidR="008D7634" w:rsidRPr="000E41CE" w:rsidRDefault="008D7634" w:rsidP="008D7634">
      <w:pPr>
        <w:pStyle w:val="NormalHanging12a"/>
      </w:pPr>
      <w:r w:rsidRPr="000E41CE">
        <w:t>2.</w:t>
      </w:r>
      <w:r w:rsidRPr="000E41CE">
        <w:tab/>
        <w:t xml:space="preserve">paveda Pirmininkei perduoti šį sprendimą Europos Sąjungos teisėsaugos mokymo agentūros (CEPOL) vykdomajai direktorei, Tarybai, Komisijai ir Audito Rūmams ir pasirūpinti, kad jis būtų paskelbtas </w:t>
      </w:r>
      <w:r w:rsidRPr="000E41CE">
        <w:rPr>
          <w:i/>
        </w:rPr>
        <w:t>Europos Sąjungos oficialiajame leidinyje</w:t>
      </w:r>
      <w:r w:rsidRPr="000E41CE">
        <w:t xml:space="preserve"> (L serijoje).</w:t>
      </w:r>
    </w:p>
    <w:p w:rsidR="008D7634" w:rsidRPr="000E41CE" w:rsidRDefault="008D7634" w:rsidP="008D7634"/>
    <w:p w:rsidR="008D7634" w:rsidRPr="000E41CE" w:rsidRDefault="008D7634" w:rsidP="008D7634">
      <w:pPr>
        <w:widowControl/>
        <w:rPr>
          <w:rFonts w:ascii="Arial" w:hAnsi="Arial" w:cs="Arial"/>
          <w:b/>
        </w:rPr>
        <w:sectPr w:rsidR="008D7634" w:rsidRPr="000E41CE" w:rsidSect="000E41CE">
          <w:footnotePr>
            <w:numRestart w:val="eachPage"/>
          </w:footnotePr>
          <w:endnotePr>
            <w:numFmt w:val="decimal"/>
          </w:endnotePr>
          <w:pgSz w:w="11906" w:h="16838"/>
          <w:pgMar w:top="1134" w:right="1418" w:bottom="1418" w:left="1418" w:header="567" w:footer="567" w:gutter="0"/>
          <w:cols w:space="720"/>
          <w:docGrid w:linePitch="326"/>
        </w:sectPr>
      </w:pPr>
    </w:p>
    <w:p w:rsidR="008D7634" w:rsidRPr="000E41CE" w:rsidRDefault="00B25B48" w:rsidP="00B25B48">
      <w:pPr>
        <w:pStyle w:val="ATHeading3"/>
      </w:pPr>
      <w:r>
        <w:lastRenderedPageBreak/>
        <w:t xml:space="preserve">3. 2024 m. balandžio 11 d. </w:t>
      </w:r>
      <w:r w:rsidRPr="000E41CE">
        <w:t xml:space="preserve">Europos Parlamento </w:t>
      </w:r>
      <w:r>
        <w:t>rezoliucija</w:t>
      </w:r>
      <w:r w:rsidRPr="000E41CE">
        <w:t xml:space="preserve"> </w:t>
      </w:r>
      <w:r w:rsidR="008D7634" w:rsidRPr="000E41CE">
        <w:t>su pastabomis, sudarančiomis neatskiriamą sprendimo dėl Europos Sąjungos teisėsaugos mokymo agentūros (CEPOL) 2022 finansinių metų biudžeto įvykdymo patvirtinimo dalį</w:t>
      </w:r>
      <w:r>
        <w:t xml:space="preserve"> </w:t>
      </w:r>
      <w:r w:rsidR="008D7634" w:rsidRPr="000E41CE">
        <w:t>(2023/2144(DEC))</w:t>
      </w:r>
    </w:p>
    <w:p w:rsidR="008D7634" w:rsidRPr="000E41CE" w:rsidRDefault="008D7634" w:rsidP="008D7634">
      <w:pPr>
        <w:pStyle w:val="EPComma"/>
      </w:pPr>
      <w:r w:rsidRPr="000E41CE">
        <w:rPr>
          <w:i/>
        </w:rPr>
        <w:t>Europos Parlamentas</w:t>
      </w:r>
      <w:r w:rsidRPr="000E41CE">
        <w:t>,</w:t>
      </w:r>
    </w:p>
    <w:p w:rsidR="008D7634" w:rsidRPr="000E41CE" w:rsidRDefault="008D7634" w:rsidP="008D7634">
      <w:pPr>
        <w:pStyle w:val="NormalHanging12a"/>
      </w:pPr>
      <w:r w:rsidRPr="000E41CE">
        <w:t>–</w:t>
      </w:r>
      <w:r w:rsidRPr="000E41CE">
        <w:tab/>
        <w:t>atsižvelgdamas į savo sprendimą dėl Europos Sąjungos teisėsaugos mokymo agentūros (CEPOL) 2022 finansinių metų biudžeto įvykdymo patvirtinimo,</w:t>
      </w:r>
    </w:p>
    <w:p w:rsidR="008D7634" w:rsidRPr="000E41CE" w:rsidRDefault="008D7634" w:rsidP="008D7634">
      <w:pPr>
        <w:pStyle w:val="NormalHanging12a"/>
      </w:pPr>
      <w:r w:rsidRPr="000E41CE">
        <w:t>–</w:t>
      </w:r>
      <w:r w:rsidRPr="000E41CE">
        <w:tab/>
        <w:t>atsižvelgdamas į Darbo tvarkos taisyklių 100 straipsnį ir V priedą,</w:t>
      </w:r>
    </w:p>
    <w:p w:rsidR="008D7634" w:rsidRPr="000E41CE" w:rsidRDefault="008D7634" w:rsidP="008D7634">
      <w:pPr>
        <w:pStyle w:val="NormalHanging12a"/>
      </w:pPr>
      <w:r w:rsidRPr="000E41CE">
        <w:t>–</w:t>
      </w:r>
      <w:r w:rsidRPr="000E41CE">
        <w:tab/>
        <w:t>atsižvelgdamas į Piliečių laisvių, teisingumo ir vidaus reikalų komiteto nuomonę,</w:t>
      </w:r>
    </w:p>
    <w:p w:rsidR="008D7634" w:rsidRPr="000E41CE" w:rsidRDefault="008D7634" w:rsidP="008D7634">
      <w:pPr>
        <w:pStyle w:val="NormalHanging12a"/>
      </w:pPr>
      <w:r w:rsidRPr="000E41CE">
        <w:t>–</w:t>
      </w:r>
      <w:r w:rsidRPr="000E41CE">
        <w:tab/>
        <w:t>atsižvelgdamas į Biudžeto kontrolės komiteto pranešimą (A9</w:t>
      </w:r>
      <w:r w:rsidRPr="000E41CE">
        <w:noBreakHyphen/>
        <w:t>0098/2024),</w:t>
      </w:r>
    </w:p>
    <w:p w:rsidR="008D7634" w:rsidRPr="000E41CE" w:rsidRDefault="008D7634" w:rsidP="008D7634">
      <w:pPr>
        <w:pStyle w:val="ListParagraph"/>
        <w:widowControl w:val="0"/>
        <w:spacing w:after="240"/>
        <w:ind w:left="567" w:hanging="567"/>
        <w:contextualSpacing w:val="0"/>
        <w:jc w:val="left"/>
        <w:rPr>
          <w:rFonts w:eastAsia="Times New Roman"/>
        </w:rPr>
      </w:pPr>
      <w:r w:rsidRPr="000E41CE">
        <w:t>A.</w:t>
      </w:r>
      <w:r w:rsidRPr="000E41CE">
        <w:tab/>
        <w:t>kadangi, remiantis Europos Sąjungos teisėsaugos mokymo agentūros (CEPOL, toliau – Agentūra) pajamų ir išlaidų ataskaita</w:t>
      </w:r>
      <w:r w:rsidRPr="000E41CE">
        <w:rPr>
          <w:rStyle w:val="FootnoteReference"/>
          <w:rFonts w:eastAsia="Times New Roman"/>
          <w:lang w:eastAsia="en-GB"/>
        </w:rPr>
        <w:footnoteReference w:id="11"/>
      </w:r>
      <w:r w:rsidRPr="000E41CE">
        <w:t>, galutinis jos 2022 finansinių metų biudžetas sudarė 28 295 362 EUR, t. y. buvo 5,82 proc. mažesnis nei 2021 m., kadangi Agentūra finansuojama Sąjungos įnašo ir išorės asignuotųjų pajamų konkretiems projektams lėšomis;</w:t>
      </w:r>
    </w:p>
    <w:p w:rsidR="008D7634" w:rsidRPr="000E41CE" w:rsidRDefault="008D7634" w:rsidP="008D7634">
      <w:pPr>
        <w:spacing w:after="240"/>
        <w:ind w:left="567" w:hanging="567"/>
        <w:rPr>
          <w:szCs w:val="24"/>
        </w:rPr>
      </w:pPr>
      <w:r w:rsidRPr="000E41CE">
        <w:t>B.</w:t>
      </w:r>
      <w:r w:rsidRPr="000E41CE">
        <w:tab/>
        <w:t xml:space="preserve">kadangi Audito Rūmai savo ataskaitoje dėl Agentūros 2022 finansinių metų metinių ataskaitų (toliau – Audito Rūmų ataskaita) nurodo gavę pagrįstą patikinimą, kad Agentūros metinės ataskaitos yra patikimos ir kad jose atspindimos operacijos visais reikšmingais aspektais yra teisėtos ir tvarkingos; kadangi Audito Rūmai nustatė iš viso 4,2 mln. EUR nepagrįstai išmokėtų lėšų, iš kurių 4,1 mln. EUR susidarė dėl 359 mokėjimų pagal dvi preliminariąsias sutartis, įvykdytas pagal prašymus dėl paslaugų, nusiųstus personalo narių, neturėjusių įgaliojimų prisiimti teisinių įsipareigojimų Agentūros vardu, ir 152 655 EUR sudarė 2022 m. pagal preliminariąją sutartį atlikti mokėjimai, kurių dalies išmokėtų sumų nebuvo įmanoma susieti su suteiktomis paslaugomis, ir tai sudarė iš viso 13,5 proc. 2022 m. turimų mokėjimų asignavimų, taigi, viršijo auditui nustatytą reikšmingumo ribą, todėl buvo priimta sąlyginė nuomonė dėl finansinėse ataskaitose atspindimų mokėjimų teisėtumo ir tvarkingumo; kadangi, išskyrus tuos nuostatų neatitinkančius </w:t>
      </w:r>
      <w:proofErr w:type="spellStart"/>
      <w:r w:rsidRPr="000E41CE">
        <w:t>mokėjimus</w:t>
      </w:r>
      <w:proofErr w:type="spellEnd"/>
      <w:r w:rsidRPr="000E41CE">
        <w:t xml:space="preserve">, Audito Rūmai daro išvadą, kad atspindimos operacijos, susijusios su 2022 m. gruodžio 31 d. pasibaigusių metų </w:t>
      </w:r>
      <w:proofErr w:type="spellStart"/>
      <w:r w:rsidRPr="000E41CE">
        <w:t>mokėjimais</w:t>
      </w:r>
      <w:proofErr w:type="spellEnd"/>
      <w:r w:rsidRPr="000E41CE">
        <w:t>, visais reikšmingais aspektais yra teisėtos ir tvarkingos;</w:t>
      </w:r>
    </w:p>
    <w:p w:rsidR="008D7634" w:rsidRPr="000E41CE" w:rsidRDefault="008D7634" w:rsidP="008D7634">
      <w:pPr>
        <w:spacing w:after="240"/>
        <w:ind w:left="567" w:hanging="567"/>
        <w:rPr>
          <w:b/>
          <w:i/>
          <w:szCs w:val="24"/>
        </w:rPr>
      </w:pPr>
      <w:r w:rsidRPr="000E41CE">
        <w:rPr>
          <w:b/>
          <w:i/>
        </w:rPr>
        <w:t>Biudžeto ir finansų valdymas</w:t>
      </w:r>
    </w:p>
    <w:p w:rsidR="008D7634" w:rsidRPr="000E41CE" w:rsidRDefault="008D7634" w:rsidP="008D7634">
      <w:pPr>
        <w:spacing w:after="240"/>
        <w:ind w:left="567" w:hanging="567"/>
        <w:rPr>
          <w:szCs w:val="24"/>
        </w:rPr>
      </w:pPr>
      <w:r w:rsidRPr="000E41CE">
        <w:t>1.</w:t>
      </w:r>
      <w:r w:rsidRPr="000E41CE">
        <w:rPr>
          <w:color w:val="FFFFFF" w:themeColor="background1"/>
        </w:rPr>
        <w:tab/>
      </w:r>
      <w:r w:rsidRPr="000E41CE">
        <w:t xml:space="preserve">su džiaugsmu pažymi, kad dėl 2022 finansiniais metais vykdytos biudžeto stebėsenos biudžeto įvykdymo lygis buvo 100 proc., t. y. 3,21 proc. didesnis, palyginti su 2021 m.; pažymi, kad mokėjimų asignavimų panaudojimo lygis siekė 84,66 proc., taigi, palyginti su 2021 m., jis padidėjo 12,93 proc.; be to, pažymi, kad 1,6 mln. EUR, t. y. 15 proc. 2022 m. įsipareigojimų, perkelta į 2023 m.; pažymi, kad Sąjungos išorės pagalbos fondų, skirtų padėti trečiosioms valstybėms stiprinti savo </w:t>
      </w:r>
      <w:proofErr w:type="spellStart"/>
      <w:r w:rsidRPr="000E41CE">
        <w:t>pajėgumus</w:t>
      </w:r>
      <w:proofErr w:type="spellEnd"/>
      <w:r w:rsidRPr="000E41CE">
        <w:t xml:space="preserve"> atitinkamose teisėsaugos politikos srityse, biudžeto įvykdymo lygis iki 2022 m. pabaigos pasiekė </w:t>
      </w:r>
      <w:r w:rsidRPr="000E41CE">
        <w:lastRenderedPageBreak/>
        <w:t>48,5 proc.;</w:t>
      </w:r>
    </w:p>
    <w:p w:rsidR="008D7634" w:rsidRPr="000E41CE" w:rsidRDefault="008D7634" w:rsidP="008D7634">
      <w:pPr>
        <w:spacing w:after="240"/>
        <w:ind w:left="567" w:hanging="567"/>
        <w:rPr>
          <w:b/>
          <w:i/>
          <w:szCs w:val="24"/>
        </w:rPr>
      </w:pPr>
      <w:r w:rsidRPr="000E41CE">
        <w:rPr>
          <w:b/>
          <w:i/>
        </w:rPr>
        <w:t>Veikla</w:t>
      </w:r>
    </w:p>
    <w:p w:rsidR="008D7634" w:rsidRPr="000E41CE" w:rsidRDefault="008D7634" w:rsidP="008D7634">
      <w:pPr>
        <w:spacing w:after="240"/>
        <w:ind w:left="567" w:hanging="567"/>
        <w:rPr>
          <w:szCs w:val="24"/>
        </w:rPr>
      </w:pPr>
      <w:r w:rsidRPr="000E41CE">
        <w:t>2.</w:t>
      </w:r>
      <w:r w:rsidRPr="000E41CE">
        <w:tab/>
        <w:t>giria Agentūrą už tai, kad 2022 m. darbo programa įgyvendinta 100 proc., nes įgyvendinta 418 mokymo veiksmų, nors buvo planuota 417; pažymi, kad 2022 m. Agentūra toliau teikė mokymą teisėsaugos bendruomenei, kiek tik įmanoma, grįždama prie mokymo internetinėje aplinkoje; su džiaugsmu pažymi, kad klientų pasitenkinimo lygis 2022 m. tebebuvo aukštas: 97 proc. Agentūros mokymo veiklos dalyvių pareiškė esantys patenkinti arba labai patenkinti;</w:t>
      </w:r>
    </w:p>
    <w:p w:rsidR="008D7634" w:rsidRPr="000E41CE" w:rsidRDefault="008D7634" w:rsidP="008D7634">
      <w:pPr>
        <w:spacing w:after="240"/>
        <w:ind w:left="567" w:hanging="567"/>
        <w:rPr>
          <w:szCs w:val="24"/>
        </w:rPr>
      </w:pPr>
      <w:r w:rsidRPr="000E41CE">
        <w:t>3.</w:t>
      </w:r>
      <w:r w:rsidRPr="000E41CE">
        <w:tab/>
        <w:t>su malonumu pažymi, kad Agentūra naudoja konkrečias priemones, pavyzdžiui, pagrindinius veiklos rezultatų rodiklius (PVRR), savo veiklos teikiamai pridėtinei vertei įvertinti ir kitas priemones savo biudžeto valdymui pagerinti; pažymi, kad 2022 m. pasiekti beveik visi PVRR ir tik vieno iš jų tebebuvo siekiama iki galutinio 2023 m. pabaigos termino, t. y. PVRR dėl audito rekomendacijų, įvykdytų pagal sutartą veiksmų planą, procentinės dalies;</w:t>
      </w:r>
    </w:p>
    <w:p w:rsidR="008D7634" w:rsidRPr="000E41CE" w:rsidRDefault="008D7634" w:rsidP="008D7634">
      <w:pPr>
        <w:spacing w:after="240"/>
        <w:ind w:left="567" w:hanging="567"/>
        <w:rPr>
          <w:szCs w:val="24"/>
        </w:rPr>
      </w:pPr>
      <w:r w:rsidRPr="000E41CE">
        <w:t>4.</w:t>
      </w:r>
      <w:r w:rsidRPr="000E41CE">
        <w:tab/>
        <w:t xml:space="preserve">su džiaugsmu pažymi, kad 2022 m. Agentūros mokymo veikloje dalyvavo 43 838 asmenys, taigi, šios veiklos aprėptis kur kas didesnė, palyginti su planuotu dalyvių skaičiumi – 27 800; giria Agentūrą už tai, kad ji paskelbė antrąjį ES strateginių mokymo poreikių vertinimą, kuriame nustatyti teisėsaugos pareigūnų strateginiai ir mokymo poreikiai per kitą Europos kovos su nusikalstamumo grėsmėmis </w:t>
      </w:r>
      <w:proofErr w:type="spellStart"/>
      <w:r w:rsidRPr="000E41CE">
        <w:t>daugiadalykės</w:t>
      </w:r>
      <w:proofErr w:type="spellEnd"/>
      <w:r w:rsidRPr="000E41CE">
        <w:t xml:space="preserve"> platformos ciklą 2022–2025 m., ir pradėjo jį įgyvendinti; be to, pažymi, kad naujai paskirta Agentūros vykdomoji direktorė 2022 m. inicijavo naujos strategijos, kuria nustatoma Agentūros veiklos kryptis 2023–2027 m. laikotarpiu, rengimą; taip pat teigiamai vertina Pagrindinių teisių ekspertų grupės strateginį dokumentą, kuriuo siekiama į visą mokymų veiklą įtraukti pagrindinių teisių aspektus; su pasitenkinimu pažymi, kad 2022°m. buvo suorganizuoti </w:t>
      </w:r>
      <w:proofErr w:type="spellStart"/>
      <w:r w:rsidRPr="000E41CE">
        <w:rPr>
          <w:i/>
          <w:iCs/>
        </w:rPr>
        <w:t>ad</w:t>
      </w:r>
      <w:proofErr w:type="spellEnd"/>
      <w:r w:rsidRPr="000E41CE">
        <w:rPr>
          <w:i/>
          <w:iCs/>
        </w:rPr>
        <w:t> </w:t>
      </w:r>
      <w:proofErr w:type="spellStart"/>
      <w:r w:rsidRPr="000E41CE">
        <w:rPr>
          <w:i/>
          <w:iCs/>
        </w:rPr>
        <w:t>hoc</w:t>
      </w:r>
      <w:proofErr w:type="spellEnd"/>
      <w:r w:rsidRPr="000E41CE">
        <w:t xml:space="preserve"> mokymai apie tyrimų žurnalistų apsaugą; palankiai vertina konkrečius mokymo veiksmus neapykantos nusikaltimų klausimais ir tai, kad skleidžiama informacija apie tai, kaip galima veiksmingai padėti aukoms;</w:t>
      </w:r>
    </w:p>
    <w:p w:rsidR="008D7634" w:rsidRPr="000E41CE" w:rsidRDefault="008D7634" w:rsidP="008D7634">
      <w:pPr>
        <w:pStyle w:val="NormalHanging12a"/>
      </w:pPr>
      <w:r w:rsidRPr="000E41CE">
        <w:t>5.</w:t>
      </w:r>
      <w:r w:rsidRPr="000E41CE">
        <w:tab/>
        <w:t>pažymi, kad Agentūra greitai reagavo į nepateisinamą karą Ukrainoje ir, bendradarbiaudama su Europos Taryba, Ukrainos generalinei prokuratūrai parengė specialiai pritaikytą atvirųjų šaltinių žvalgybos kursą;</w:t>
      </w:r>
    </w:p>
    <w:p w:rsidR="008D7634" w:rsidRPr="000E41CE" w:rsidRDefault="008D7634" w:rsidP="008D7634">
      <w:pPr>
        <w:spacing w:after="240"/>
        <w:ind w:left="567" w:hanging="567"/>
        <w:rPr>
          <w:szCs w:val="24"/>
        </w:rPr>
      </w:pPr>
      <w:r w:rsidRPr="000E41CE">
        <w:t>6.</w:t>
      </w:r>
      <w:r w:rsidRPr="000E41CE">
        <w:tab/>
        <w:t xml:space="preserve">remdamasis Agentūros 2022 m. konsoliduotąja metine veiklos ataskaita pažymi, kad eksponentinis pastaraisiais metais siūlytų mokymų skaičiaus didėjimas (nuo 18 000 2016 m. iki beveik 44 000 2022 m.) atspindi didėjančią mokymo veiklos, kurią Agentūrai reikia vykdyti, paklausą; šiuo atžvilgiu pažymi, kad dėl išteklių trūkumo 2022 m. šią paklausą buvo įmanoma patenkinti tik didinant mokymosi internetu dalį, o tai nevisiškai atitinka suinteresuotųjų subjektų poreikius; pritaria Agentūros siekiui toliau teikti </w:t>
      </w:r>
      <w:proofErr w:type="spellStart"/>
      <w:r w:rsidRPr="000E41CE">
        <w:t>daugiadalykės</w:t>
      </w:r>
      <w:proofErr w:type="spellEnd"/>
      <w:r w:rsidRPr="000E41CE">
        <w:t xml:space="preserve"> veiklos, patrauklios tiek dalyviams iš policijos, tiek muitinės ir sienų apsaugos pareigūnams, galimybių;</w:t>
      </w:r>
    </w:p>
    <w:p w:rsidR="008D7634" w:rsidRPr="000E41CE" w:rsidRDefault="008D7634" w:rsidP="00B25B48">
      <w:pPr>
        <w:spacing w:after="240"/>
        <w:ind w:left="567" w:hanging="567"/>
        <w:rPr>
          <w:szCs w:val="24"/>
        </w:rPr>
      </w:pPr>
      <w:r w:rsidRPr="000E41CE">
        <w:t>7.</w:t>
      </w:r>
      <w:r w:rsidRPr="000E41CE">
        <w:tab/>
        <w:t xml:space="preserve">pažymi, kad 2022 m. Agentūra toliau sėkmingai įgyvendino keturis </w:t>
      </w:r>
      <w:proofErr w:type="spellStart"/>
      <w:r w:rsidRPr="000E41CE">
        <w:t>pajėgumų</w:t>
      </w:r>
      <w:proofErr w:type="spellEnd"/>
      <w:r w:rsidRPr="000E41CE">
        <w:t xml:space="preserve"> stiprinimo projektus trečiosiose valstybėse, kuriais tiesiogiai prisidedama prie Sąjungos vidaus saugumo stiprinimo, taip pat mokymo veiklą per CEPOL kovos su terorizmu žinių centrą ir CEPOL teisėsaugos bendradarbiavimo, informacijos, keitimosi ir </w:t>
      </w:r>
      <w:proofErr w:type="spellStart"/>
      <w:r w:rsidRPr="000E41CE">
        <w:t>sąveikumo</w:t>
      </w:r>
      <w:proofErr w:type="spellEnd"/>
      <w:r w:rsidRPr="000E41CE">
        <w:t xml:space="preserve"> žinių centrą; džiaugiasi tuo, kad, bendradarbiaujant su Mykolo Romerio </w:t>
      </w:r>
      <w:r w:rsidRPr="000E41CE">
        <w:lastRenderedPageBreak/>
        <w:t>universitetu Vilniuje (Lietuva), sėkmingai surengta CEPOL mokslinių tyrimų ir mokslo konferencija, kurioje dalyvavo beveik 200 asmenų, taip stiprinant teisėsaugos ir mokslinių tyrimų sektorių bendradarbiavimą;</w:t>
      </w:r>
    </w:p>
    <w:p w:rsidR="008D7634" w:rsidRPr="000E41CE" w:rsidRDefault="008D7634" w:rsidP="00B25B48">
      <w:pPr>
        <w:pStyle w:val="NormalHanging12a"/>
      </w:pPr>
      <w:r w:rsidRPr="000E41CE">
        <w:t>8.</w:t>
      </w:r>
      <w:r w:rsidRPr="000E41CE">
        <w:tab/>
        <w:t xml:space="preserve">primena, kad teisėsaugos pareigūnų mokymai Sąjungos lygmeniu turi atspindėti Sąjungos prioritetus ir turi atitikti valstybių narių mokymo poreikius, be to, jais turi būti remiamas Sąjungos atsakas į sunkų ir organizuotą nusikalstamumą bei kitas grėsmes vidaus saugumui, o Agentūros mokymų veiklos pagrindinis ramstis turėtų būti pagrindinių teisių apsauga; atkreipia dėmesį į mokymo veiklą kovos su terorizmu srityje, įskaitant tokias temas kaip terorizmo finansavimas, terorizmas ir šaunamieji ginklai, užsienio teroristai kovotojai ir prieš ekstremizmą bei </w:t>
      </w:r>
      <w:proofErr w:type="spellStart"/>
      <w:r w:rsidRPr="000E41CE">
        <w:t>radikalizaciją</w:t>
      </w:r>
      <w:proofErr w:type="spellEnd"/>
      <w:r w:rsidRPr="000E41CE">
        <w:t xml:space="preserve"> nukreipta veikla; ragina organizuoti daugiau mokymų tokiose srityse kaip kibernetiniai nusikaltimai, kibernetinė kriminalistika, dirbtinis intelektas, duomenų apsauga, pagrindinės teisės ir kova su rasizmu Sąjungos lygmeniu; ragina Agentūrą vykdant visą savo veiklą – ypač su trečiosiomis šalimis – užtikrinti visapusišką skaidrumą ir visapusišką pagarbą pagrindinėms teisėms ir tarptautinei teisei;</w:t>
      </w:r>
    </w:p>
    <w:p w:rsidR="008D7634" w:rsidRPr="000E41CE" w:rsidRDefault="008D7634" w:rsidP="00B25B48">
      <w:pPr>
        <w:spacing w:after="240"/>
        <w:ind w:left="567" w:hanging="567"/>
        <w:rPr>
          <w:szCs w:val="24"/>
        </w:rPr>
      </w:pPr>
      <w:r w:rsidRPr="000E41CE">
        <w:t>9.</w:t>
      </w:r>
      <w:r w:rsidRPr="000E41CE">
        <w:tab/>
        <w:t>pažymi, kad Agentūra sėkmingai išlaikė savo sertifikatą pagal ISO 9001:2015 kokybės valdymo sistemą ir rengėsi toliau plėsti standarto ISO 29993:2017 taikymą mokymosi paslaugoms, o tai ir toliau rodo, kad Agentūra užtikrina efektyvų kokybės sistemos veikimą;</w:t>
      </w:r>
    </w:p>
    <w:p w:rsidR="008D7634" w:rsidRPr="000E41CE" w:rsidRDefault="008D7634" w:rsidP="008D7634">
      <w:pPr>
        <w:widowControl/>
        <w:spacing w:after="240"/>
        <w:ind w:left="567" w:hanging="567"/>
        <w:rPr>
          <w:b/>
          <w:i/>
          <w:szCs w:val="24"/>
        </w:rPr>
      </w:pPr>
      <w:r w:rsidRPr="000E41CE">
        <w:rPr>
          <w:b/>
          <w:i/>
        </w:rPr>
        <w:t>Veiksmingumas ir nauda</w:t>
      </w:r>
    </w:p>
    <w:p w:rsidR="008D7634" w:rsidRPr="000E41CE" w:rsidRDefault="008D7634" w:rsidP="008D7634">
      <w:pPr>
        <w:spacing w:after="240"/>
        <w:ind w:left="567" w:hanging="567"/>
        <w:rPr>
          <w:szCs w:val="24"/>
        </w:rPr>
      </w:pPr>
      <w:r w:rsidRPr="000E41CE">
        <w:t>10.</w:t>
      </w:r>
      <w:r w:rsidRPr="000E41CE">
        <w:tab/>
        <w:t xml:space="preserve">pažymi, kad Agentūra toliau glaudžiai bendradarbiauja su teisingumo ir vidaus reikalų agentūrų tinklu ir jį sudarančiomis agentūromis, įskaitant, visų pirma, </w:t>
      </w:r>
      <w:r w:rsidRPr="000E41CE">
        <w:rPr>
          <w:rStyle w:val="pointer"/>
        </w:rPr>
        <w:t>Europos Sąjungos teisėsaugos bendradarbiavimo agentūrą</w:t>
      </w:r>
      <w:r w:rsidRPr="000E41CE">
        <w:t xml:space="preserve"> (Europolas) ir Europos sienų ir pakrančių apsaugos agentūrą, dalydamasi mokymo veikla ir kartu organizuodama kursus; pažymi, kad šiomis aplinkybėmis Agentūra 2022 m. pirmininkavo teisingumo ir vidaus reikalų agentūrų tinklui; taip pat pažymi, kad Agentūra su Europos narkotikų ir narkomanijos stebėsenos centru (EMCDDA) yra sudariusi susitarimą (sudarytas 2023 m.), kuriuo suteikiama teisė naudotis Agentūros mokymosi platforma „</w:t>
      </w:r>
      <w:proofErr w:type="spellStart"/>
      <w:r w:rsidRPr="000E41CE">
        <w:t>LEEd</w:t>
      </w:r>
      <w:proofErr w:type="spellEnd"/>
      <w:r w:rsidRPr="000E41CE">
        <w:t>“, taigi, nemokamai suteikiama moderni mokymosi platforma EMCDDA bendruomenei; ragina Agentūrą toliau bendradarbiauti su kitomis agentūromis, kad būtų galima panaudoti visus prieinamus išteklius;</w:t>
      </w:r>
    </w:p>
    <w:p w:rsidR="008D7634" w:rsidRPr="000E41CE" w:rsidRDefault="008D7634" w:rsidP="008D7634">
      <w:pPr>
        <w:spacing w:after="240"/>
        <w:ind w:left="567" w:hanging="567"/>
        <w:rPr>
          <w:szCs w:val="24"/>
        </w:rPr>
      </w:pPr>
      <w:r w:rsidRPr="000E41CE">
        <w:t>11.</w:t>
      </w:r>
      <w:r w:rsidRPr="000E41CE">
        <w:tab/>
        <w:t xml:space="preserve">giria Agentūrą už tai, kad ji pasiekė palyginti aukštą </w:t>
      </w:r>
      <w:proofErr w:type="spellStart"/>
      <w:r w:rsidRPr="000E41CE">
        <w:t>skaitmenizacijos</w:t>
      </w:r>
      <w:proofErr w:type="spellEnd"/>
      <w:r w:rsidRPr="000E41CE">
        <w:t xml:space="preserve"> lygį, daugelį savo procesų pavertusi </w:t>
      </w:r>
      <w:proofErr w:type="spellStart"/>
      <w:r w:rsidRPr="000E41CE">
        <w:t>bepopieriais</w:t>
      </w:r>
      <w:proofErr w:type="spellEnd"/>
      <w:r w:rsidRPr="000E41CE">
        <w:t xml:space="preserve"> ar elektroniniais: tai, pavyzdžiui, e. viešųjų pirkimų pasiūlymų teikimo sistema atviriems konkursams ir e. konkursų platforma, e. įdarbinimas, e. žmogiškųjų išteklių valdymas (priemonė SYSPER), e. sąskaitų faktūrų išrašymas, elektroninis kelionių užsakymas, dažnai glaudžiai bendradarbiaujant su Komisijos Skaitmeninių paslaugų generaliniu direktoratu;</w:t>
      </w:r>
    </w:p>
    <w:p w:rsidR="008D7634" w:rsidRPr="000E41CE" w:rsidRDefault="008D7634" w:rsidP="008D7634">
      <w:pPr>
        <w:spacing w:after="240"/>
        <w:ind w:left="567" w:hanging="567"/>
        <w:rPr>
          <w:szCs w:val="24"/>
        </w:rPr>
      </w:pPr>
      <w:r w:rsidRPr="000E41CE">
        <w:t>12.</w:t>
      </w:r>
      <w:r w:rsidRPr="000E41CE">
        <w:tab/>
        <w:t xml:space="preserve">pažymi, kad Agentūra yra nustačiusi vidaus taisykles, pagal kurias darbuotojai (ir mokymo veiklos dalyviai), keliaudami nedideliais </w:t>
      </w:r>
      <w:proofErr w:type="spellStart"/>
      <w:r w:rsidRPr="000E41CE">
        <w:t>atstumais</w:t>
      </w:r>
      <w:proofErr w:type="spellEnd"/>
      <w:r w:rsidRPr="000E41CE">
        <w:t>, turėtų rinktis alternatyvas skrydžiams, kaip antai keliones traukiniu ar autobusu; su džiaugsmu pažymi, kad nuo 2022 m. Agentūra savo darbuotojams siūlo naudojimosi viešuoju transportu išlaidų kompensacijas; taip pat pažymi, kad daugelis anksčiau vietoje vykusių ekspertų grupių posėdžių dabar vyksta internetu; apgailestauja dėl to, kad Agentūra neturi sistemos, kurioje būtų objektyviai ir detaliai stebima, kaip metams bėgant kinta nauda, kuri gaunama, ir lėšos, kurias pavyksta sutaupyti, ir ragina Agentūrą sukurti tokią sistemą;</w:t>
      </w:r>
    </w:p>
    <w:p w:rsidR="008D7634" w:rsidRPr="000E41CE" w:rsidRDefault="008D7634" w:rsidP="008D7634">
      <w:pPr>
        <w:spacing w:after="240"/>
        <w:ind w:left="567" w:hanging="567"/>
        <w:rPr>
          <w:szCs w:val="24"/>
        </w:rPr>
      </w:pPr>
      <w:r w:rsidRPr="000E41CE">
        <w:lastRenderedPageBreak/>
        <w:t>13.</w:t>
      </w:r>
      <w:r w:rsidRPr="000E41CE">
        <w:tab/>
        <w:t>remdamasis Audito Rūmų ataskaita pažymi, kad Agentūra neturi organizacinio plano, kaip padidinti su savo veikla susijusį energijos vartojimo efektyvumą ir poveikio klimatui neutralumą; apgailestauja dėl to, kad Agentūra dar nepradėjo aplinkosaugos vadybos ir audito sistemos (EMAS) sertifikavimo proceso; tačiau pažymi, jog reikalavimuose dėl savo naujo būstinės pastato Agentūra nurodė, kad artimiausiu metu pereis prie EMAS sertifikavimo; tuo pačiu klausimu pažymi, kad Agentūra laikosi Komisijos rekomendacijų, pagal kurias į daugumą viešųjų pirkimų procedūrų įtraukiami ir su aplinkos apsaugos aspektais susiję sutarties skyrimo kriterijai; ragina Agentūrą sekti kitų agentūrų pavyzdžiu žaliųjų viešųjų pirkimų srityje;</w:t>
      </w:r>
    </w:p>
    <w:p w:rsidR="008D7634" w:rsidRPr="000E41CE" w:rsidRDefault="008D7634" w:rsidP="008D7634">
      <w:pPr>
        <w:spacing w:after="240"/>
        <w:ind w:left="567" w:hanging="567"/>
        <w:rPr>
          <w:b/>
          <w:i/>
          <w:szCs w:val="24"/>
        </w:rPr>
      </w:pPr>
      <w:r w:rsidRPr="000E41CE">
        <w:rPr>
          <w:b/>
          <w:i/>
        </w:rPr>
        <w:t>Personalo politika</w:t>
      </w:r>
    </w:p>
    <w:p w:rsidR="008D7634" w:rsidRPr="000E41CE" w:rsidRDefault="008D7634" w:rsidP="008D7634">
      <w:pPr>
        <w:spacing w:after="240"/>
        <w:ind w:left="567" w:hanging="567"/>
        <w:rPr>
          <w:szCs w:val="24"/>
        </w:rPr>
      </w:pPr>
      <w:r w:rsidRPr="000E41CE">
        <w:t>14.</w:t>
      </w:r>
      <w:r w:rsidRPr="000E41CE">
        <w:tab/>
        <w:t xml:space="preserve">pažymi, kad etatų planas 2022 m. gruodžio 31 d. buvo įvykdytas 79 proc.: paskirti 26 iš 33 laikinųjų darbuotojų, patvirtintų pagal Sąjungos biudžetą (patvirtintų pareigybių skaičius toks pat, kaip ir 2021 m.); be to, pažymi, kad Agentūroje 2022 m. dirbo 59 sutartininkai (20 iš jų buvo paskirti įprastai veiklai vykdyti, o 39 – išorės lėšomis finansuojamiems </w:t>
      </w:r>
      <w:proofErr w:type="spellStart"/>
      <w:r w:rsidRPr="000E41CE">
        <w:t>pajėgumų</w:t>
      </w:r>
      <w:proofErr w:type="spellEnd"/>
      <w:r w:rsidRPr="000E41CE">
        <w:t xml:space="preserve"> stiprinimo projektams įgyvendinti) ir šeši deleguotieji nacionaliniai ekspertai; taip pat pažymi, kad 2022 m. gruodžio 31 d. Agentūroje dirbo 24 laikinieji darbuotojai, atliekantys su pagrindine veikla susijusias, kaip antai e. mokymosi, informacinių ir ryšių technologijų, teisinės ir valdymo paramos sričių, užduotis;</w:t>
      </w:r>
    </w:p>
    <w:p w:rsidR="008D7634" w:rsidRPr="000E41CE" w:rsidRDefault="008D7634" w:rsidP="008D7634">
      <w:pPr>
        <w:tabs>
          <w:tab w:val="left" w:pos="720"/>
          <w:tab w:val="left" w:pos="1665"/>
        </w:tabs>
        <w:spacing w:after="240"/>
        <w:ind w:left="567" w:hanging="567"/>
        <w:rPr>
          <w:szCs w:val="24"/>
        </w:rPr>
      </w:pPr>
      <w:r w:rsidRPr="000E41CE">
        <w:t>15.</w:t>
      </w:r>
      <w:r w:rsidRPr="000E41CE">
        <w:tab/>
        <w:t>pažymi, kad darbuotojų kaita 2022 m. tebebuvo palyginti didelė ir turėjo reikšmingą poveikį Agentūrai; šiuo atžvilgiu pažymi, kad 2022 m. keturi darbuotojai atsistatydino dėl naujų darbo galimybių Agentūroje ir kitur, trys darbuotojai iš Agentūros išėjo į pensiją, keturi darbuotojai 2022 m. gruodžio 31 d. buvo išėję nemokamų atostogų;</w:t>
      </w:r>
    </w:p>
    <w:p w:rsidR="008D7634" w:rsidRPr="000E41CE" w:rsidRDefault="008D7634" w:rsidP="008D7634">
      <w:pPr>
        <w:tabs>
          <w:tab w:val="left" w:pos="720"/>
          <w:tab w:val="left" w:pos="1665"/>
        </w:tabs>
        <w:spacing w:after="240"/>
        <w:ind w:left="567" w:hanging="567"/>
        <w:rPr>
          <w:szCs w:val="24"/>
        </w:rPr>
      </w:pPr>
      <w:r w:rsidRPr="000E41CE">
        <w:t>16.</w:t>
      </w:r>
      <w:r w:rsidRPr="000E41CE">
        <w:tab/>
        <w:t>pakartoja pritariantis Agentūros darbuotojų skaičiaus didinimui, nes tai atitinka dabartiniais Agentūros įgaliojimais nustatytas užduotis ir užmojus; remdamasis Agentūros tolesnių veiksmų ataskaita „CEPOL veiksmų planas atsižvelgiant į EP sprendimą dėl 2021 finansinių metų biudžeto įvykdymo patvirtinimo“ (toliau – Agentūros tolesnių veiksmų ataskaita), su malonumu pažymi, kad, siekiant pagrįsti būsimą prašymą skirti išteklių, Agentūros vykdomoji direktorė sudarė specialios paskirties grupę, kuriai pavesta sistemingai dokumentuoti ir pagrįsti papildomus biudžeto ir žmogiškųjų išteklių poreikius pagal naują 2023–2027 m. strategiją;</w:t>
      </w:r>
    </w:p>
    <w:p w:rsidR="008D7634" w:rsidRPr="000E41CE" w:rsidRDefault="008D7634" w:rsidP="008D7634">
      <w:pPr>
        <w:spacing w:after="240"/>
        <w:ind w:left="567" w:hanging="567"/>
        <w:rPr>
          <w:szCs w:val="24"/>
        </w:rPr>
      </w:pPr>
      <w:r w:rsidRPr="000E41CE">
        <w:t>17.</w:t>
      </w:r>
      <w:r w:rsidRPr="000E41CE">
        <w:tab/>
        <w:t>pažymi, kad darbuotojų kaita 2022 m. tebebuvo didelė, ji siekė 11,8 proc. ir tai turėjo reikšmingą poveikį organizacijai; remdamasis Agentūros tolesnių veiksmų ataskaita pažymi, kad ši darbuotojų kaita nuo Agentūros nepriklauso, nes pagrindinė jos priežastis yra mažas šalies korekcinio koeficiento dydis ir gana žemos pareigos, pagal kurias atliekamos pagrindinės pagalbinės funkcijos Agentūroje; pažymi, kad 2022 m. Agentūra toliau įgyvendino darbuotojų išlaikymo ir veiklos tęstinumo priemones, naudodama kelis laikinuosius darbuotojus ir deleguotuosius nacionalinius ekspertus personalo spragoms užpildyti, iki bus užbaigtas statutinių darbuotojų įdarbinimas, taip pat buvo tęsiamas personalo ir pareigų perklasifikavimas, išlaikant sutartas socialines sąlygas (pvz., darbuotojų vaikų mokyklinį ugdymą), nuotolinio darbo ir lankstaus darbo laiko tvarką; pakartoja savo raginimą Komisiją peržiūrėti korekcinį koeficientą, kad būtų geriau atsižvelgiama į ekonomines persikėlimo į Agentūros buveinės miestą ir gyvenimo jame realijas;</w:t>
      </w:r>
    </w:p>
    <w:p w:rsidR="008D7634" w:rsidRPr="000E41CE" w:rsidRDefault="008D7634" w:rsidP="008D7634">
      <w:pPr>
        <w:spacing w:after="240"/>
        <w:ind w:left="567" w:hanging="567"/>
        <w:rPr>
          <w:szCs w:val="24"/>
        </w:rPr>
      </w:pPr>
      <w:r w:rsidRPr="000E41CE">
        <w:t>18.</w:t>
      </w:r>
      <w:r w:rsidRPr="000E41CE">
        <w:tab/>
        <w:t xml:space="preserve">dėl priemonės SYSPER su džiaugsmu pažymi, kad Agentūra integravo tokius modulius </w:t>
      </w:r>
      <w:r w:rsidRPr="000E41CE">
        <w:lastRenderedPageBreak/>
        <w:t>kaip REPORTING, ETHICS ir STAGE ir dirba rengdamasi integruoti kitus SYSPER modulius (pvz., EVAL/PROMO);</w:t>
      </w:r>
    </w:p>
    <w:p w:rsidR="008D7634" w:rsidRPr="000E41CE" w:rsidRDefault="008D7634" w:rsidP="008D7634">
      <w:pPr>
        <w:pStyle w:val="ListParagraph"/>
        <w:spacing w:after="240"/>
        <w:ind w:left="567" w:hanging="567"/>
        <w:contextualSpacing w:val="0"/>
        <w:jc w:val="left"/>
      </w:pPr>
      <w:r w:rsidRPr="000E41CE">
        <w:t>19.</w:t>
      </w:r>
      <w:r w:rsidRPr="000E41CE">
        <w:tab/>
        <w:t xml:space="preserve">palankiai vertina Agentūros pateiktus 2022 m. duomenis apie pasiskirstymą pagal lytį: vadovaujamąsias pareigas eina 3 vyrai ir 3 moterys (1 vyresnysis vadovas ir 5 </w:t>
      </w:r>
      <w:proofErr w:type="spellStart"/>
      <w:r w:rsidRPr="000E41CE">
        <w:t>viduriniosios</w:t>
      </w:r>
      <w:proofErr w:type="spellEnd"/>
      <w:r w:rsidRPr="000E41CE">
        <w:t xml:space="preserve"> grandies vadovai), valdyboje yra 15 vyrų (56 proc.) ir 12 moterų (44 proc.) ir iš viso dirba 37 vyrai (44 proc.) ir 48 moterys (56 proc.); giria Agentūrą už 2022 m. pasiektą lyčių pusiausvyrą;</w:t>
      </w:r>
    </w:p>
    <w:p w:rsidR="008D7634" w:rsidRPr="000E41CE" w:rsidRDefault="008D7634" w:rsidP="008D7634">
      <w:pPr>
        <w:pStyle w:val="NormalHanging12a"/>
      </w:pPr>
      <w:r w:rsidRPr="000E41CE">
        <w:t>20.</w:t>
      </w:r>
      <w:r w:rsidRPr="000E41CE">
        <w:tab/>
        <w:t>remdamasis Agentūros 2022 m. konsoliduotąja metine veiklos ataskaita pažymi, kad 2022 m. Agentūros darbuotojai buvo atvykę iš 17 valstybių narių; pažymi, kad 39 proc. darbuotojų yra valstybės narės, kurioje įsikūrusi Agentūra, piliečiai; primena geografinės pusiausvyros svarbą ir ragina Agentūrą imtis būtinų priemonių, kad būtų užtikrintas subalansuotas ir teisingas geografinis atstovavimas;</w:t>
      </w:r>
    </w:p>
    <w:p w:rsidR="008D7634" w:rsidRPr="000E41CE" w:rsidRDefault="008D7634" w:rsidP="008D7634">
      <w:pPr>
        <w:pStyle w:val="ListParagraph"/>
        <w:spacing w:after="240"/>
        <w:ind w:left="567" w:hanging="567"/>
        <w:contextualSpacing w:val="0"/>
        <w:jc w:val="left"/>
      </w:pPr>
      <w:r w:rsidRPr="000E41CE">
        <w:t>21.</w:t>
      </w:r>
      <w:r w:rsidRPr="000E41CE">
        <w:tab/>
        <w:t xml:space="preserve">palankiai vertina tai, kad 2022 m. Agentūra priėmė naują sprendimą, pagrįstą tikslais grindžiamo ir į rezultatus orientuoto valdymo ir pasitikėjimo kultūros principais; pažymi, kad šiuo sprendimu darbuotojams suteikta daugiau lankstumo tiek darbo laiko, tiek nuotolinio darbo atžvilgiais, suteikiant teisę atsijungti ir aiškiai nurodant atsijungimo laikotarpį – tai turėtų padėti užtikrinti geresnę profesinio ir asmeninio gyvenimo pusiausvyrą ir apsaugoti darbuotojus nuo per didelio darbo krūvio, susijusio su </w:t>
      </w:r>
      <w:proofErr w:type="spellStart"/>
      <w:r w:rsidRPr="000E41CE">
        <w:t>skaitmenizacija</w:t>
      </w:r>
      <w:proofErr w:type="spellEnd"/>
      <w:r w:rsidRPr="000E41CE">
        <w:t>;</w:t>
      </w:r>
    </w:p>
    <w:p w:rsidR="008D7634" w:rsidRPr="000E41CE" w:rsidRDefault="008D7634" w:rsidP="008D7634">
      <w:pPr>
        <w:spacing w:after="240"/>
        <w:ind w:left="567" w:hanging="567"/>
        <w:rPr>
          <w:color w:val="000000"/>
          <w:szCs w:val="24"/>
        </w:rPr>
      </w:pPr>
      <w:r w:rsidRPr="000E41CE">
        <w:rPr>
          <w:color w:val="000000"/>
        </w:rPr>
        <w:t>22.</w:t>
      </w:r>
      <w:r w:rsidRPr="000E41CE">
        <w:rPr>
          <w:color w:val="000000"/>
        </w:rPr>
        <w:tab/>
        <w:t>remdamasis Agentūros tolesnių veiksmų ataskaita, kiek tai susiję su pastaba dėl darbuotojų, dirbančių pagal su viešaisiais pirkimais susijusias procedūras, palankiai vertina tai, kad 2023 m. etatų plane numatyta pakeisti atitinkamą AST-5 pareigybę (įdarbinimo AST-3 lygis) AD-5 pareigybe;</w:t>
      </w:r>
    </w:p>
    <w:p w:rsidR="008D7634" w:rsidRPr="000E41CE" w:rsidRDefault="008D7634" w:rsidP="008D7634">
      <w:pPr>
        <w:spacing w:after="240"/>
        <w:ind w:left="567" w:hanging="567"/>
        <w:rPr>
          <w:rFonts w:eastAsiaTheme="minorHAnsi"/>
          <w:b/>
          <w:i/>
          <w:szCs w:val="24"/>
        </w:rPr>
      </w:pPr>
      <w:r w:rsidRPr="000E41CE">
        <w:rPr>
          <w:b/>
          <w:i/>
        </w:rPr>
        <w:t>Viešieji pirkimai</w:t>
      </w:r>
    </w:p>
    <w:p w:rsidR="008D7634" w:rsidRPr="000E41CE" w:rsidRDefault="008D7634" w:rsidP="008D7634">
      <w:pPr>
        <w:pStyle w:val="NormalHanging12a"/>
      </w:pPr>
      <w:r w:rsidRPr="000E41CE">
        <w:t>23.</w:t>
      </w:r>
      <w:r w:rsidRPr="000E41CE">
        <w:tab/>
        <w:t xml:space="preserve">remdamasis Audito Rūmų ataskaita, su susirūpinimu pažymi, kad nuo 2020 finansinių metų Audito Rūmai kasmet pateikia naujų su Agentūros viešaisiais pirkimais susijusių pastabų; remdamasis Audito Rūmų ataskaita atkreipia dėmesį į pastabą, kuria grindžiama sąlyginė Audito Rūmų nuomonė dėl 2022 m. pagal dvi preliminariąsias sutartis atliktų 359 mokėjimų, kurių bendra vertė 4,1 mln. EUR (kurie buvo įvykdyti tiesiogiai pagal užsakymo formas (prašymus dėl paslaugų), nusiųstas Agentūros darbuotojų, kuriems nebuvo deleguoti įgaliojimai prisiimti teisinius įsipareigojimus Agentūros vardu, arba laikinųjų darbuotojų, kuriems tokie įgaliojimai teisiškai negalėjo būti deleguoti dėl laikino jų statuso), teisėtumo ir tvarkingumo; pažymi, jog į minėtą Audito rūmų pastabą Agentūra atsakė, kad net jei teisinis įsipareigojimas nebuvo pakankamai įformintas, paslaugos buvo užsakytos pagal Agentūros poreikius ir buvo taikomos visos kontrolės priemonės siekiant užtikrinti, kad lėšos būtų panaudotos pagal numatytą paskirtį ir nebūtų patirta realių nuostolių; remdamasis Agentūros atsakymais į Parlamento raštu pateiktus klausimus pažymi, kad tose sutartyse nebuvo kitų pažeidimų ir kad Agentūra, atsižvelgdama į Audito Rūmų pastabą, ėmėsi priemonių, iš dalies pakeisdama savo vidaus procedūras, kad būtų užtikrinta, jog apie užsakymus kelionių agentui praneštų tik statutiniai darbuotojai, kuriems leidimus suteikiantis pareigūnas yra delegavęs įgaliojimus prisiimti teisinį įsipareigojimą; atkreipia dėmesį į Agentūros atsakymą, kuriame nurodyta, kad Agentūra nedelsdama, dar prieš užbaigiant audito procesą, ėmėsi taisomųjų priemonių; ragina Agentūrą visapusiškai atsižvelgti į šias pastabas ir patobulinti savo viešųjų pirkimų procedūras, kad ateityje būtų išvengta </w:t>
      </w:r>
      <w:r w:rsidRPr="000E41CE">
        <w:lastRenderedPageBreak/>
        <w:t>panašių situacijų;</w:t>
      </w:r>
    </w:p>
    <w:p w:rsidR="008D7634" w:rsidRPr="000E41CE" w:rsidRDefault="008D7634" w:rsidP="008D7634">
      <w:pPr>
        <w:pStyle w:val="NormalHanging12a"/>
      </w:pPr>
      <w:r w:rsidRPr="000E41CE">
        <w:t>24.</w:t>
      </w:r>
      <w:r w:rsidRPr="000E41CE">
        <w:tab/>
        <w:t>be to, atkreipia dėmesį į Audito Rūmų ataskaitoje pateiktą sąlyginę nuomonę, kad visos 2022 m. už preliminariosios sutarties (dėl švietimo redakcinių paslaugų) vykdymą išmokėtos sumos (152 655 EUR) negalėjo būti suderinamos su suteiktomis paslaugomis, kai kurių kategorijų užduotys neatspindėjo faktiškai atlikto darbo pobūdžio, o pagal kai kurias kategorijas apmokėto darbo kiekis neatitiko faktiškai atlikto darbo, taigi tos sumos buvo nepagrįstai išmokėtos; atkreipia dėmesį į Agentūros paaiškinimą, kad užsakytų, pateiktų ir apmokėtų puslapių skaičius nevisiškai sutapo todėl, kad dėl darbo pobūdžio, t. y. redakcinio ir šviečiamojo turinio kūrimo, tai ne visada buvo įmanoma iš anksto tiksliai kiekybiškai nustatyti; taip pat pažymi, kad, sprendžiant iš Agentūros atsakymo, buvo atlikti rezultatų pasiekimo tikrinimai, o užduočių kategorijos buvo pagrįstos ankstesnėje sutartyje su Leidinių biuru nurodytomis užduočių kategorijomis; ragina Agentūrą imtis priemonių, kad Agentūra galėtų geriau iš anksto kiekybiškai įvertinti rezultatus ir ateityje išvengti tokių situacijų;</w:t>
      </w:r>
    </w:p>
    <w:p w:rsidR="008D7634" w:rsidRPr="000E41CE" w:rsidRDefault="008D7634" w:rsidP="008D7634">
      <w:pPr>
        <w:spacing w:after="240"/>
        <w:ind w:left="567" w:hanging="567"/>
        <w:rPr>
          <w:color w:val="000000"/>
          <w:szCs w:val="24"/>
        </w:rPr>
      </w:pPr>
      <w:r w:rsidRPr="000E41CE">
        <w:rPr>
          <w:color w:val="000000"/>
        </w:rPr>
        <w:t>25.</w:t>
      </w:r>
      <w:r w:rsidRPr="000E41CE">
        <w:rPr>
          <w:color w:val="000000"/>
        </w:rPr>
        <w:tab/>
        <w:t>remdamasis Audito Rūmų 2021 finansinių metų ataskaita atkreipia dėmesį į tai, kad viena pastaba liko galioti: tai pastaba dėl viešųjų pirkimų procedūros, per kurią Agentūra akcentavo kriterijų, kuris nebuvo aiškiai nurodytas pirkimo specifikacijose ir dėl to kėlė nevienodo požiūrio į konkurso dalyvius riziką, vertinimo proceso; atkreipia dėmesį į tai, kad atitinkama sutartis galiojo iki 2023 m. rugsėjo mėn. ir kad tuo metu, kai Audito Rūmai peržiūrėjo tos pastabos statusą, Agentūra neketino pratęsti sutarties dar 12 mėnesių laikotarpiui;</w:t>
      </w:r>
    </w:p>
    <w:p w:rsidR="008D7634" w:rsidRPr="000E41CE" w:rsidRDefault="008D7634" w:rsidP="008D7634">
      <w:pPr>
        <w:spacing w:after="240"/>
        <w:ind w:left="567" w:hanging="567"/>
        <w:rPr>
          <w:color w:val="000000"/>
          <w:szCs w:val="24"/>
        </w:rPr>
      </w:pPr>
      <w:r w:rsidRPr="000E41CE">
        <w:rPr>
          <w:color w:val="000000"/>
        </w:rPr>
        <w:t>26.</w:t>
      </w:r>
      <w:r w:rsidRPr="000E41CE">
        <w:rPr>
          <w:color w:val="000000"/>
        </w:rPr>
        <w:tab/>
        <w:t xml:space="preserve">giria Agentūrą už tai, kad ji įdiegė viešųjų pirkimų valdymo priemonę, kuri nuo 2022 m. spalio mėn. naudojama visų rūšių viešųjų pirkimų procedūroms; ragina Agentūrą sparčiau priimti ir diegti priemones, pagal kurias galima naudoti elektroninį parašą, kad būtų galima gauti tiek vidaus, tiek išorės sandorio šalių </w:t>
      </w:r>
      <w:proofErr w:type="spellStart"/>
      <w:r w:rsidRPr="000E41CE">
        <w:rPr>
          <w:color w:val="000000"/>
        </w:rPr>
        <w:t>patvirtinimus</w:t>
      </w:r>
      <w:proofErr w:type="spellEnd"/>
      <w:r w:rsidRPr="000E41CE">
        <w:rPr>
          <w:color w:val="000000"/>
        </w:rPr>
        <w:t xml:space="preserve"> ir parašus viešųjų pirkimų ir sutarčių dokumentuose;</w:t>
      </w:r>
    </w:p>
    <w:p w:rsidR="008D7634" w:rsidRPr="000E41CE" w:rsidRDefault="008D7634" w:rsidP="008D7634">
      <w:pPr>
        <w:pStyle w:val="ListParagraph"/>
        <w:widowControl w:val="0"/>
        <w:spacing w:after="240"/>
        <w:ind w:left="567" w:hanging="567"/>
        <w:contextualSpacing w:val="0"/>
        <w:jc w:val="left"/>
        <w:rPr>
          <w:rFonts w:eastAsia="Times New Roman"/>
        </w:rPr>
      </w:pPr>
      <w:r w:rsidRPr="000E41CE">
        <w:rPr>
          <w:b/>
          <w:i/>
        </w:rPr>
        <w:t>Interesų konfliktų prevencija ir valdymas, taip pat skaidrumas</w:t>
      </w:r>
    </w:p>
    <w:p w:rsidR="008D7634" w:rsidRPr="000E41CE" w:rsidRDefault="008D7634" w:rsidP="008D7634">
      <w:pPr>
        <w:spacing w:after="240"/>
        <w:ind w:left="567" w:hanging="567"/>
        <w:rPr>
          <w:szCs w:val="24"/>
        </w:rPr>
      </w:pPr>
      <w:r w:rsidRPr="000E41CE">
        <w:t>27.</w:t>
      </w:r>
      <w:r w:rsidRPr="000E41CE">
        <w:tab/>
        <w:t>palankiai vertina esamas Agentūros priemones ir nuolatines pastangas užtikrinti skaidrumą, interesų konfliktų prevenciją ir valdymą; su malonumu pažymi, kad valdybos narių ir vyresniosios vadovybės interesų deklaracijos ir gyvenimo aprašymai (CV) skelbiami Agentūros interneto svetainėje, o deklaracijos yra tokios formos, kad jose galima nurodyti profesinius, finansinius, asmeninius ir kitus interesus, kurie gali būti susiję su Agentūros veikla; remdamasis Agentūros tolesnių veiksmų ataskaita, dėl biudžeto įvykdymą tvirtinančios institucijos pastabos, kad už atlygį dirbančių ekspertų interesų konfliktų ir konfidencialumo deklaracijos nėra skelbiamos Agentūros interneto svetainėje, pažymi, kad Agentūra įvertino, jog dėl duomenų apsaugos aspektų skelbiant ekspertų paraiškas ar gyvenimo aprašymus labai sumažėtų kandidatų į ekspertus skaičius, nes daugumos Agentūroje dirbančių ekspertų patirtis yra susijusi su teisėsauga;</w:t>
      </w:r>
    </w:p>
    <w:p w:rsidR="008D7634" w:rsidRPr="000E41CE" w:rsidRDefault="008D7634" w:rsidP="008D7634">
      <w:pPr>
        <w:spacing w:after="240"/>
        <w:ind w:left="567" w:hanging="567"/>
        <w:rPr>
          <w:szCs w:val="24"/>
        </w:rPr>
      </w:pPr>
      <w:r w:rsidRPr="000E41CE">
        <w:t>28.</w:t>
      </w:r>
      <w:r w:rsidRPr="000E41CE">
        <w:tab/>
        <w:t>remdamasis Agentūros tolesnių veiksmų ataskaita, su džiaugsmu pažymi, kad 2022 m. pradėjus veikti naujajai interneto svetainei Agentūra patobulino savo viešąjį dokumentų registrą, o atlikti techniniai pakeitimai suteikė galimybę piliečiams atlikti oficialių Agentūros dokumentų paiešką pagal kategorijas arba prašyti prieigos prie dokumento užpildant formą internetu, kai tiesioginė prieiga per viešąjį dokumentų registrą nesuteikiama; pažymi, kad 2022 m. Agentūra gavo penkis prašymus leisti visuomenei susipažinti su dokumentais ir išnagrinėjo 920 piliečių viešų užklausų;</w:t>
      </w:r>
    </w:p>
    <w:p w:rsidR="008D7634" w:rsidRPr="000E41CE" w:rsidRDefault="008D7634" w:rsidP="008D7634">
      <w:pPr>
        <w:spacing w:after="240"/>
        <w:ind w:left="567" w:hanging="567"/>
        <w:rPr>
          <w:b/>
          <w:i/>
          <w:szCs w:val="24"/>
        </w:rPr>
      </w:pPr>
      <w:r w:rsidRPr="000E41CE">
        <w:rPr>
          <w:b/>
          <w:i/>
        </w:rPr>
        <w:lastRenderedPageBreak/>
        <w:t>Vidaus kontrolė</w:t>
      </w:r>
    </w:p>
    <w:p w:rsidR="008D7634" w:rsidRPr="000E41CE" w:rsidRDefault="008D7634" w:rsidP="008D7634">
      <w:pPr>
        <w:spacing w:after="240"/>
        <w:ind w:left="567" w:hanging="567"/>
        <w:rPr>
          <w:szCs w:val="24"/>
        </w:rPr>
      </w:pPr>
      <w:r w:rsidRPr="000E41CE">
        <w:t>29.</w:t>
      </w:r>
      <w:r w:rsidRPr="000E41CE">
        <w:tab/>
        <w:t>remdamasis Agentūros tolesnių veiksmų ataskaita pažymi, kad dėl kelių Agentūros vidaus kontrolės sistemos trūkumų, visų pirma susijusių su viešųjų pirkimų procedūromis ir biudžetinių įsipareigojimų valdymu, Agentūra ėmėsi veiksmų, įskaitant mokymą ir praktinius seminarus, kad padidėtų informuotumas ir sumažėtų administracinių klaidų; remdamasis Audito Rūmų ataskaita, šiuo klausimu pažymi, kad su tais trūkumais susijusios Audito Rūmų pastabos (dėl 2021 finansinių metų) nebegalioja;</w:t>
      </w:r>
    </w:p>
    <w:p w:rsidR="008D7634" w:rsidRPr="000E41CE" w:rsidRDefault="008D7634" w:rsidP="008D7634">
      <w:pPr>
        <w:spacing w:after="240"/>
        <w:ind w:left="567" w:hanging="567"/>
        <w:rPr>
          <w:szCs w:val="24"/>
        </w:rPr>
      </w:pPr>
      <w:r w:rsidRPr="000E41CE">
        <w:t>30.</w:t>
      </w:r>
      <w:r w:rsidRPr="000E41CE">
        <w:tab/>
        <w:t>atkreipia dėmesį į Agentūros 2022 m. atliktą savo vidaus kontrolės sistemos vertinimą ir jo išvadą, kad ši sistema yra veiksminga, veikianti ir funkcionali ir kad reikia tik nedidelių jos patobulinimų; ragina Agentūrą pašalinti nustatytus trūkumus, susijusius su vidaus kontrolės komponentais „Kontrolės veikla“ ir „Informacija ir komunikacija“, ir nuolat informuoti biudžeto įvykdymą tvirtinančią instituciją apie pažangą šioje srityje; remdamasis Agentūros tolesnių veiksmų ataskaita, su džiaugsmu pažymi, kad vertindama komponento „Stebėsenos veikla“ 17 principą „Vertinti trūkumus ir apie juos pranešti“ ji atsižvelgė į atitinkamas ankstesnių metų Audito Rūmų pastabas; ragina Agentūrą toliau atsižvelgti į visas Vidaus audito tarnybos 2021 m. Agentūroje atlikto „Žmogiškųjų išteklių valdymo ir etikos CEPOL“ audito pastabas;</w:t>
      </w:r>
    </w:p>
    <w:p w:rsidR="008D7634" w:rsidRPr="000E41CE" w:rsidRDefault="008D7634" w:rsidP="008D7634">
      <w:pPr>
        <w:spacing w:after="240"/>
        <w:ind w:left="567" w:hanging="567"/>
        <w:rPr>
          <w:szCs w:val="24"/>
        </w:rPr>
      </w:pPr>
      <w:r w:rsidRPr="000E41CE">
        <w:t>31.</w:t>
      </w:r>
      <w:r w:rsidRPr="000E41CE">
        <w:tab/>
        <w:t>pažymi, kad Agentūra įgyvendina procesą, pagal kurį registruojamos ir leidžiamos išimtys, kurios analizuojamos siekiant nustatyti konkrečias susirūpinimą keliančias sritis ir atitinkamus tobulinimo veiksmus; pažymi, kad 2022 m. ataskaitoje dėl išimčių patvirtinama, jog Agentūros vidaus kontrolės sistema veikia gerai, o neatitikties atvejai nustatomi ir jų poveikis švelninamas imantis taisomųjų ir prevencinių veiksmų; taip pat pažymi, kad 2022 m. nustatytos iš viso 46 išimtys (palyginti su 27 išimtimis 2021 m.), kurių vertė – 51 697 EUR (palyginti su 257 825 EUR 2021 m.), o 13 iš šių išimčių finansinis poveikis viršijo 1 000 EUR (siekį 1 053 EUR – 12 240 EUR);</w:t>
      </w:r>
    </w:p>
    <w:p w:rsidR="008D7634" w:rsidRPr="000E41CE" w:rsidRDefault="008D7634" w:rsidP="008D7634">
      <w:pPr>
        <w:spacing w:after="240"/>
        <w:ind w:left="567" w:hanging="567"/>
        <w:rPr>
          <w:b/>
          <w:i/>
          <w:szCs w:val="24"/>
        </w:rPr>
      </w:pPr>
      <w:r w:rsidRPr="000E41CE">
        <w:rPr>
          <w:b/>
          <w:i/>
        </w:rPr>
        <w:t>Kitos pastabos</w:t>
      </w:r>
    </w:p>
    <w:p w:rsidR="008D7634" w:rsidRPr="000E41CE" w:rsidRDefault="008D7634" w:rsidP="008D7634">
      <w:pPr>
        <w:spacing w:after="240"/>
        <w:ind w:left="567" w:hanging="567"/>
        <w:rPr>
          <w:szCs w:val="24"/>
        </w:rPr>
      </w:pPr>
      <w:r w:rsidRPr="000E41CE">
        <w:t>32.</w:t>
      </w:r>
      <w:r w:rsidRPr="000E41CE">
        <w:tab/>
        <w:t>remdamasis Agentūros tolesnių veiksmų ataskaita, Agentūros biuro patalpų ir erdvės operatyvinei veiklai stygiaus klausimu pažymi, kad Vengrijos vyriausybė įsipareigojo užtikrinti tęstinumą ir suteikti Agentūrai tinkamą infrastruktūrą, priimdama sprendimą dėl naujos būstinės (6 000 m²) suteikimo nuomos forma; taip pat pažymi, kad persikraustymas į naujas patalpas gali vykti iki 2024 m. pabaigos, tuo pat metu pasirašant naują susitarimą dėl būstinės;</w:t>
      </w:r>
    </w:p>
    <w:p w:rsidR="008D7634" w:rsidRPr="000E41CE" w:rsidRDefault="008D7634" w:rsidP="008D7634">
      <w:pPr>
        <w:pStyle w:val="NormalHanging12a"/>
      </w:pPr>
      <w:r w:rsidRPr="000E41CE">
        <w:t>33.</w:t>
      </w:r>
      <w:r w:rsidRPr="000E41CE">
        <w:tab/>
        <w:t xml:space="preserve">giria Agentūrą už jos pastangas tapti labiau matomai visuomenėje ir aktyviau užsiimti veikla internete; šiuo atžvilgiu palankiai vertina tai, kad 2022 m. pradėjo veikti naujoji Agentūros interneto svetainė su svarbiais </w:t>
      </w:r>
      <w:proofErr w:type="spellStart"/>
      <w:r w:rsidRPr="000E41CE">
        <w:t>patobulinimais</w:t>
      </w:r>
      <w:proofErr w:type="spellEnd"/>
      <w:r w:rsidRPr="000E41CE">
        <w:t xml:space="preserve">, tokiais kaip aiškesnis turinio pateikimas ir struktūra, geresnė svetainės išvaizda ir didesnis </w:t>
      </w:r>
      <w:proofErr w:type="spellStart"/>
      <w:r w:rsidRPr="000E41CE">
        <w:t>adaptyvumas</w:t>
      </w:r>
      <w:proofErr w:type="spellEnd"/>
      <w:r w:rsidRPr="000E41CE">
        <w:t xml:space="preserve"> internete; taip pat pažymi, kad 2022 m. Agentūros veikla socialiniuose tinkluose buvo svari – įkelta 1 590 turinio vienetų, t. y. 54 proc. daugiau įrašų nei praėjusiais metais; atsižvelgdamas į tai, atkreipia dėmesį į Agentūros interneto svetainės, kurioje užregistruota daugiau kaip 200 000 apsilankymų, naudotojų skaičiaus didėjimo tendenciją ir jos socialinių tinklų sekėjų bazę – 38 500 sekėjų platformose „</w:t>
      </w:r>
      <w:proofErr w:type="spellStart"/>
      <w:r w:rsidRPr="000E41CE">
        <w:t>LinkedIn</w:t>
      </w:r>
      <w:proofErr w:type="spellEnd"/>
      <w:r w:rsidRPr="000E41CE">
        <w:t>“, X (anksčiau – „</w:t>
      </w:r>
      <w:proofErr w:type="spellStart"/>
      <w:r w:rsidRPr="000E41CE">
        <w:t>Twitter</w:t>
      </w:r>
      <w:proofErr w:type="spellEnd"/>
      <w:r w:rsidRPr="000E41CE">
        <w:t>“) ir „Facebook“;</w:t>
      </w:r>
    </w:p>
    <w:p w:rsidR="008D7634" w:rsidRPr="000E41CE" w:rsidRDefault="008D7634" w:rsidP="008D7634">
      <w:pPr>
        <w:pStyle w:val="NormalCenter12a"/>
      </w:pPr>
      <w:r w:rsidRPr="000E41CE">
        <w:t>°</w:t>
      </w:r>
    </w:p>
    <w:p w:rsidR="008D7634" w:rsidRPr="000E41CE" w:rsidRDefault="008D7634" w:rsidP="008D7634">
      <w:pPr>
        <w:pStyle w:val="NormalCenter12a"/>
      </w:pPr>
      <w:r w:rsidRPr="000E41CE">
        <w:lastRenderedPageBreak/>
        <w:t>°</w:t>
      </w:r>
      <w:r w:rsidRPr="000E41CE">
        <w:tab/>
        <w:t>°</w:t>
      </w:r>
    </w:p>
    <w:p w:rsidR="00E365E1" w:rsidRPr="000E41CE" w:rsidRDefault="008D7634" w:rsidP="00B25B48">
      <w:pPr>
        <w:ind w:left="567" w:hanging="567"/>
      </w:pPr>
      <w:r w:rsidRPr="000E41CE">
        <w:t>34.</w:t>
      </w:r>
      <w:r w:rsidRPr="000E41CE">
        <w:tab/>
        <w:t xml:space="preserve">pažymi, kad kitos su sprendimu dėl biudžeto įvykdymo patvirtinimo susijusios pastabos, kurios yra horizontaliojo pobūdžio, pateikiamos jo </w:t>
      </w:r>
      <w:r w:rsidR="00B8135B">
        <w:t>2024 m. balandžio 11 d.</w:t>
      </w:r>
      <w:r w:rsidRPr="000E41CE">
        <w:t xml:space="preserve"> rezoliucijoje</w:t>
      </w:r>
      <w:r w:rsidRPr="000E41CE">
        <w:rPr>
          <w:rStyle w:val="FootnoteReference"/>
        </w:rPr>
        <w:footnoteReference w:id="12"/>
      </w:r>
      <w:r w:rsidRPr="000E41CE">
        <w:t xml:space="preserve"> dėl agentūrų veiklos, finansų valdy</w:t>
      </w:r>
      <w:bookmarkStart w:id="8" w:name="_GoBack"/>
      <w:bookmarkEnd w:id="8"/>
      <w:r w:rsidRPr="000E41CE">
        <w:t>mo ir kontrolės.</w:t>
      </w:r>
      <w:bookmarkStart w:id="9" w:name="TextBodyEnd"/>
      <w:bookmarkEnd w:id="9"/>
    </w:p>
    <w:sectPr w:rsidR="00E365E1" w:rsidRPr="000E41CE" w:rsidSect="000E41C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9B9" w:rsidRPr="000E41CE" w:rsidRDefault="004A79B9">
      <w:r w:rsidRPr="000E41CE">
        <w:separator/>
      </w:r>
    </w:p>
  </w:endnote>
  <w:endnote w:type="continuationSeparator" w:id="0">
    <w:p w:rsidR="004A79B9" w:rsidRPr="000E41CE" w:rsidRDefault="004A79B9">
      <w:r w:rsidRPr="000E4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634" w:rsidRPr="000E41CE" w:rsidRDefault="008D7634" w:rsidP="003C3C7C">
    <w:pPr>
      <w:pStyle w:val="EPFooter"/>
    </w:pPr>
    <w:r w:rsidRPr="000E41CE">
      <w:t>PE</w:t>
    </w:r>
    <w:r w:rsidRPr="000E41CE">
      <w:rPr>
        <w:rStyle w:val="HideTWBExt"/>
      </w:rPr>
      <w:t>&lt;</w:t>
    </w:r>
    <w:proofErr w:type="spellStart"/>
    <w:r w:rsidRPr="000E41CE">
      <w:rPr>
        <w:rStyle w:val="HideTWBExt"/>
      </w:rPr>
      <w:t>NoPE</w:t>
    </w:r>
    <w:proofErr w:type="spellEnd"/>
    <w:r w:rsidRPr="000E41CE">
      <w:rPr>
        <w:rStyle w:val="HideTWBExt"/>
      </w:rPr>
      <w:t>&gt;</w:t>
    </w:r>
    <w:r w:rsidRPr="000E41CE">
      <w:t>753.510</w:t>
    </w:r>
    <w:r w:rsidRPr="000E41CE">
      <w:rPr>
        <w:rStyle w:val="HideTWBExt"/>
      </w:rPr>
      <w:t>&lt;/</w:t>
    </w:r>
    <w:proofErr w:type="spellStart"/>
    <w:r w:rsidRPr="000E41CE">
      <w:rPr>
        <w:rStyle w:val="HideTWBExt"/>
      </w:rPr>
      <w:t>NoPE</w:t>
    </w:r>
    <w:proofErr w:type="spellEnd"/>
    <w:r w:rsidRPr="000E41CE">
      <w:rPr>
        <w:rStyle w:val="HideTWBExt"/>
      </w:rPr>
      <w:t>&gt;&lt;Version&gt;</w:t>
    </w:r>
    <w:r w:rsidRPr="000E41CE">
      <w:t>v02-00</w:t>
    </w:r>
    <w:r w:rsidRPr="000E41CE">
      <w:rPr>
        <w:rStyle w:val="HideTWBExt"/>
      </w:rPr>
      <w:t>&lt;/</w:t>
    </w:r>
    <w:proofErr w:type="spellStart"/>
    <w:r w:rsidRPr="000E41CE">
      <w:rPr>
        <w:rStyle w:val="HideTWBExt"/>
      </w:rPr>
      <w:t>Version</w:t>
    </w:r>
    <w:proofErr w:type="spellEnd"/>
    <w:r w:rsidRPr="000E41CE">
      <w:rPr>
        <w:rStyle w:val="HideTWBExt"/>
      </w:rPr>
      <w:t>&gt;</w:t>
    </w:r>
    <w:r w:rsidRPr="000E41CE">
      <w:tab/>
    </w:r>
    <w:r w:rsidRPr="000E41CE">
      <w:fldChar w:fldCharType="begin"/>
    </w:r>
    <w:r w:rsidRPr="000E41CE">
      <w:instrText xml:space="preserve"> PAGE  \* MERGEFORMAT </w:instrText>
    </w:r>
    <w:r w:rsidRPr="000E41CE">
      <w:fldChar w:fldCharType="separate"/>
    </w:r>
    <w:r w:rsidRPr="000E41CE">
      <w:rPr>
        <w:noProof/>
      </w:rPr>
      <w:t>4</w:t>
    </w:r>
    <w:r w:rsidRPr="000E41CE">
      <w:fldChar w:fldCharType="end"/>
    </w:r>
    <w:r w:rsidRPr="000E41CE">
      <w:t>/</w:t>
    </w:r>
    <w:fldSimple w:instr=" NUMPAGES  \* MERGEFORMAT ">
      <w:r w:rsidRPr="000E41CE">
        <w:rPr>
          <w:noProof/>
        </w:rPr>
        <w:t>4</w:t>
      </w:r>
    </w:fldSimple>
    <w:r w:rsidRPr="000E41CE">
      <w:tab/>
    </w:r>
    <w:r w:rsidRPr="000E41CE">
      <w:rPr>
        <w:rStyle w:val="HideTWBExt"/>
      </w:rPr>
      <w:t>&lt;PathFdR&gt;</w:t>
    </w:r>
    <w:r w:rsidRPr="000E41CE">
      <w:t>RR\1298754LT.docx</w:t>
    </w:r>
    <w:r w:rsidRPr="000E41CE">
      <w:rPr>
        <w:rStyle w:val="HideTWBExt"/>
      </w:rPr>
      <w:t>&lt;/</w:t>
    </w:r>
    <w:proofErr w:type="spellStart"/>
    <w:r w:rsidRPr="000E41CE">
      <w:rPr>
        <w:rStyle w:val="HideTWBExt"/>
      </w:rPr>
      <w:t>PathFdR</w:t>
    </w:r>
    <w:proofErr w:type="spellEnd"/>
    <w:r w:rsidRPr="000E41CE">
      <w:rPr>
        <w:rStyle w:val="HideTWBExt"/>
      </w:rPr>
      <w:t>&gt;</w:t>
    </w:r>
  </w:p>
  <w:p w:rsidR="008D7634" w:rsidRPr="000E41CE" w:rsidRDefault="008D7634" w:rsidP="003C3C7C">
    <w:pPr>
      <w:pStyle w:val="EPFooter2"/>
    </w:pPr>
    <w:r w:rsidRPr="000E41C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634" w:rsidRPr="000E41CE" w:rsidRDefault="008D7634" w:rsidP="003C3C7C">
    <w:pPr>
      <w:pStyle w:val="EPFooter"/>
    </w:pPr>
    <w:r w:rsidRPr="000E41CE">
      <w:rPr>
        <w:rStyle w:val="HideTWBExt"/>
      </w:rPr>
      <w:t>&lt;PathFdR&gt;</w:t>
    </w:r>
    <w:r w:rsidRPr="000E41CE">
      <w:t>RR\1298754LT.docx</w:t>
    </w:r>
    <w:r w:rsidRPr="000E41CE">
      <w:rPr>
        <w:rStyle w:val="HideTWBExt"/>
      </w:rPr>
      <w:t>&lt;/</w:t>
    </w:r>
    <w:proofErr w:type="spellStart"/>
    <w:r w:rsidRPr="000E41CE">
      <w:rPr>
        <w:rStyle w:val="HideTWBExt"/>
      </w:rPr>
      <w:t>PathFdR</w:t>
    </w:r>
    <w:proofErr w:type="spellEnd"/>
    <w:r w:rsidRPr="000E41CE">
      <w:rPr>
        <w:rStyle w:val="HideTWBExt"/>
      </w:rPr>
      <w:t>&gt;</w:t>
    </w:r>
    <w:r w:rsidRPr="000E41CE">
      <w:tab/>
    </w:r>
    <w:r w:rsidRPr="000E41CE">
      <w:tab/>
      <w:t>PE</w:t>
    </w:r>
    <w:r w:rsidRPr="000E41CE">
      <w:rPr>
        <w:rStyle w:val="HideTWBExt"/>
      </w:rPr>
      <w:t>&lt;</w:t>
    </w:r>
    <w:proofErr w:type="spellStart"/>
    <w:r w:rsidRPr="000E41CE">
      <w:rPr>
        <w:rStyle w:val="HideTWBExt"/>
      </w:rPr>
      <w:t>NoPE</w:t>
    </w:r>
    <w:proofErr w:type="spellEnd"/>
    <w:r w:rsidRPr="000E41CE">
      <w:rPr>
        <w:rStyle w:val="HideTWBExt"/>
      </w:rPr>
      <w:t>&gt;</w:t>
    </w:r>
    <w:r w:rsidRPr="000E41CE">
      <w:t>753.510</w:t>
    </w:r>
    <w:r w:rsidRPr="000E41CE">
      <w:rPr>
        <w:rStyle w:val="HideTWBExt"/>
      </w:rPr>
      <w:t>&lt;/</w:t>
    </w:r>
    <w:proofErr w:type="spellStart"/>
    <w:r w:rsidRPr="000E41CE">
      <w:rPr>
        <w:rStyle w:val="HideTWBExt"/>
      </w:rPr>
      <w:t>NoPE</w:t>
    </w:r>
    <w:proofErr w:type="spellEnd"/>
    <w:r w:rsidRPr="000E41CE">
      <w:rPr>
        <w:rStyle w:val="HideTWBExt"/>
      </w:rPr>
      <w:t>&gt;&lt;Version&gt;</w:t>
    </w:r>
    <w:r w:rsidRPr="000E41CE">
      <w:t>v02-00</w:t>
    </w:r>
    <w:r w:rsidRPr="000E41CE">
      <w:rPr>
        <w:rStyle w:val="HideTWBExt"/>
      </w:rPr>
      <w:t>&lt;/</w:t>
    </w:r>
    <w:proofErr w:type="spellStart"/>
    <w:r w:rsidRPr="000E41CE">
      <w:rPr>
        <w:rStyle w:val="HideTWBExt"/>
      </w:rPr>
      <w:t>Version</w:t>
    </w:r>
    <w:proofErr w:type="spellEnd"/>
    <w:r w:rsidRPr="000E41CE">
      <w:rPr>
        <w:rStyle w:val="HideTWBExt"/>
      </w:rPr>
      <w:t>&gt;</w:t>
    </w:r>
  </w:p>
  <w:p w:rsidR="008D7634" w:rsidRPr="000E41CE" w:rsidRDefault="008D7634" w:rsidP="003C3C7C">
    <w:pPr>
      <w:pStyle w:val="EPFooter2"/>
    </w:pPr>
    <w:r w:rsidRPr="000E41CE">
      <w:t>LT</w:t>
    </w:r>
    <w:r w:rsidRPr="000E41CE">
      <w:tab/>
    </w:r>
    <w:r w:rsidRPr="000E41CE">
      <w:rPr>
        <w:b w:val="0"/>
        <w:i/>
        <w:color w:val="C0C0C0"/>
        <w:sz w:val="22"/>
      </w:rPr>
      <w:t>Suvienijusi įvairovę</w:t>
    </w:r>
    <w:r w:rsidRPr="000E41CE">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1C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1C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1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9B9" w:rsidRPr="000E41CE" w:rsidRDefault="004A79B9">
      <w:r w:rsidRPr="000E41CE">
        <w:separator/>
      </w:r>
    </w:p>
  </w:footnote>
  <w:footnote w:type="continuationSeparator" w:id="0">
    <w:p w:rsidR="004A79B9" w:rsidRPr="000E41CE" w:rsidRDefault="004A79B9">
      <w:r w:rsidRPr="000E41CE">
        <w:continuationSeparator/>
      </w:r>
    </w:p>
  </w:footnote>
  <w:footnote w:id="1">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C, C/2023/594, 2023 10 27.</w:t>
      </w:r>
    </w:p>
  </w:footnote>
  <w:footnote w:id="2">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C, C/2023/112, 2023 10 12.</w:t>
      </w:r>
    </w:p>
  </w:footnote>
  <w:footnote w:id="3">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L 193, 2018 7 30, p. 1.</w:t>
      </w:r>
    </w:p>
  </w:footnote>
  <w:footnote w:id="4">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L 319, 2015 12 4, p. 1.</w:t>
      </w:r>
    </w:p>
  </w:footnote>
  <w:footnote w:id="5">
    <w:p w:rsidR="008D7634" w:rsidRPr="000E41CE" w:rsidRDefault="008D7634" w:rsidP="000E41CE">
      <w:pPr>
        <w:pStyle w:val="FootnoteText"/>
        <w:ind w:left="567" w:hanging="567"/>
        <w:rPr>
          <w:sz w:val="24"/>
          <w:szCs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L 122, 2019 5 10, p. 1.</w:t>
      </w:r>
    </w:p>
  </w:footnote>
  <w:footnote w:id="6">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C, C/2023/594, 2023 10 27.</w:t>
      </w:r>
    </w:p>
  </w:footnote>
  <w:footnote w:id="7">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C, C/2023/112, 2023 10 12.</w:t>
      </w:r>
    </w:p>
  </w:footnote>
  <w:footnote w:id="8">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L 193, 2018 7 30, p. 1.</w:t>
      </w:r>
    </w:p>
  </w:footnote>
  <w:footnote w:id="9">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L 319, 2015 12 4, p. 1.</w:t>
      </w:r>
    </w:p>
  </w:footnote>
  <w:footnote w:id="10">
    <w:p w:rsidR="008D7634" w:rsidRPr="000E41CE" w:rsidRDefault="008D7634" w:rsidP="000E41CE">
      <w:pPr>
        <w:pStyle w:val="FootnoteText"/>
        <w:ind w:left="567" w:hanging="567"/>
        <w:rPr>
          <w:sz w:val="24"/>
          <w:szCs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L 122, 2019 5 10, p. 1.</w:t>
      </w:r>
    </w:p>
  </w:footnote>
  <w:footnote w:id="11">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OL C 73, 2023 2 28, p. 44.</w:t>
      </w:r>
    </w:p>
  </w:footnote>
  <w:footnote w:id="12">
    <w:p w:rsidR="008D7634" w:rsidRPr="000E41CE" w:rsidRDefault="008D7634" w:rsidP="000E41CE">
      <w:pPr>
        <w:pStyle w:val="FootnoteText"/>
        <w:ind w:left="567" w:hanging="567"/>
        <w:rPr>
          <w:sz w:val="24"/>
          <w:lang w:val="lt-LT"/>
        </w:rPr>
      </w:pPr>
      <w:r w:rsidRPr="000E41CE">
        <w:rPr>
          <w:rStyle w:val="FootnoteReference"/>
          <w:sz w:val="24"/>
          <w:lang w:val="lt-LT"/>
        </w:rPr>
        <w:footnoteRef/>
      </w:r>
      <w:r w:rsidR="000E41CE" w:rsidRPr="000E41CE">
        <w:rPr>
          <w:sz w:val="24"/>
          <w:lang w:val="lt-LT"/>
        </w:rPr>
        <w:t xml:space="preserve"> </w:t>
      </w:r>
      <w:r w:rsidR="000E41CE" w:rsidRPr="000E41CE">
        <w:rPr>
          <w:sz w:val="24"/>
          <w:lang w:val="lt-LT"/>
        </w:rPr>
        <w:tab/>
      </w:r>
      <w:r w:rsidRPr="000E41CE">
        <w:rPr>
          <w:sz w:val="24"/>
          <w:lang w:val="lt-LT"/>
        </w:rPr>
        <w:t>Priimti tekstai, P9_TA(2024)0</w:t>
      </w:r>
      <w:r w:rsidR="00CD0464">
        <w:rPr>
          <w:sz w:val="24"/>
          <w:lang w:val="lt-LT"/>
        </w:rPr>
        <w:t>28</w:t>
      </w:r>
      <w:r w:rsidRPr="000E41CE">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1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1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1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LT"/>
    <w:docVar w:name="dvnumam" w:val="0"/>
    <w:docVar w:name="dvpe" w:val="753.510"/>
    <w:docVar w:name="dvrapporteur" w:val="Pranešėjas: "/>
    <w:docVar w:name="dvtitre" w:val="Europos Parlamento sprendimas dėl Europos Sąjungos teisėsaugos mokymo agentūros (CEPOL) 2022 finansinių metų biudžeto įvykdymo patvirtinimo(2023/2144(DEC))"/>
  </w:docVars>
  <w:rsids>
    <w:rsidRoot w:val="004A79B9"/>
    <w:rsid w:val="00002272"/>
    <w:rsid w:val="00064002"/>
    <w:rsid w:val="000677B9"/>
    <w:rsid w:val="000831BA"/>
    <w:rsid w:val="000A42CC"/>
    <w:rsid w:val="000E41CE"/>
    <w:rsid w:val="000E7DD9"/>
    <w:rsid w:val="0010095E"/>
    <w:rsid w:val="00125B37"/>
    <w:rsid w:val="00187494"/>
    <w:rsid w:val="001F32AE"/>
    <w:rsid w:val="002767FF"/>
    <w:rsid w:val="002B18FE"/>
    <w:rsid w:val="002B5493"/>
    <w:rsid w:val="00343214"/>
    <w:rsid w:val="00361C00"/>
    <w:rsid w:val="00395FA1"/>
    <w:rsid w:val="003B2822"/>
    <w:rsid w:val="003E15D4"/>
    <w:rsid w:val="00411CCE"/>
    <w:rsid w:val="0041666E"/>
    <w:rsid w:val="00421060"/>
    <w:rsid w:val="00471C19"/>
    <w:rsid w:val="004867E3"/>
    <w:rsid w:val="00494A28"/>
    <w:rsid w:val="004A79B9"/>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634"/>
    <w:rsid w:val="00930C23"/>
    <w:rsid w:val="0093193B"/>
    <w:rsid w:val="009509D8"/>
    <w:rsid w:val="00950B64"/>
    <w:rsid w:val="00981893"/>
    <w:rsid w:val="00A1687D"/>
    <w:rsid w:val="00A43E52"/>
    <w:rsid w:val="00A4678D"/>
    <w:rsid w:val="00A778C7"/>
    <w:rsid w:val="00A95A97"/>
    <w:rsid w:val="00AB441E"/>
    <w:rsid w:val="00AB6293"/>
    <w:rsid w:val="00AE0928"/>
    <w:rsid w:val="00AF3B82"/>
    <w:rsid w:val="00B12E95"/>
    <w:rsid w:val="00B22876"/>
    <w:rsid w:val="00B25B48"/>
    <w:rsid w:val="00B558F0"/>
    <w:rsid w:val="00B80798"/>
    <w:rsid w:val="00B8135B"/>
    <w:rsid w:val="00BD48FE"/>
    <w:rsid w:val="00BD7BD8"/>
    <w:rsid w:val="00BE6ADC"/>
    <w:rsid w:val="00C05BFE"/>
    <w:rsid w:val="00C23CD4"/>
    <w:rsid w:val="00C61C0C"/>
    <w:rsid w:val="00C941CB"/>
    <w:rsid w:val="00CC2357"/>
    <w:rsid w:val="00CD0464"/>
    <w:rsid w:val="00CE3F3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1E4A4"/>
  <w15:chartTrackingRefBased/>
  <w15:docId w15:val="{DA10A5B5-DA39-4B62-8ECA-6425805E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76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7634"/>
    <w:pPr>
      <w:spacing w:before="480" w:after="240"/>
    </w:pPr>
  </w:style>
  <w:style w:type="paragraph" w:customStyle="1" w:styleId="PageHeading">
    <w:name w:val="PageHeading"/>
    <w:basedOn w:val="Normal"/>
    <w:rsid w:val="008D7634"/>
    <w:pPr>
      <w:keepNext/>
      <w:spacing w:after="480"/>
      <w:jc w:val="center"/>
    </w:pPr>
    <w:rPr>
      <w:rFonts w:ascii="Arial" w:hAnsi="Arial" w:cs="Arial"/>
      <w:b/>
    </w:rPr>
  </w:style>
  <w:style w:type="paragraph" w:customStyle="1" w:styleId="NormalBold">
    <w:name w:val="NormalBold"/>
    <w:basedOn w:val="Normal"/>
    <w:rsid w:val="008D7634"/>
    <w:rPr>
      <w:b/>
    </w:rPr>
  </w:style>
  <w:style w:type="paragraph" w:customStyle="1" w:styleId="NormalHanging12a">
    <w:name w:val="NormalHanging12a"/>
    <w:basedOn w:val="Normal"/>
    <w:link w:val="NormalHanging12aChar"/>
    <w:rsid w:val="008D7634"/>
    <w:pPr>
      <w:spacing w:after="240"/>
      <w:ind w:left="567" w:hanging="567"/>
    </w:pPr>
  </w:style>
  <w:style w:type="paragraph" w:customStyle="1" w:styleId="NormalCenter12a">
    <w:name w:val="NormalCenter12a"/>
    <w:basedOn w:val="Normal"/>
    <w:rsid w:val="008D7634"/>
    <w:pPr>
      <w:spacing w:after="240"/>
      <w:jc w:val="center"/>
    </w:pPr>
  </w:style>
  <w:style w:type="paragraph" w:styleId="Header">
    <w:name w:val="header"/>
    <w:basedOn w:val="Normal"/>
    <w:link w:val="HeaderChar"/>
    <w:rsid w:val="008D7634"/>
    <w:pPr>
      <w:tabs>
        <w:tab w:val="center" w:pos="4513"/>
        <w:tab w:val="right" w:pos="9026"/>
      </w:tabs>
    </w:pPr>
  </w:style>
  <w:style w:type="character" w:customStyle="1" w:styleId="HeaderChar">
    <w:name w:val="Header Char"/>
    <w:basedOn w:val="DefaultParagraphFont"/>
    <w:link w:val="Header"/>
    <w:rsid w:val="008D7634"/>
    <w:rPr>
      <w:sz w:val="24"/>
      <w:lang w:val="lt-LT"/>
    </w:rPr>
  </w:style>
  <w:style w:type="paragraph" w:customStyle="1" w:styleId="EPFooter">
    <w:name w:val="EPFooter"/>
    <w:basedOn w:val="Normal"/>
    <w:rsid w:val="008D7634"/>
    <w:pPr>
      <w:tabs>
        <w:tab w:val="center" w:pos="4535"/>
        <w:tab w:val="right" w:pos="9071"/>
      </w:tabs>
      <w:spacing w:before="240" w:after="240"/>
    </w:pPr>
    <w:rPr>
      <w:color w:val="010000"/>
      <w:sz w:val="22"/>
    </w:rPr>
  </w:style>
  <w:style w:type="paragraph" w:styleId="ListParagraph">
    <w:name w:val="List Paragraph"/>
    <w:basedOn w:val="Normal"/>
    <w:uiPriority w:val="34"/>
    <w:qFormat/>
    <w:rsid w:val="008D7634"/>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8D7634"/>
    <w:rPr>
      <w:sz w:val="24"/>
      <w:lang w:val="lt-LT"/>
    </w:rPr>
  </w:style>
  <w:style w:type="character" w:customStyle="1" w:styleId="pointer">
    <w:name w:val="pointer"/>
    <w:basedOn w:val="DefaultParagraphFont"/>
    <w:rsid w:val="008D7634"/>
  </w:style>
  <w:style w:type="paragraph" w:styleId="Footer">
    <w:name w:val="footer"/>
    <w:basedOn w:val="Normal"/>
    <w:link w:val="FooterChar"/>
    <w:rsid w:val="00B25B48"/>
    <w:pPr>
      <w:tabs>
        <w:tab w:val="center" w:pos="4513"/>
        <w:tab w:val="right" w:pos="9026"/>
      </w:tabs>
    </w:pPr>
  </w:style>
  <w:style w:type="character" w:customStyle="1" w:styleId="FooterChar">
    <w:name w:val="Footer Char"/>
    <w:basedOn w:val="DefaultParagraphFont"/>
    <w:link w:val="Footer"/>
    <w:rsid w:val="00B25B48"/>
    <w:rPr>
      <w:sz w:val="24"/>
      <w:lang w:val="lt-LT"/>
    </w:rPr>
  </w:style>
  <w:style w:type="paragraph" w:styleId="BalloonText">
    <w:name w:val="Balloon Text"/>
    <w:basedOn w:val="Normal"/>
    <w:link w:val="BalloonTextChar"/>
    <w:rsid w:val="00CE3F34"/>
    <w:rPr>
      <w:rFonts w:ascii="Segoe UI" w:hAnsi="Segoe UI" w:cs="Segoe UI"/>
      <w:sz w:val="18"/>
      <w:szCs w:val="18"/>
    </w:rPr>
  </w:style>
  <w:style w:type="character" w:customStyle="1" w:styleId="BalloonTextChar">
    <w:name w:val="Balloon Text Char"/>
    <w:basedOn w:val="DefaultParagraphFont"/>
    <w:link w:val="BalloonText"/>
    <w:rsid w:val="00CE3F3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F9312-E7C9-458F-B171-8D645BB7A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3797</Words>
  <Characters>25393</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5</cp:revision>
  <cp:lastPrinted>2004-11-19T15:42:00Z</cp:lastPrinted>
  <dcterms:created xsi:type="dcterms:W3CDTF">2024-04-10T09:03:00Z</dcterms:created>
  <dcterms:modified xsi:type="dcterms:W3CDTF">2024-04-11T12:22:00Z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A9-0098/2024</vt:lpwstr>
  </property>
  <property fmtid="{D5CDD505-2E9C-101B-9397-08002B2CF9AE}" pid="4" name="&lt;Type&gt;">
    <vt:lpwstr>RR</vt:lpwstr>
  </property>
</Properties>
</file>