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90FE7" w:rsidTr="0010095E">
        <w:trPr>
          <w:trHeight w:hRule="exact" w:val="1418"/>
        </w:trPr>
        <w:tc>
          <w:tcPr>
            <w:tcW w:w="6804" w:type="dxa"/>
            <w:shd w:val="clear" w:color="auto" w:fill="auto"/>
            <w:vAlign w:val="center"/>
          </w:tcPr>
          <w:p w:rsidR="00751A4A" w:rsidRPr="00F90FE7" w:rsidRDefault="00397473" w:rsidP="0010095E">
            <w:pPr>
              <w:pStyle w:val="EPName"/>
            </w:pPr>
            <w:bookmarkStart w:id="0" w:name="_GoBack"/>
            <w:bookmarkEnd w:id="0"/>
            <w:r w:rsidRPr="00F90FE7">
              <w:t>Eiropas Parlaments</w:t>
            </w:r>
          </w:p>
          <w:p w:rsidR="00751A4A" w:rsidRPr="00F90FE7" w:rsidRDefault="00817416" w:rsidP="00756632">
            <w:pPr>
              <w:pStyle w:val="EPTerm"/>
              <w:rPr>
                <w:rStyle w:val="HideTWBExt"/>
                <w:noProof w:val="0"/>
                <w:vanish w:val="0"/>
                <w:color w:val="auto"/>
              </w:rPr>
            </w:pPr>
            <w:r w:rsidRPr="00F90FE7">
              <w:t>2019-2024</w:t>
            </w:r>
          </w:p>
        </w:tc>
        <w:tc>
          <w:tcPr>
            <w:tcW w:w="2268" w:type="dxa"/>
            <w:shd w:val="clear" w:color="auto" w:fill="auto"/>
          </w:tcPr>
          <w:p w:rsidR="00751A4A" w:rsidRPr="00F90FE7" w:rsidRDefault="00187494" w:rsidP="0010095E">
            <w:pPr>
              <w:pStyle w:val="EPLogo"/>
            </w:pPr>
            <w:r w:rsidRPr="00F90FE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90FE7" w:rsidRDefault="00D058B8" w:rsidP="004C5D52">
      <w:pPr>
        <w:pStyle w:val="LineTop"/>
      </w:pPr>
    </w:p>
    <w:p w:rsidR="00680577" w:rsidRPr="00F90FE7" w:rsidRDefault="00397473" w:rsidP="00680577">
      <w:pPr>
        <w:pStyle w:val="EPBodyTA1"/>
      </w:pPr>
      <w:r w:rsidRPr="00F90FE7">
        <w:t>PIEŅEMTIE TEKSTI</w:t>
      </w:r>
    </w:p>
    <w:p w:rsidR="00D058B8" w:rsidRPr="00F90FE7" w:rsidRDefault="00D058B8" w:rsidP="00D058B8">
      <w:pPr>
        <w:pStyle w:val="LineBottom"/>
      </w:pPr>
    </w:p>
    <w:p w:rsidR="00397473" w:rsidRPr="00F90FE7" w:rsidRDefault="00397473" w:rsidP="00397473">
      <w:pPr>
        <w:pStyle w:val="ATHeading1"/>
      </w:pPr>
      <w:bookmarkStart w:id="1" w:name="TANumber"/>
      <w:r w:rsidRPr="00F90FE7">
        <w:t>P9_TA(2024)0</w:t>
      </w:r>
      <w:r w:rsidR="00F90FE7" w:rsidRPr="00F90FE7">
        <w:t>254</w:t>
      </w:r>
      <w:bookmarkEnd w:id="1"/>
    </w:p>
    <w:p w:rsidR="00397473" w:rsidRPr="00F90FE7" w:rsidRDefault="005509B2" w:rsidP="005509B2">
      <w:pPr>
        <w:pStyle w:val="ATHeading2"/>
      </w:pPr>
      <w:bookmarkStart w:id="2" w:name="title"/>
      <w:r w:rsidRPr="00F90FE7">
        <w:t>2022. finanšu gada budžeta izpildes apstiprināšana: Eiropas Savienības Tiesībaizsardzības apmācības aģentūra (</w:t>
      </w:r>
      <w:r w:rsidRPr="00F90FE7">
        <w:rPr>
          <w:i/>
        </w:rPr>
        <w:t>CEPOL</w:t>
      </w:r>
      <w:r w:rsidRPr="00F90FE7">
        <w:t>)</w:t>
      </w:r>
      <w:bookmarkEnd w:id="2"/>
    </w:p>
    <w:p w:rsidR="00397473" w:rsidRPr="00F90FE7" w:rsidRDefault="00397473" w:rsidP="00397473">
      <w:pPr>
        <w:rPr>
          <w:i/>
          <w:vanish/>
        </w:rPr>
      </w:pPr>
      <w:r w:rsidRPr="00F90FE7">
        <w:rPr>
          <w:i/>
        </w:rPr>
        <w:fldChar w:fldCharType="begin"/>
      </w:r>
      <w:r w:rsidRPr="00F90FE7">
        <w:rPr>
          <w:i/>
        </w:rPr>
        <w:instrText xml:space="preserve"> TC"(</w:instrText>
      </w:r>
      <w:bookmarkStart w:id="3" w:name="DocNumber"/>
      <w:r w:rsidRPr="00F90FE7">
        <w:rPr>
          <w:i/>
        </w:rPr>
        <w:instrText>A9-0098/2024</w:instrText>
      </w:r>
      <w:bookmarkEnd w:id="3"/>
      <w:r w:rsidRPr="00F90FE7">
        <w:rPr>
          <w:i/>
        </w:rPr>
        <w:instrText xml:space="preserve"> - Referents: Petri Sarvamaa)"\l3 \n&gt; \* MERGEFORMAT </w:instrText>
      </w:r>
      <w:r w:rsidRPr="00F90FE7">
        <w:rPr>
          <w:i/>
        </w:rPr>
        <w:fldChar w:fldCharType="end"/>
      </w:r>
    </w:p>
    <w:p w:rsidR="00397473" w:rsidRPr="00F90FE7" w:rsidRDefault="00397473" w:rsidP="00397473">
      <w:pPr>
        <w:rPr>
          <w:vanish/>
        </w:rPr>
      </w:pPr>
      <w:bookmarkStart w:id="4" w:name="Commission"/>
      <w:r w:rsidRPr="00F90FE7">
        <w:rPr>
          <w:vanish/>
        </w:rPr>
        <w:t>Budžeta kontroles komiteja</w:t>
      </w:r>
      <w:bookmarkEnd w:id="4"/>
    </w:p>
    <w:p w:rsidR="00397473" w:rsidRPr="00F90FE7" w:rsidRDefault="00397473" w:rsidP="00397473">
      <w:pPr>
        <w:rPr>
          <w:vanish/>
        </w:rPr>
      </w:pPr>
      <w:bookmarkStart w:id="5" w:name="PE"/>
      <w:r w:rsidRPr="00F90FE7">
        <w:rPr>
          <w:vanish/>
        </w:rPr>
        <w:t>PE753.510</w:t>
      </w:r>
      <w:bookmarkEnd w:id="5"/>
    </w:p>
    <w:p w:rsidR="00397473" w:rsidRPr="00F90FE7" w:rsidRDefault="005509B2" w:rsidP="00397473">
      <w:pPr>
        <w:pStyle w:val="ATHeading3"/>
      </w:pPr>
      <w:bookmarkStart w:id="6" w:name="Sujet"/>
      <w:r w:rsidRPr="00F90FE7">
        <w:t>1. E</w:t>
      </w:r>
      <w:r w:rsidR="00397473" w:rsidRPr="00F90FE7">
        <w:t xml:space="preserve">iropas Parlamenta 2024. gada </w:t>
      </w:r>
      <w:r w:rsidRPr="00F90FE7">
        <w:t>11. aprīļa</w:t>
      </w:r>
      <w:r w:rsidR="00397473" w:rsidRPr="00F90FE7">
        <w:t xml:space="preserve"> lēmums par Eiropas Savienības Tiesībaizsardzības apmācības aģentūras (</w:t>
      </w:r>
      <w:r w:rsidR="00397473" w:rsidRPr="00F90FE7">
        <w:rPr>
          <w:i/>
        </w:rPr>
        <w:t>CEPOL</w:t>
      </w:r>
      <w:r w:rsidR="00397473" w:rsidRPr="00F90FE7">
        <w:t>) 2022. finanšu gada budžeta izpildes apstiprināšanu</w:t>
      </w:r>
      <w:bookmarkEnd w:id="6"/>
      <w:r w:rsidR="00397473" w:rsidRPr="00F90FE7">
        <w:t xml:space="preserve"> </w:t>
      </w:r>
      <w:bookmarkStart w:id="7" w:name="References"/>
      <w:r w:rsidR="00397473" w:rsidRPr="00F90FE7">
        <w:t>(2023/2144(DEC))</w:t>
      </w:r>
      <w:bookmarkEnd w:id="7"/>
    </w:p>
    <w:p w:rsidR="00E03615" w:rsidRPr="00F90FE7" w:rsidRDefault="00E03615" w:rsidP="00E03615">
      <w:pPr>
        <w:pStyle w:val="EPComma"/>
      </w:pPr>
      <w:bookmarkStart w:id="8" w:name="TextBodyBegin"/>
      <w:bookmarkEnd w:id="8"/>
      <w:r w:rsidRPr="00F90FE7">
        <w:rPr>
          <w:i/>
        </w:rPr>
        <w:t>Eiropas Parlaments</w:t>
      </w:r>
      <w:r w:rsidRPr="00F90FE7">
        <w:t>,</w:t>
      </w:r>
    </w:p>
    <w:p w:rsidR="00E03615" w:rsidRPr="00F90FE7" w:rsidRDefault="00E03615" w:rsidP="00E03615">
      <w:pPr>
        <w:pStyle w:val="NormalHanging12a"/>
      </w:pPr>
      <w:r w:rsidRPr="00F90FE7">
        <w:t>–</w:t>
      </w:r>
      <w:r w:rsidRPr="00F90FE7">
        <w:tab/>
        <w:t>ņemot vērā Eiropas Savienības Tiesībaizsardzības apmācības aģentūras (</w:t>
      </w:r>
      <w:r w:rsidRPr="00F90FE7">
        <w:rPr>
          <w:i/>
        </w:rPr>
        <w:t>CEPOL</w:t>
      </w:r>
      <w:r w:rsidRPr="00F90FE7">
        <w:t>) 2022. finanšu gada galīgos pārskatus,</w:t>
      </w:r>
    </w:p>
    <w:p w:rsidR="00E03615" w:rsidRPr="00F90FE7" w:rsidRDefault="00E03615" w:rsidP="00E03615">
      <w:pPr>
        <w:pStyle w:val="NormalHanging12a"/>
      </w:pPr>
      <w:r w:rsidRPr="00F90FE7">
        <w:t>–</w:t>
      </w:r>
      <w:r w:rsidRPr="00F90FE7">
        <w:tab/>
        <w:t>ņemot vērā Revīzijas palātas gada ziņojumu par ES aģentūrām attiecībā uz 2022. finanšu gadu ar aģentūru atbildēm</w:t>
      </w:r>
      <w:r w:rsidRPr="00F90FE7">
        <w:rPr>
          <w:rStyle w:val="FootnoteReference"/>
        </w:rPr>
        <w:footnoteReference w:id="1"/>
      </w:r>
      <w:r w:rsidRPr="00F90FE7">
        <w:t>,</w:t>
      </w:r>
    </w:p>
    <w:p w:rsidR="00E03615" w:rsidRPr="00F90FE7" w:rsidRDefault="00E03615" w:rsidP="00E03615">
      <w:pPr>
        <w:pStyle w:val="NormalHanging12a"/>
      </w:pPr>
      <w:r w:rsidRPr="00F90FE7">
        <w:t>–</w:t>
      </w:r>
      <w:r w:rsidRPr="00F90FE7">
        <w:tab/>
        <w:t>ņemot vērā deklarāciju</w:t>
      </w:r>
      <w:r w:rsidRPr="00F90FE7">
        <w:rPr>
          <w:rStyle w:val="FootnoteReference"/>
        </w:rPr>
        <w:footnoteReference w:id="2"/>
      </w:r>
      <w:r w:rsidRPr="00F90FE7">
        <w:t xml:space="preserve"> par pārskatu ticamību, kā arī par pakārtoto darījumu likumību un pareizību, kuru Revīzijas palāta sniegusi par 2022. finanšu gadu saskaņā ar Līguma par Eiropas Savienības darbību 287. pantu,</w:t>
      </w:r>
    </w:p>
    <w:p w:rsidR="00E03615" w:rsidRPr="00F90FE7" w:rsidRDefault="00E03615" w:rsidP="00E03615">
      <w:pPr>
        <w:pStyle w:val="NormalHanging12a"/>
      </w:pPr>
      <w:r w:rsidRPr="00F90FE7">
        <w:t>–</w:t>
      </w:r>
      <w:r w:rsidRPr="00F90FE7">
        <w:tab/>
        <w:t>ņemot vērā Padomes 2024. gada 22. februāra ieteikumu par apstiprinājumu, ko sniedz Aģentūrai par 2022. finanšu gada budžeta izpildi (</w:t>
      </w:r>
      <w:r w:rsidR="005509B2" w:rsidRPr="00F90FE7">
        <w:t>06180</w:t>
      </w:r>
      <w:r w:rsidRPr="00F90FE7">
        <w:t>/2024 – C9</w:t>
      </w:r>
      <w:r w:rsidRPr="00F90FE7">
        <w:noBreakHyphen/>
      </w:r>
      <w:r w:rsidR="005509B2" w:rsidRPr="00F90FE7">
        <w:t>0082</w:t>
      </w:r>
      <w:r w:rsidRPr="00F90FE7">
        <w:t>/2024),</w:t>
      </w:r>
    </w:p>
    <w:p w:rsidR="00E03615" w:rsidRPr="00F90FE7" w:rsidRDefault="00E03615" w:rsidP="00E03615">
      <w:pPr>
        <w:pStyle w:val="NormalHanging12a"/>
      </w:pPr>
      <w:r w:rsidRPr="00F90FE7">
        <w:t>–</w:t>
      </w:r>
      <w:r w:rsidRPr="00F90FE7">
        <w:tab/>
        <w:t>ņemot vērā Līguma par Eiropas Savienības darbību 319. pantu,</w:t>
      </w:r>
    </w:p>
    <w:p w:rsidR="00E03615" w:rsidRPr="00F90FE7" w:rsidRDefault="00E03615" w:rsidP="00E03615">
      <w:pPr>
        <w:pStyle w:val="NormalHanging12a"/>
      </w:pPr>
      <w:r w:rsidRPr="00F90FE7">
        <w:t>–</w:t>
      </w:r>
      <w:r w:rsidRPr="00F90FE7">
        <w:tab/>
        <w:t xml:space="preserve">ņemot vērā Eiropas Parlamenta un Padomes 2018. gada 18. jūlija Regulu (ES, </w:t>
      </w:r>
      <w:r w:rsidRPr="00F90FE7">
        <w:rPr>
          <w:i/>
        </w:rPr>
        <w:t>Euratom</w:t>
      </w:r>
      <w:r w:rsidRPr="00F90FE7">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F90FE7">
        <w:rPr>
          <w:i/>
        </w:rPr>
        <w:t>Euratom</w:t>
      </w:r>
      <w:r w:rsidRPr="00F90FE7">
        <w:t>) Nr. 966/2012</w:t>
      </w:r>
      <w:r w:rsidRPr="00F90FE7">
        <w:rPr>
          <w:rStyle w:val="FootnoteReference"/>
        </w:rPr>
        <w:footnoteReference w:id="3"/>
      </w:r>
      <w:r w:rsidRPr="00F90FE7">
        <w:t>, un jo īpaši tās 70. pantu,</w:t>
      </w:r>
    </w:p>
    <w:p w:rsidR="00E03615" w:rsidRPr="00F90FE7" w:rsidRDefault="00E03615" w:rsidP="00E03615">
      <w:pPr>
        <w:pStyle w:val="NormalHanging12a"/>
      </w:pPr>
      <w:r w:rsidRPr="00F90FE7">
        <w:t>–</w:t>
      </w:r>
      <w:r w:rsidRPr="00F90FE7">
        <w:tab/>
        <w:t xml:space="preserve">ņemot vērā Eiropas Parlamenta un Padomes 2015. gada 25. novembra </w:t>
      </w:r>
      <w:r w:rsidRPr="00F90FE7">
        <w:lastRenderedPageBreak/>
        <w:t>Regulu (ES) 2015/2219 par Eiropas Savienības Tiesībaizsardzības apmācības aģentūru (</w:t>
      </w:r>
      <w:r w:rsidRPr="00F90FE7">
        <w:rPr>
          <w:i/>
        </w:rPr>
        <w:t>CEPOL</w:t>
      </w:r>
      <w:r w:rsidRPr="00F90FE7">
        <w:t>) un ar ko aizstāj un atceļ Padomes Lēmumu 2005/681/TI</w:t>
      </w:r>
      <w:r w:rsidRPr="00F90FE7">
        <w:rPr>
          <w:rStyle w:val="FootnoteReference"/>
        </w:rPr>
        <w:footnoteReference w:id="4"/>
      </w:r>
      <w:r w:rsidRPr="00F90FE7">
        <w:t>, un jo īpaši tās 20. pantu,</w:t>
      </w:r>
    </w:p>
    <w:p w:rsidR="00E03615" w:rsidRPr="00F90FE7" w:rsidRDefault="00E03615" w:rsidP="00E03615">
      <w:pPr>
        <w:pStyle w:val="NormalHanging12a"/>
      </w:pPr>
      <w:r w:rsidRPr="00F90FE7">
        <w:t>–</w:t>
      </w:r>
      <w:r w:rsidRPr="00F90FE7">
        <w:tab/>
        <w:t xml:space="preserve">ņemot vērā Komisijas 2018. gada 18. decembra Deleģēto regulu (ES) 2019/715 par finanšu </w:t>
      </w:r>
      <w:proofErr w:type="spellStart"/>
      <w:r w:rsidRPr="00F90FE7">
        <w:t>pamatregulu</w:t>
      </w:r>
      <w:proofErr w:type="spellEnd"/>
      <w:r w:rsidRPr="00F90FE7">
        <w:t xml:space="preserve"> struktūrām, kas izveidotas saskaņā ar LESD un </w:t>
      </w:r>
      <w:r w:rsidRPr="00F90FE7">
        <w:rPr>
          <w:i/>
        </w:rPr>
        <w:t>Euratom</w:t>
      </w:r>
      <w:r w:rsidRPr="00F90FE7">
        <w:t xml:space="preserve"> līgumu un minētas Eiropas Parlamenta un Padomes Regulas (ES, </w:t>
      </w:r>
      <w:r w:rsidRPr="00F90FE7">
        <w:rPr>
          <w:i/>
        </w:rPr>
        <w:t>Euratom</w:t>
      </w:r>
      <w:r w:rsidRPr="00F90FE7">
        <w:t>) 2018/1046 70. pantā</w:t>
      </w:r>
      <w:r w:rsidRPr="00F90FE7">
        <w:rPr>
          <w:rStyle w:val="FootnoteReference"/>
        </w:rPr>
        <w:footnoteReference w:id="5"/>
      </w:r>
      <w:r w:rsidRPr="00F90FE7">
        <w:t>, un jo īpaši tās 105. pantu,</w:t>
      </w:r>
    </w:p>
    <w:p w:rsidR="00E03615" w:rsidRPr="00F90FE7" w:rsidRDefault="00E03615" w:rsidP="00E03615">
      <w:pPr>
        <w:pStyle w:val="NormalHanging12a"/>
      </w:pPr>
      <w:r w:rsidRPr="00F90FE7">
        <w:t>–</w:t>
      </w:r>
      <w:r w:rsidRPr="00F90FE7">
        <w:tab/>
        <w:t>ņemot vērā Reglamenta 100. pantu un V pielikumu,</w:t>
      </w:r>
    </w:p>
    <w:p w:rsidR="00E03615" w:rsidRPr="00F90FE7" w:rsidRDefault="00E03615" w:rsidP="00E03615">
      <w:pPr>
        <w:pStyle w:val="NormalHanging12a"/>
      </w:pPr>
      <w:r w:rsidRPr="00F90FE7">
        <w:t>–</w:t>
      </w:r>
      <w:r w:rsidRPr="00F90FE7">
        <w:tab/>
        <w:t xml:space="preserve">ņemot vērā Pilsoņu brīvību, tieslietu un </w:t>
      </w:r>
      <w:proofErr w:type="spellStart"/>
      <w:r w:rsidRPr="00F90FE7">
        <w:t>iekšlietu</w:t>
      </w:r>
      <w:proofErr w:type="spellEnd"/>
      <w:r w:rsidRPr="00F90FE7">
        <w:t xml:space="preserve"> komitejas atzinumu,</w:t>
      </w:r>
    </w:p>
    <w:p w:rsidR="00E03615" w:rsidRPr="00F90FE7" w:rsidRDefault="00E03615" w:rsidP="00E03615">
      <w:pPr>
        <w:pStyle w:val="NormalHanging12a"/>
      </w:pPr>
      <w:r w:rsidRPr="00F90FE7">
        <w:t>–</w:t>
      </w:r>
      <w:r w:rsidRPr="00F90FE7">
        <w:tab/>
        <w:t>ņemot vērā Budžeta kontroles komitejas ziņojumu (A9</w:t>
      </w:r>
      <w:r w:rsidRPr="00F90FE7">
        <w:noBreakHyphen/>
        <w:t>0098/2024),</w:t>
      </w:r>
    </w:p>
    <w:p w:rsidR="00E03615" w:rsidRPr="00F90FE7" w:rsidRDefault="00E03615" w:rsidP="00E03615">
      <w:pPr>
        <w:pStyle w:val="NormalHanging12a"/>
      </w:pPr>
      <w:r w:rsidRPr="00F90FE7">
        <w:t>1.</w:t>
      </w:r>
      <w:r w:rsidRPr="00F90FE7">
        <w:tab/>
        <w:t>sniedz Eiropas Savienības Tiesībaizsardzības apmācības aģentūras (</w:t>
      </w:r>
      <w:r w:rsidRPr="00F90FE7">
        <w:rPr>
          <w:i/>
        </w:rPr>
        <w:t>CEPOL</w:t>
      </w:r>
      <w:r w:rsidRPr="00F90FE7">
        <w:t>) izpilddirektorei apstiprinājumu par Aģentūras 2022. finanšu gada budžeta izpildi;</w:t>
      </w:r>
    </w:p>
    <w:p w:rsidR="00E03615" w:rsidRPr="00F90FE7" w:rsidRDefault="00E03615" w:rsidP="00E03615">
      <w:pPr>
        <w:pStyle w:val="NormalHanging12a"/>
      </w:pPr>
      <w:r w:rsidRPr="00F90FE7">
        <w:t>2.</w:t>
      </w:r>
      <w:r w:rsidRPr="00F90FE7">
        <w:tab/>
        <w:t>izklāsta savus konstatējumus turpmāk tekstā iekļautajā rezolūcijā;</w:t>
      </w:r>
    </w:p>
    <w:p w:rsidR="00E03615" w:rsidRPr="00F90FE7" w:rsidRDefault="00E03615" w:rsidP="00E03615">
      <w:pPr>
        <w:pStyle w:val="NormalHanging12a"/>
      </w:pPr>
      <w:r w:rsidRPr="00F90FE7">
        <w:t>3.</w:t>
      </w:r>
      <w:r w:rsidRPr="00F90FE7">
        <w:tab/>
        <w:t>uzdod priekšsēdētājai šo lēmumu un rezolūciju, kas ir tā neatņemama daļa, nosūtīt Eiropas Savienības Tiesībaizsardzības apmācības aģentūras (</w:t>
      </w:r>
      <w:r w:rsidRPr="00F90FE7">
        <w:rPr>
          <w:i/>
        </w:rPr>
        <w:t>CEPOL</w:t>
      </w:r>
      <w:r w:rsidRPr="00F90FE7">
        <w:t xml:space="preserve">) izpilddirektorei, Padomei, Komisijai un Revīzijas palātai un nodrošināt to publicēšanu </w:t>
      </w:r>
      <w:r w:rsidRPr="00F90FE7">
        <w:rPr>
          <w:i/>
        </w:rPr>
        <w:t>Eiropas Savienības Oficiālajā Vēstnesī</w:t>
      </w:r>
      <w:r w:rsidRPr="00F90FE7">
        <w:t xml:space="preserve"> (L sērijā).</w:t>
      </w:r>
    </w:p>
    <w:p w:rsidR="00E03615" w:rsidRPr="00F90FE7" w:rsidRDefault="00E03615" w:rsidP="00E03615"/>
    <w:p w:rsidR="00E03615" w:rsidRPr="00F90FE7" w:rsidRDefault="00E03615" w:rsidP="00E03615">
      <w:pPr>
        <w:pStyle w:val="PageHeading"/>
        <w:sectPr w:rsidR="00E03615" w:rsidRPr="00F90FE7" w:rsidSect="007765B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E03615" w:rsidRPr="00F90FE7" w:rsidRDefault="005509B2" w:rsidP="00E03615">
      <w:pPr>
        <w:pStyle w:val="NormalBold"/>
      </w:pPr>
      <w:bookmarkStart w:id="9" w:name="_Toc161830439"/>
      <w:r w:rsidRPr="00F90FE7">
        <w:t xml:space="preserve">2. Eiropas Parlamenta 2024. gada 11. aprīļa lēmums par </w:t>
      </w:r>
      <w:bookmarkEnd w:id="9"/>
      <w:r w:rsidR="00E03615" w:rsidRPr="00F90FE7">
        <w:t>Eiropas Savienības Tiesībaizsardzības apmācības aģentūras (</w:t>
      </w:r>
      <w:r w:rsidR="00E03615" w:rsidRPr="00F90FE7">
        <w:rPr>
          <w:i/>
        </w:rPr>
        <w:t>CEPOL</w:t>
      </w:r>
      <w:r w:rsidR="00E03615" w:rsidRPr="00F90FE7">
        <w:t>) 2022. finanšu gada pārskatu apstiprināšanu</w:t>
      </w:r>
      <w:r w:rsidRPr="00F90FE7">
        <w:t xml:space="preserve"> </w:t>
      </w:r>
      <w:r w:rsidR="00E03615" w:rsidRPr="00F90FE7">
        <w:t>(2023/2144(DEC))</w:t>
      </w:r>
    </w:p>
    <w:p w:rsidR="00E03615" w:rsidRPr="00F90FE7" w:rsidRDefault="00E03615" w:rsidP="00E03615">
      <w:pPr>
        <w:pStyle w:val="EPComma"/>
      </w:pPr>
      <w:r w:rsidRPr="00F90FE7">
        <w:rPr>
          <w:i/>
        </w:rPr>
        <w:t>Eiropas Parlaments</w:t>
      </w:r>
      <w:r w:rsidRPr="00F90FE7">
        <w:t>,</w:t>
      </w:r>
    </w:p>
    <w:p w:rsidR="00E03615" w:rsidRPr="00F90FE7" w:rsidRDefault="00E03615" w:rsidP="00E03615">
      <w:pPr>
        <w:pStyle w:val="NormalHanging12a"/>
      </w:pPr>
      <w:r w:rsidRPr="00F90FE7">
        <w:t>–</w:t>
      </w:r>
      <w:r w:rsidRPr="00F90FE7">
        <w:tab/>
        <w:t>ņemot vērā Eiropas Savienības Tiesībaizsardzības apmācības aģentūras (</w:t>
      </w:r>
      <w:r w:rsidRPr="00F90FE7">
        <w:rPr>
          <w:i/>
        </w:rPr>
        <w:t>CEPOL</w:t>
      </w:r>
      <w:r w:rsidRPr="00F90FE7">
        <w:t>) 2022. finanšu gada galīgos pārskatus,</w:t>
      </w:r>
    </w:p>
    <w:p w:rsidR="00E03615" w:rsidRPr="00F90FE7" w:rsidRDefault="00E03615" w:rsidP="00E03615">
      <w:pPr>
        <w:pStyle w:val="NormalHanging12a"/>
      </w:pPr>
      <w:r w:rsidRPr="00F90FE7">
        <w:t>–</w:t>
      </w:r>
      <w:r w:rsidRPr="00F90FE7">
        <w:tab/>
        <w:t>ņemot vērā Revīzijas palātas gada ziņojumu par ES aģentūrām attiecībā uz 2022. finanšu gadu ar aģentūru atbildēm</w:t>
      </w:r>
      <w:r w:rsidRPr="00F90FE7">
        <w:rPr>
          <w:rStyle w:val="FootnoteReference"/>
        </w:rPr>
        <w:footnoteReference w:id="6"/>
      </w:r>
      <w:r w:rsidRPr="00F90FE7">
        <w:t>,</w:t>
      </w:r>
    </w:p>
    <w:p w:rsidR="00E03615" w:rsidRPr="00F90FE7" w:rsidRDefault="00E03615" w:rsidP="00E03615">
      <w:pPr>
        <w:pStyle w:val="NormalHanging12a"/>
      </w:pPr>
      <w:r w:rsidRPr="00F90FE7">
        <w:t>–</w:t>
      </w:r>
      <w:r w:rsidRPr="00F90FE7">
        <w:tab/>
        <w:t>ņemot vērā deklarāciju</w:t>
      </w:r>
      <w:r w:rsidRPr="00F90FE7">
        <w:rPr>
          <w:rStyle w:val="FootnoteReference"/>
        </w:rPr>
        <w:footnoteReference w:id="7"/>
      </w:r>
      <w:r w:rsidRPr="00F90FE7">
        <w:t xml:space="preserve"> par pārskatu ticamību, kā arī par pakārtoto darījumu likumību un pareizību, kuru Revīzijas palāta sniegusi par 2022. finanšu gadu saskaņā ar Līguma par Eiropas Savienības darbību 287. pantu,</w:t>
      </w:r>
    </w:p>
    <w:p w:rsidR="00E03615" w:rsidRPr="00F90FE7" w:rsidRDefault="00E03615" w:rsidP="00E03615">
      <w:pPr>
        <w:pStyle w:val="NormalHanging12a"/>
      </w:pPr>
      <w:r w:rsidRPr="00F90FE7">
        <w:t>–</w:t>
      </w:r>
      <w:r w:rsidRPr="00F90FE7">
        <w:tab/>
        <w:t>ņemot vērā Padomes 2024. gada 22. februāra ieteikumu par apstiprinājumu, ko sniedz Aģentūrai par 2022. finanšu gada budžeta izpildi (</w:t>
      </w:r>
      <w:r w:rsidR="005509B2" w:rsidRPr="00F90FE7">
        <w:t>06180</w:t>
      </w:r>
      <w:r w:rsidRPr="00F90FE7">
        <w:t>/2024 – C9</w:t>
      </w:r>
      <w:r w:rsidRPr="00F90FE7">
        <w:noBreakHyphen/>
      </w:r>
      <w:r w:rsidR="005509B2" w:rsidRPr="00F90FE7">
        <w:t>0082</w:t>
      </w:r>
      <w:r w:rsidRPr="00F90FE7">
        <w:t>/2024),</w:t>
      </w:r>
    </w:p>
    <w:p w:rsidR="00E03615" w:rsidRPr="00F90FE7" w:rsidRDefault="00E03615" w:rsidP="00E03615">
      <w:pPr>
        <w:pStyle w:val="NormalHanging12a"/>
      </w:pPr>
      <w:r w:rsidRPr="00F90FE7">
        <w:t>–</w:t>
      </w:r>
      <w:r w:rsidRPr="00F90FE7">
        <w:tab/>
        <w:t>ņemot vērā Līguma par Eiropas Savienības darbību 319. pantu,</w:t>
      </w:r>
    </w:p>
    <w:p w:rsidR="00E03615" w:rsidRPr="00F90FE7" w:rsidRDefault="00E03615" w:rsidP="00E03615">
      <w:pPr>
        <w:pStyle w:val="NormalHanging12a"/>
      </w:pPr>
      <w:r w:rsidRPr="00F90FE7">
        <w:t>–</w:t>
      </w:r>
      <w:r w:rsidRPr="00F90FE7">
        <w:tab/>
        <w:t xml:space="preserve">ņemot vērā Eiropas Parlamenta un Padomes 2018. gada 18. jūlija Regulu (ES, </w:t>
      </w:r>
      <w:r w:rsidRPr="00F90FE7">
        <w:rPr>
          <w:i/>
        </w:rPr>
        <w:t>Euratom</w:t>
      </w:r>
      <w:r w:rsidRPr="00F90FE7">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F90FE7">
        <w:rPr>
          <w:i/>
        </w:rPr>
        <w:t>Euratom</w:t>
      </w:r>
      <w:r w:rsidRPr="00F90FE7">
        <w:t>) Nr. 966/2012</w:t>
      </w:r>
      <w:r w:rsidRPr="00F90FE7">
        <w:rPr>
          <w:rStyle w:val="FootnoteReference"/>
        </w:rPr>
        <w:footnoteReference w:id="8"/>
      </w:r>
      <w:r w:rsidRPr="00F90FE7">
        <w:t>, un jo īpaši tās 70. pantu,</w:t>
      </w:r>
    </w:p>
    <w:p w:rsidR="00E03615" w:rsidRPr="00F90FE7" w:rsidRDefault="00E03615" w:rsidP="00E03615">
      <w:pPr>
        <w:pStyle w:val="NormalHanging12a"/>
      </w:pPr>
      <w:r w:rsidRPr="00F90FE7">
        <w:t>–</w:t>
      </w:r>
      <w:r w:rsidRPr="00F90FE7">
        <w:tab/>
        <w:t>ņemot vērā Eiropas Parlamenta un Padomes 2015. gada 25. novembra Regulu (ES) 2015/2219 par Eiropas Savienības Tiesībaizsardzības apmācības aģentūru (</w:t>
      </w:r>
      <w:r w:rsidRPr="00F90FE7">
        <w:rPr>
          <w:i/>
        </w:rPr>
        <w:t>CEPOL</w:t>
      </w:r>
      <w:r w:rsidRPr="00F90FE7">
        <w:t>) un ar ko aizstāj un atceļ Padomes Lēmumu 2005/681/TI</w:t>
      </w:r>
      <w:r w:rsidRPr="00F90FE7">
        <w:rPr>
          <w:rStyle w:val="FootnoteReference"/>
        </w:rPr>
        <w:footnoteReference w:id="9"/>
      </w:r>
      <w:r w:rsidRPr="00F90FE7">
        <w:t>, un jo īpaši tās 20. pantu,</w:t>
      </w:r>
    </w:p>
    <w:p w:rsidR="00E03615" w:rsidRPr="00F90FE7" w:rsidRDefault="00E03615" w:rsidP="00E03615">
      <w:pPr>
        <w:pStyle w:val="NormalHanging12a"/>
      </w:pPr>
      <w:r w:rsidRPr="00F90FE7">
        <w:t>–</w:t>
      </w:r>
      <w:r w:rsidRPr="00F90FE7">
        <w:tab/>
        <w:t xml:space="preserve">ņemot vērā Komisijas 2018. gada 18. decembra Deleģēto regulu (ES) 2019/715 par finanšu </w:t>
      </w:r>
      <w:proofErr w:type="spellStart"/>
      <w:r w:rsidRPr="00F90FE7">
        <w:t>pamatregulu</w:t>
      </w:r>
      <w:proofErr w:type="spellEnd"/>
      <w:r w:rsidRPr="00F90FE7">
        <w:t xml:space="preserve"> struktūrām, kas izveidotas saskaņā ar LESD un </w:t>
      </w:r>
      <w:r w:rsidRPr="00F90FE7">
        <w:rPr>
          <w:i/>
        </w:rPr>
        <w:t>Euratom</w:t>
      </w:r>
      <w:r w:rsidRPr="00F90FE7">
        <w:t xml:space="preserve"> līgumu un minētas Eiropas Parlamenta un Padomes Regulas (ES, </w:t>
      </w:r>
      <w:r w:rsidRPr="00F90FE7">
        <w:rPr>
          <w:i/>
        </w:rPr>
        <w:t>Euratom</w:t>
      </w:r>
      <w:r w:rsidRPr="00F90FE7">
        <w:t>) 2018/1046 70. pantā</w:t>
      </w:r>
      <w:r w:rsidRPr="00F90FE7">
        <w:rPr>
          <w:rStyle w:val="FootnoteReference"/>
        </w:rPr>
        <w:footnoteReference w:id="10"/>
      </w:r>
      <w:r w:rsidRPr="00F90FE7">
        <w:t>, un jo īpaši tās 105. pantu,</w:t>
      </w:r>
    </w:p>
    <w:p w:rsidR="00E03615" w:rsidRPr="00F90FE7" w:rsidRDefault="00E03615" w:rsidP="00E03615">
      <w:pPr>
        <w:pStyle w:val="NormalHanging12a"/>
      </w:pPr>
      <w:r w:rsidRPr="00F90FE7">
        <w:t>–</w:t>
      </w:r>
      <w:r w:rsidRPr="00F90FE7">
        <w:tab/>
        <w:t>ņemot vērā Reglamenta 100. pantu un V pielikumu,</w:t>
      </w:r>
    </w:p>
    <w:p w:rsidR="00E03615" w:rsidRPr="00F90FE7" w:rsidRDefault="00E03615" w:rsidP="00E03615">
      <w:pPr>
        <w:pStyle w:val="NormalHanging12a"/>
      </w:pPr>
      <w:r w:rsidRPr="00F90FE7">
        <w:t>–</w:t>
      </w:r>
      <w:r w:rsidRPr="00F90FE7">
        <w:tab/>
        <w:t xml:space="preserve">ņemot vērā Pilsoņu brīvību, tieslietu un </w:t>
      </w:r>
      <w:proofErr w:type="spellStart"/>
      <w:r w:rsidRPr="00F90FE7">
        <w:t>iekšlietu</w:t>
      </w:r>
      <w:proofErr w:type="spellEnd"/>
      <w:r w:rsidRPr="00F90FE7">
        <w:t xml:space="preserve"> komitejas atzinumu,</w:t>
      </w:r>
    </w:p>
    <w:p w:rsidR="00E03615" w:rsidRPr="00F90FE7" w:rsidRDefault="00E03615" w:rsidP="00E03615">
      <w:pPr>
        <w:pStyle w:val="NormalHanging12a"/>
      </w:pPr>
      <w:r w:rsidRPr="00F90FE7">
        <w:t>–</w:t>
      </w:r>
      <w:r w:rsidRPr="00F90FE7">
        <w:tab/>
        <w:t>ņemot vērā Budžeta kontroles komitejas ziņojumu (A9</w:t>
      </w:r>
      <w:r w:rsidRPr="00F90FE7">
        <w:noBreakHyphen/>
        <w:t>0098/2024),</w:t>
      </w:r>
    </w:p>
    <w:p w:rsidR="00E03615" w:rsidRPr="00F90FE7" w:rsidRDefault="00E03615" w:rsidP="00E03615">
      <w:pPr>
        <w:pStyle w:val="NormalHanging12a"/>
      </w:pPr>
      <w:r w:rsidRPr="00F90FE7">
        <w:t>1.</w:t>
      </w:r>
      <w:r w:rsidRPr="00F90FE7">
        <w:tab/>
        <w:t>apstiprina Eiropas Savienības Tiesībaizsardzības apmācības aģentūras (</w:t>
      </w:r>
      <w:r w:rsidRPr="00F90FE7">
        <w:rPr>
          <w:i/>
        </w:rPr>
        <w:t>CEPOL</w:t>
      </w:r>
      <w:r w:rsidRPr="00F90FE7">
        <w:t>) 2022. finanšu gada pārskatus;</w:t>
      </w:r>
    </w:p>
    <w:p w:rsidR="00E03615" w:rsidRPr="00F90FE7" w:rsidRDefault="00E03615" w:rsidP="00E03615">
      <w:pPr>
        <w:pStyle w:val="NormalHanging12a"/>
      </w:pPr>
      <w:r w:rsidRPr="00F90FE7">
        <w:t>2.</w:t>
      </w:r>
      <w:r w:rsidRPr="00F90FE7">
        <w:tab/>
        <w:t>uzdod priekšsēdētājai šo lēmumu nosūtīt Eiropas Savienības Tiesībaizsardzības apmācības aģentūras (</w:t>
      </w:r>
      <w:r w:rsidRPr="00F90FE7">
        <w:rPr>
          <w:i/>
        </w:rPr>
        <w:t>CEPOL</w:t>
      </w:r>
      <w:r w:rsidRPr="00F90FE7">
        <w:t xml:space="preserve">) izpilddirektorei, Padomei, Komisijai un Revīzijas palātai un nodrošināt tā publicēšanu </w:t>
      </w:r>
      <w:r w:rsidRPr="00F90FE7">
        <w:rPr>
          <w:i/>
        </w:rPr>
        <w:t>Eiropas Savienības Oficiālajā Vēstnesī</w:t>
      </w:r>
      <w:r w:rsidRPr="00F90FE7">
        <w:t xml:space="preserve"> (L sērijā).</w:t>
      </w:r>
    </w:p>
    <w:p w:rsidR="00E03615" w:rsidRPr="00F90FE7" w:rsidRDefault="00E03615" w:rsidP="00E03615"/>
    <w:p w:rsidR="00E03615" w:rsidRPr="00F90FE7" w:rsidRDefault="00E03615" w:rsidP="00E03615">
      <w:pPr>
        <w:pStyle w:val="PageHeading"/>
        <w:sectPr w:rsidR="00E03615" w:rsidRPr="00F90FE7" w:rsidSect="007765B6">
          <w:footnotePr>
            <w:numRestart w:val="eachPage"/>
          </w:footnotePr>
          <w:endnotePr>
            <w:numFmt w:val="decimal"/>
          </w:endnotePr>
          <w:pgSz w:w="11906" w:h="16838" w:code="9"/>
          <w:pgMar w:top="1134" w:right="1418" w:bottom="1418" w:left="1418" w:header="567" w:footer="567" w:gutter="0"/>
          <w:cols w:space="720"/>
          <w:noEndnote/>
          <w:docGrid w:linePitch="326"/>
        </w:sectPr>
      </w:pPr>
    </w:p>
    <w:p w:rsidR="00E03615" w:rsidRPr="00F90FE7" w:rsidRDefault="005509B2" w:rsidP="00E03615">
      <w:pPr>
        <w:pStyle w:val="NormalBold"/>
      </w:pPr>
      <w:bookmarkStart w:id="10" w:name="_Toc161830440"/>
      <w:r w:rsidRPr="00F90FE7">
        <w:t xml:space="preserve">3. Eiropas Parlamenta 2024. gada 11. aprīļa rezolūcija </w:t>
      </w:r>
      <w:bookmarkEnd w:id="10"/>
      <w:r w:rsidR="00E03615" w:rsidRPr="00F90FE7">
        <w:t>ar konstatējumiem, kas ir neatņemama daļa no lēmuma par Eiropas Savienības Tiesībaizsardzības apmācības aģentūras (</w:t>
      </w:r>
      <w:r w:rsidR="00E03615" w:rsidRPr="00F90FE7">
        <w:rPr>
          <w:i/>
        </w:rPr>
        <w:t>CEPOL</w:t>
      </w:r>
      <w:r w:rsidR="00E03615" w:rsidRPr="00F90FE7">
        <w:t>) 2022. finanšu gada budžeta izpildes apstiprināšanu</w:t>
      </w:r>
      <w:r w:rsidRPr="00F90FE7">
        <w:t xml:space="preserve"> </w:t>
      </w:r>
      <w:r w:rsidR="00E03615" w:rsidRPr="00F90FE7">
        <w:t>2023/2144(DEC))</w:t>
      </w:r>
    </w:p>
    <w:p w:rsidR="00E03615" w:rsidRPr="00F90FE7" w:rsidRDefault="00E03615" w:rsidP="00E03615">
      <w:pPr>
        <w:pStyle w:val="EPComma"/>
      </w:pPr>
      <w:r w:rsidRPr="00F90FE7">
        <w:rPr>
          <w:i/>
        </w:rPr>
        <w:t>Eiropas Parlaments</w:t>
      </w:r>
      <w:r w:rsidRPr="00F90FE7">
        <w:t>,</w:t>
      </w:r>
    </w:p>
    <w:p w:rsidR="00E03615" w:rsidRPr="00F90FE7" w:rsidRDefault="00E03615" w:rsidP="00E03615">
      <w:pPr>
        <w:pStyle w:val="NormalHanging12a"/>
      </w:pPr>
      <w:r w:rsidRPr="00F90FE7">
        <w:t>–</w:t>
      </w:r>
      <w:r w:rsidRPr="00F90FE7">
        <w:tab/>
        <w:t>ņemot vērā lēmumu par Eiropas Savienības Tiesībaizsardzības apmācības aģentūras (</w:t>
      </w:r>
      <w:r w:rsidRPr="00F90FE7">
        <w:rPr>
          <w:i/>
        </w:rPr>
        <w:t>CEPOL</w:t>
      </w:r>
      <w:r w:rsidRPr="00F90FE7">
        <w:t>) 2022. finanšu gada budžeta izpildes apstiprināšanu,</w:t>
      </w:r>
    </w:p>
    <w:p w:rsidR="00E03615" w:rsidRPr="00F90FE7" w:rsidRDefault="00E03615" w:rsidP="00E03615">
      <w:pPr>
        <w:pStyle w:val="NormalHanging12a"/>
      </w:pPr>
      <w:r w:rsidRPr="00F90FE7">
        <w:t>–</w:t>
      </w:r>
      <w:r w:rsidRPr="00F90FE7">
        <w:tab/>
        <w:t>ņemot vērā Reglamenta 100. pantu un V pielikumu,</w:t>
      </w:r>
    </w:p>
    <w:p w:rsidR="00E03615" w:rsidRPr="00F90FE7" w:rsidRDefault="00E03615" w:rsidP="00E03615">
      <w:pPr>
        <w:pStyle w:val="NormalHanging12a"/>
      </w:pPr>
      <w:r w:rsidRPr="00F90FE7">
        <w:t>–</w:t>
      </w:r>
      <w:r w:rsidRPr="00F90FE7">
        <w:tab/>
        <w:t xml:space="preserve">ņemot vērā Pilsoņu brīvību, tieslietu un </w:t>
      </w:r>
      <w:proofErr w:type="spellStart"/>
      <w:r w:rsidRPr="00F90FE7">
        <w:t>iekšlietu</w:t>
      </w:r>
      <w:proofErr w:type="spellEnd"/>
      <w:r w:rsidRPr="00F90FE7">
        <w:t xml:space="preserve"> komitejas atzinumu,</w:t>
      </w:r>
    </w:p>
    <w:p w:rsidR="00E03615" w:rsidRPr="00F90FE7" w:rsidRDefault="00E03615" w:rsidP="00E03615">
      <w:pPr>
        <w:pStyle w:val="NormalHanging12a"/>
      </w:pPr>
      <w:r w:rsidRPr="00F90FE7">
        <w:t>–</w:t>
      </w:r>
      <w:r w:rsidRPr="00F90FE7">
        <w:tab/>
        <w:t>ņemot vērā Budžeta kontroles komitejas ziņojumu (A9</w:t>
      </w:r>
      <w:r w:rsidRPr="00F90FE7">
        <w:noBreakHyphen/>
        <w:t>0098/2024),</w:t>
      </w:r>
    </w:p>
    <w:p w:rsidR="00E03615" w:rsidRPr="00F90FE7" w:rsidRDefault="00E03615" w:rsidP="00E03615">
      <w:pPr>
        <w:pStyle w:val="ListParagraph"/>
        <w:widowControl w:val="0"/>
        <w:spacing w:after="240"/>
        <w:ind w:left="567" w:hanging="567"/>
        <w:contextualSpacing w:val="0"/>
        <w:jc w:val="left"/>
        <w:rPr>
          <w:rFonts w:eastAsia="Times New Roman"/>
        </w:rPr>
      </w:pPr>
      <w:r w:rsidRPr="00F90FE7">
        <w:t>A.</w:t>
      </w:r>
      <w:r w:rsidRPr="00F90FE7">
        <w:tab/>
        <w:t>tā kā saskaņā ar Eiropas Savienības Tiesībaizsardzības apmācības aģentūras (</w:t>
      </w:r>
      <w:r w:rsidRPr="00F90FE7">
        <w:rPr>
          <w:i/>
          <w:iCs/>
        </w:rPr>
        <w:t>CEPOL</w:t>
      </w:r>
      <w:r w:rsidRPr="00F90FE7">
        <w:t>) (“Aģentūra”) ieņēmumu un izdevumu pārskatu</w:t>
      </w:r>
      <w:r w:rsidRPr="00F90FE7">
        <w:rPr>
          <w:rStyle w:val="FootnoteReference"/>
          <w:rFonts w:eastAsia="Times New Roman"/>
          <w:lang w:eastAsia="en-GB"/>
        </w:rPr>
        <w:footnoteReference w:id="11"/>
      </w:r>
      <w:r w:rsidRPr="00F90FE7">
        <w:t xml:space="preserve"> tās 2022. finanšu gada galīgais budžets bija 28 295 362 EUR, proti, par 5,82 % mazāks nekā 2021. gadā; tā kā finansējumu Aģentūrai nodrošina Savienības iemaksa un ārējie piešķirtie ieņēmumi konkrētiem projektiem;</w:t>
      </w:r>
    </w:p>
    <w:p w:rsidR="00E03615" w:rsidRPr="00F90FE7" w:rsidRDefault="00E03615" w:rsidP="00E03615">
      <w:pPr>
        <w:spacing w:after="240"/>
        <w:ind w:left="567" w:hanging="567"/>
        <w:rPr>
          <w:szCs w:val="24"/>
        </w:rPr>
      </w:pPr>
      <w:r w:rsidRPr="00F90FE7">
        <w:t>B.</w:t>
      </w:r>
      <w:r w:rsidRPr="00F90FE7">
        <w:tab/>
        <w:t xml:space="preserve">tā kā Eiropas Revīzijas palāta (“Revīzijas palāta”) ziņojumā par Aģentūras 2022. finanšu gada pārskatiem (“Revīzijas palātas ziņojums”) norāda, ka ir guvusi pamatotu pārliecību par to, ka Aģentūras gada pārskati ir ticami un ka ieņēmumiem pakārtotie darījumi visos būtiskajos aspektos ir likumīgi un pareizi; tā kā Revīzijas palāta konstatēja nepamatotus maksājumus kopsummā par 4,2 miljoniem EUR, no tiem 4,1 miljons EUR ir saistīts ar 359 maksājumiem, kas saskaņā ar diviem pamatlīgumiem veikti pēc pakalpojumu pieprasījumiem, kurus nosūtīja darbinieki, kas nebija pilnvaroti uzņemties juridiskas saistības Aģentūras vārdā, un 2022. gadā ir izmaksāti 152 655 EUR saskaņā ar pamatlīgumu, kura gadījumā dažas samaksātās summas nebija iespējams salīdzināt ar sniegtajiem pakalpojumiem, un tie ir 13,5 % no maksājumu apropriācijām, kas bija pieejamas 2022. gadā, un tādējādi ir pārsniegts revīzijai noteiktais būtiskuma slieksnis, kā rezultātā ir sagatavots atzinums ar </w:t>
      </w:r>
      <w:proofErr w:type="spellStart"/>
      <w:r w:rsidRPr="00F90FE7">
        <w:t>iebildēm</w:t>
      </w:r>
      <w:proofErr w:type="spellEnd"/>
      <w:r w:rsidRPr="00F90FE7">
        <w:t xml:space="preserve"> par pārskatiem pakārtoto maksājumu likumību un pareizību; tā kā, izņemot tikai šos neatbilstošos maksājumus, Revīzijas palāta secina, ka 2022. gada 31. decembrī slēgtā gada pārskatiem pakārtotie maksājumi visos būtiskajos aspektos ir likumīgi un pareizi,</w:t>
      </w:r>
    </w:p>
    <w:p w:rsidR="00E03615" w:rsidRPr="00F90FE7" w:rsidRDefault="00E03615" w:rsidP="00E03615">
      <w:pPr>
        <w:spacing w:after="240"/>
        <w:ind w:left="567" w:hanging="567"/>
        <w:rPr>
          <w:b/>
          <w:i/>
          <w:szCs w:val="24"/>
        </w:rPr>
      </w:pPr>
      <w:r w:rsidRPr="00F90FE7">
        <w:rPr>
          <w:b/>
          <w:i/>
        </w:rPr>
        <w:t>Budžeta un finanšu pārvaldība</w:t>
      </w:r>
    </w:p>
    <w:p w:rsidR="00E03615" w:rsidRPr="00F90FE7" w:rsidRDefault="00E03615" w:rsidP="00E03615">
      <w:pPr>
        <w:spacing w:after="240"/>
        <w:ind w:left="567" w:hanging="567"/>
        <w:rPr>
          <w:szCs w:val="24"/>
        </w:rPr>
      </w:pPr>
      <w:r w:rsidRPr="00F90FE7">
        <w:t>1.</w:t>
      </w:r>
      <w:r w:rsidRPr="00F90FE7">
        <w:rPr>
          <w:color w:val="FFFFFF" w:themeColor="background1"/>
        </w:rPr>
        <w:tab/>
      </w:r>
      <w:r w:rsidRPr="00F90FE7">
        <w:t xml:space="preserve">ar gandarījumu konstatē, ka 2022. finanšu gadā īstenotās budžeta uzraudzības rezultātā budžeta izpilde bija 100 % līmenī, un tas ir par 3,21 % vairāk nekā 2021. gadā; norāda, ka maksājumu apropriāciju izpildes līmenis bija 84,66 %, t. i., par 12,93 % augstāks nekā 2021. gadā; turklāt atzīmē, ka 1,6 miljoni EUR jeb 15 % no 2022. gada saistību apropriācijām ir pārnesti uz 2023. gadu; konstatē, ka 2022. gada beigās budžeta izpilde attiecībā uz Savienības ārējās palīdzības finansējumu, kas atvēlēts, lai palīdzētu </w:t>
      </w:r>
      <w:proofErr w:type="spellStart"/>
      <w:r w:rsidRPr="00F90FE7">
        <w:t>trešām</w:t>
      </w:r>
      <w:proofErr w:type="spellEnd"/>
      <w:r w:rsidRPr="00F90FE7">
        <w:t xml:space="preserve"> valstīm ar spēju veidošanu attiecīgās tiesībaizsardzības politikas jomās, ir sasniegusi 48,5 % līmeni;</w:t>
      </w:r>
    </w:p>
    <w:p w:rsidR="00E03615" w:rsidRPr="00F90FE7" w:rsidRDefault="00E03615" w:rsidP="00E03615">
      <w:pPr>
        <w:spacing w:after="240"/>
        <w:ind w:left="567" w:hanging="567"/>
        <w:rPr>
          <w:b/>
          <w:i/>
          <w:szCs w:val="24"/>
        </w:rPr>
      </w:pPr>
      <w:r w:rsidRPr="00F90FE7">
        <w:rPr>
          <w:b/>
          <w:i/>
        </w:rPr>
        <w:t>Sniegums</w:t>
      </w:r>
    </w:p>
    <w:p w:rsidR="00E03615" w:rsidRPr="00F90FE7" w:rsidRDefault="00E03615" w:rsidP="00E03615">
      <w:pPr>
        <w:spacing w:after="240"/>
        <w:ind w:left="567" w:hanging="567"/>
        <w:rPr>
          <w:szCs w:val="24"/>
        </w:rPr>
      </w:pPr>
      <w:r w:rsidRPr="00F90FE7">
        <w:t>2.</w:t>
      </w:r>
      <w:r w:rsidRPr="00F90FE7">
        <w:tab/>
        <w:t>pauž atzinību Aģentūrai par to, ka 2022. gada darba programma ir izpildīta 100 % līmenī, ko apliecina fakts, ka ir īstenoti 418 mācību pasākumi, kaut gan plānoti bija 417 šādi pasākumi; atzīmē, ka 2022. gadā Aģentūra turpināja nodrošināt tiesībaizsardzības jomā iesaistīto personu apmācību, tādēļ — cik vien maksimāli iespējams — atgriežoties pie mācībām tiešsaistes vidē; ar gandarījumu atzīmē, ka klientu apmierinātība 2022. gadā joprojām bija augstā līmenī — 97 % no Aģentūras mācību pasākumu dalībniekiem atzina, ka ir ar tiem apmierināti vai ļoti apmierināti;</w:t>
      </w:r>
    </w:p>
    <w:p w:rsidR="00E03615" w:rsidRPr="00F90FE7" w:rsidRDefault="00E03615" w:rsidP="00E03615">
      <w:pPr>
        <w:spacing w:after="240"/>
        <w:ind w:left="567" w:hanging="567"/>
        <w:rPr>
          <w:szCs w:val="24"/>
        </w:rPr>
      </w:pPr>
      <w:r w:rsidRPr="00F90FE7">
        <w:t>3.</w:t>
      </w:r>
      <w:r w:rsidRPr="00F90FE7">
        <w:tab/>
        <w:t>ar gandarījumu konstatē, ka konkrētus pasākumus Aģentūra izmanto kā galvenos snieguma rādītājus (GSR), lai izvērtētu pievienoto vērtību, ko nodrošina Aģentūras pasākumi, kā arī citus uz budžeta pārvaldības uzlabošanu vērstus pasākumus; ņem vērā, ka 2022. gadā ir sasniegti gandrīz visi GSR, un nebija izpildīts tikai viens GSR ar īstenošanas termiņu 2023. gada beigās, proti, GSR attiecībā uz to revīzijas apsvērumu īpatsvaru, kuri slēgti, ievērojot saskaņoto rīcības plānu;</w:t>
      </w:r>
    </w:p>
    <w:p w:rsidR="00E03615" w:rsidRPr="00F90FE7" w:rsidRDefault="00E03615" w:rsidP="00E03615">
      <w:pPr>
        <w:spacing w:after="240"/>
        <w:ind w:left="567" w:hanging="567"/>
        <w:rPr>
          <w:szCs w:val="24"/>
        </w:rPr>
      </w:pPr>
      <w:r w:rsidRPr="00F90FE7">
        <w:t>4.</w:t>
      </w:r>
      <w:r w:rsidRPr="00F90FE7">
        <w:tab/>
        <w:t xml:space="preserve">ar gandarījumu konstatē, ka 2022. gadā Aģentūras rīkotās apmācības apmeklēja 43 838 dalībnieki, kas ir iespaidīga auditorija, salīdzinot ar to, ka bija plānoti 27 800 dalībnieki; pauž atzinību Aģentūrai par to, ka ir publicēts otrais ES stratēģisko apmācības vajadzību novērtējums, kurā skaidri norādītas tiesībaizsardzības amatpersonu stratēģiskās un apmācības vajadzības nākamajam (2022–2025) darbības ciklam Eiropas </w:t>
      </w:r>
      <w:proofErr w:type="spellStart"/>
      <w:r w:rsidRPr="00F90FE7">
        <w:t>daudzdisciplīnu</w:t>
      </w:r>
      <w:proofErr w:type="spellEnd"/>
      <w:r w:rsidRPr="00F90FE7">
        <w:t xml:space="preserve"> platformā pret noziedzības draudiem, un ka ir sākusies minētā novērtējuma īstenošana; turklāt atzīmē, ka </w:t>
      </w:r>
      <w:proofErr w:type="spellStart"/>
      <w:r w:rsidRPr="00F90FE7">
        <w:t>jaunieceltā</w:t>
      </w:r>
      <w:proofErr w:type="spellEnd"/>
      <w:r w:rsidRPr="00F90FE7">
        <w:t xml:space="preserve"> Aģentūras izpilddirektore 2022. gadā ir sākusi īstenot jaunu stratēģiju, dodot ievirzi Aģentūras darbībai 2023.</w:t>
      </w:r>
      <w:r w:rsidRPr="00F90FE7">
        <w:noBreakHyphen/>
        <w:t xml:space="preserve">2027. gada periodā; atzinīgi vērtē arī ekspertu grupas </w:t>
      </w:r>
      <w:proofErr w:type="spellStart"/>
      <w:r w:rsidRPr="00F90FE7">
        <w:t>pamattiesību</w:t>
      </w:r>
      <w:proofErr w:type="spellEnd"/>
      <w:r w:rsidRPr="00F90FE7">
        <w:t xml:space="preserve"> jautājumos izstrādāto stratēģijas dokumentu, kura mērķis ir šīs </w:t>
      </w:r>
      <w:proofErr w:type="spellStart"/>
      <w:r w:rsidRPr="00F90FE7">
        <w:t>pamattiesības</w:t>
      </w:r>
      <w:proofErr w:type="spellEnd"/>
      <w:r w:rsidRPr="00F90FE7">
        <w:t xml:space="preserve"> iekļaut visos mācību pasākumos; ar gandarījumu norāda, ka 2022. gadā tika organizētas </w:t>
      </w:r>
      <w:proofErr w:type="spellStart"/>
      <w:r w:rsidRPr="00F90FE7">
        <w:rPr>
          <w:i/>
          <w:iCs/>
        </w:rPr>
        <w:t>ad</w:t>
      </w:r>
      <w:proofErr w:type="spellEnd"/>
      <w:r w:rsidRPr="00F90FE7">
        <w:rPr>
          <w:i/>
          <w:iCs/>
        </w:rPr>
        <w:t> </w:t>
      </w:r>
      <w:proofErr w:type="spellStart"/>
      <w:r w:rsidRPr="00F90FE7">
        <w:rPr>
          <w:i/>
          <w:iCs/>
        </w:rPr>
        <w:t>hoc</w:t>
      </w:r>
      <w:proofErr w:type="spellEnd"/>
      <w:r w:rsidRPr="00F90FE7">
        <w:t xml:space="preserve"> mācības par pētniecisko žurnālistu aizsardzību; atzinīgi vērtē īpašos mācību pasākumus par naida noziegumiem un informācijas izplatīšanu par efektīviem cietušo atbalsta risinājumiem;</w:t>
      </w:r>
    </w:p>
    <w:p w:rsidR="00E03615" w:rsidRPr="00F90FE7" w:rsidRDefault="00E03615" w:rsidP="00E03615">
      <w:pPr>
        <w:pStyle w:val="NormalHanging12a"/>
      </w:pPr>
      <w:r w:rsidRPr="00F90FE7">
        <w:t>5.</w:t>
      </w:r>
      <w:r w:rsidRPr="00F90FE7">
        <w:tab/>
        <w:t>pauž atzinību par to, ka Aģentūra ātri reaģēja uz nepamatoto karu Ukrainā un sadarbībā ar Eiropas Padomi nodrošināja konkrētām Ukrainas Ģenerālprokuratūras vajadzībām sagatavotu kursu par publiskos avotos pieejamu izlūkošanas datu ieguvi;</w:t>
      </w:r>
    </w:p>
    <w:p w:rsidR="00E03615" w:rsidRPr="00F90FE7" w:rsidRDefault="00E03615" w:rsidP="00E03615">
      <w:pPr>
        <w:spacing w:after="240"/>
        <w:ind w:left="567" w:hanging="567"/>
        <w:rPr>
          <w:szCs w:val="24"/>
        </w:rPr>
      </w:pPr>
      <w:r w:rsidRPr="00F90FE7">
        <w:t>6.</w:t>
      </w:r>
      <w:r w:rsidRPr="00F90FE7">
        <w:tab/>
        <w:t xml:space="preserve">spriežot pēc Aģentūras konsolidētā 2022. gada darbības pārskata, konstatē, ka aizvadītajos gados piedāvāto apmācību skaita eksponenciālais pieaugums (no 18 000 pasākumu 2016. gadā līdz teju 44 000 pasākumu 2022. gadā) atspoguļo augošo pieprasījumu pēc mācību pasākumiem, kas Aģentūrai ir jānodrošina; šajā sakarībā atzīmē, ka 2022. gadā resursu trūkuma dēļ šo pieprasījumu varēja apmierināt, tikai palielinot tiešsaistē rīkotu mācību komponentu, kas tomēr pilnībā neapmierina ieinteresēto personu vajadzības; atbalsta Aģentūras mērķi arī turpmāk īstenot </w:t>
      </w:r>
      <w:proofErr w:type="spellStart"/>
      <w:r w:rsidRPr="00F90FE7">
        <w:t>daudzdisciplīnu</w:t>
      </w:r>
      <w:proofErr w:type="spellEnd"/>
      <w:r w:rsidRPr="00F90FE7">
        <w:t xml:space="preserve"> pasākumus, kas piesaista dalībniekus gan no policijas, gan no muitas un robežsardzes amatpersonām;</w:t>
      </w:r>
    </w:p>
    <w:p w:rsidR="00E03615" w:rsidRPr="00F90FE7" w:rsidRDefault="00E03615" w:rsidP="00E03615">
      <w:pPr>
        <w:spacing w:after="240"/>
        <w:ind w:left="567" w:hanging="567"/>
        <w:rPr>
          <w:szCs w:val="24"/>
        </w:rPr>
      </w:pPr>
      <w:r w:rsidRPr="00F90FE7">
        <w:t>7.</w:t>
      </w:r>
      <w:r w:rsidRPr="00F90FE7">
        <w:tab/>
        <w:t xml:space="preserve">konstatē, ka 2022. gadā Aģentūra turpināja sekmīgi īstenot ne vien četrus spēju veidošanas projektus trešās valstīs, tā tieši palīdzot stiprināt Savienības iekšējo drošību, bet arī mācību pasākumus tādu struktūru paspārnē kā </w:t>
      </w:r>
      <w:r w:rsidRPr="00F90FE7">
        <w:rPr>
          <w:i/>
          <w:iCs/>
        </w:rPr>
        <w:t>CEPOL</w:t>
      </w:r>
      <w:r w:rsidRPr="00F90FE7">
        <w:t xml:space="preserve"> Terorisma apkarošanas zināšanu centrs un </w:t>
      </w:r>
      <w:r w:rsidRPr="00F90FE7">
        <w:rPr>
          <w:i/>
          <w:iCs/>
        </w:rPr>
        <w:t>CEPOL</w:t>
      </w:r>
      <w:r w:rsidRPr="00F90FE7">
        <w:t xml:space="preserve"> Zināšanu centrs par tiesībaizsardzības iestāžu sadarbību, informācijas apmaiņu un </w:t>
      </w:r>
      <w:proofErr w:type="spellStart"/>
      <w:r w:rsidRPr="00F90FE7">
        <w:t>sadarbspēju</w:t>
      </w:r>
      <w:proofErr w:type="spellEnd"/>
      <w:r w:rsidRPr="00F90FE7">
        <w:t xml:space="preserve">; atzinīgi vērtē to, ka sadarbībā ar Mikola </w:t>
      </w:r>
      <w:proofErr w:type="spellStart"/>
      <w:r w:rsidRPr="00F90FE7">
        <w:t>Romera</w:t>
      </w:r>
      <w:proofErr w:type="spellEnd"/>
      <w:r w:rsidRPr="00F90FE7">
        <w:t xml:space="preserve"> Universitāti Viļņā (Lietuvā) veiksmīgi ir noritējusi </w:t>
      </w:r>
      <w:r w:rsidRPr="00F90FE7">
        <w:rPr>
          <w:i/>
        </w:rPr>
        <w:t>CEPOL</w:t>
      </w:r>
      <w:r w:rsidRPr="00F90FE7">
        <w:t xml:space="preserve"> Pētniecības un zinātnes konference, kura stiprinājusi tiesībaizsardzības un pētniecības sektoru sadarbību un kuru apmeklējuši gandrīz 200 dalībnieku;</w:t>
      </w:r>
    </w:p>
    <w:p w:rsidR="00E03615" w:rsidRPr="00F90FE7" w:rsidRDefault="00E03615" w:rsidP="00E03615">
      <w:pPr>
        <w:pStyle w:val="NormalHanging12a"/>
        <w:jc w:val="both"/>
      </w:pPr>
      <w:r w:rsidRPr="00F90FE7">
        <w:t>8.</w:t>
      </w:r>
      <w:r w:rsidRPr="00F90FE7">
        <w:tab/>
        <w:t xml:space="preserve">atgādina, ka tiesībaizsardzības apmācībā Savienības līmenī ir jāatspoguļo Savienības prioritātes atbilstoši dalībvalstu apmācības vajadzībām un ir jāatbalsta Savienības reakcija uz smago un organizēto noziedzību un citiem iekšējās drošības apdraudējumiem, un </w:t>
      </w:r>
      <w:proofErr w:type="spellStart"/>
      <w:r w:rsidRPr="00F90FE7">
        <w:t>pamattiesību</w:t>
      </w:r>
      <w:proofErr w:type="spellEnd"/>
      <w:r w:rsidRPr="00F90FE7">
        <w:t xml:space="preserve"> aizsardzībai ir jābūt vienam no galvenajiem elementiem Aģentūras mācību pasākumos; norāda uz mācību pasākumiem terorisma apkarošanas jomā, cita starpā par tādiem tematiem kā terorisma finansēšana, terorisms un šaujamieroči, ārvalstu kaujinieki teroristi un darbības, kas vērstas pret ekstrēmismu un </w:t>
      </w:r>
      <w:proofErr w:type="spellStart"/>
      <w:r w:rsidRPr="00F90FE7">
        <w:t>radikalizāciju</w:t>
      </w:r>
      <w:proofErr w:type="spellEnd"/>
      <w:r w:rsidRPr="00F90FE7">
        <w:t xml:space="preserve">; prasa nodrošināt vairāk mācību par </w:t>
      </w:r>
      <w:proofErr w:type="spellStart"/>
      <w:r w:rsidRPr="00F90FE7">
        <w:t>kibernoziedzību</w:t>
      </w:r>
      <w:proofErr w:type="spellEnd"/>
      <w:r w:rsidRPr="00F90FE7">
        <w:t xml:space="preserve">, </w:t>
      </w:r>
      <w:proofErr w:type="spellStart"/>
      <w:r w:rsidRPr="00F90FE7">
        <w:t>kiberkriminālistiku</w:t>
      </w:r>
      <w:proofErr w:type="spellEnd"/>
      <w:r w:rsidRPr="00F90FE7">
        <w:t xml:space="preserve">, mākslīgo intelektu, datu aizsardzību, </w:t>
      </w:r>
      <w:proofErr w:type="spellStart"/>
      <w:r w:rsidRPr="00F90FE7">
        <w:t>pamattiesībām</w:t>
      </w:r>
      <w:proofErr w:type="spellEnd"/>
      <w:r w:rsidRPr="00F90FE7">
        <w:t xml:space="preserve"> un rasisma apkarošanu Savienības līmenī; aicina Aģentūru nodrošināt, lai visas darbības, jo īpaši darbības ar </w:t>
      </w:r>
      <w:proofErr w:type="spellStart"/>
      <w:r w:rsidRPr="00F90FE7">
        <w:t>trešām</w:t>
      </w:r>
      <w:proofErr w:type="spellEnd"/>
      <w:r w:rsidRPr="00F90FE7">
        <w:t xml:space="preserve"> valstīm, būtu pilnīgi pārredzamas un lai pilnībā būtu ievērotas </w:t>
      </w:r>
      <w:proofErr w:type="spellStart"/>
      <w:r w:rsidRPr="00F90FE7">
        <w:t>pamattiesības</w:t>
      </w:r>
      <w:proofErr w:type="spellEnd"/>
      <w:r w:rsidRPr="00F90FE7">
        <w:t xml:space="preserve"> un starptautiskās tiesības;</w:t>
      </w:r>
    </w:p>
    <w:p w:rsidR="00E03615" w:rsidRPr="00F90FE7" w:rsidRDefault="00E03615" w:rsidP="00E03615">
      <w:pPr>
        <w:spacing w:after="240"/>
        <w:ind w:left="567" w:hanging="567"/>
        <w:rPr>
          <w:szCs w:val="24"/>
        </w:rPr>
      </w:pPr>
      <w:r w:rsidRPr="00F90FE7">
        <w:t>9.</w:t>
      </w:r>
      <w:r w:rsidRPr="00F90FE7">
        <w:tab/>
        <w:t>atzīmē, ka Aģentūra veiksmīgi ir saglabājusi savu sertifikāciju saskaņā ar ISO 9001:2015 kvalitātes pārvaldības sistēmu un ir sagatavojusies vēl plašākai ISO 29993:2017 standarta izmantošanai mācību pakalpojumiem, jo tas joprojām liecina, ka Aģentūra nodrošina kvalitātes sistēmas efektīvu darbību;</w:t>
      </w:r>
    </w:p>
    <w:p w:rsidR="00E03615" w:rsidRPr="00F90FE7" w:rsidRDefault="00E03615" w:rsidP="00E03615">
      <w:pPr>
        <w:widowControl/>
        <w:spacing w:after="240"/>
        <w:ind w:left="567" w:hanging="567"/>
        <w:rPr>
          <w:b/>
          <w:i/>
          <w:szCs w:val="24"/>
        </w:rPr>
      </w:pPr>
      <w:r w:rsidRPr="00F90FE7">
        <w:rPr>
          <w:b/>
          <w:i/>
        </w:rPr>
        <w:t>Efektivitāte un ieguvumi</w:t>
      </w:r>
    </w:p>
    <w:p w:rsidR="00E03615" w:rsidRPr="00F90FE7" w:rsidRDefault="00E03615" w:rsidP="00E03615">
      <w:pPr>
        <w:spacing w:after="240"/>
        <w:ind w:left="567" w:hanging="567"/>
        <w:rPr>
          <w:szCs w:val="24"/>
        </w:rPr>
      </w:pPr>
      <w:r w:rsidRPr="00F90FE7">
        <w:t>10.</w:t>
      </w:r>
      <w:r w:rsidRPr="00F90FE7">
        <w:tab/>
        <w:t xml:space="preserve">norāda, ka Aģentūra joprojām cieši sadarbojas ar tieslietu un </w:t>
      </w:r>
      <w:proofErr w:type="spellStart"/>
      <w:r w:rsidRPr="00F90FE7">
        <w:t>iekšlietu</w:t>
      </w:r>
      <w:proofErr w:type="spellEnd"/>
      <w:r w:rsidRPr="00F90FE7">
        <w:t xml:space="preserve"> aģentūru tīklu un šī tīkla sastāvā esošajām aģentūrām, tostarp ar </w:t>
      </w:r>
      <w:r w:rsidRPr="00F90FE7">
        <w:rPr>
          <w:rStyle w:val="pointer"/>
        </w:rPr>
        <w:t>Eiropas Savienības Aģentūru tiesībaizsardzības sadarbībai (Eiropols)</w:t>
      </w:r>
      <w:r w:rsidRPr="00F90FE7">
        <w:t xml:space="preserve"> un Eiropas Robežu un krasta apsardzes aģentūru, īstenojot kopīgus mācību pasākumus un kopā rīkojot kursus; ņem vērā, ka šajā kontekstā Aģentūra 2022. gadā pildīja tieslietu un </w:t>
      </w:r>
      <w:proofErr w:type="spellStart"/>
      <w:r w:rsidRPr="00F90FE7">
        <w:t>iekšlietu</w:t>
      </w:r>
      <w:proofErr w:type="spellEnd"/>
      <w:r w:rsidRPr="00F90FE7">
        <w:t xml:space="preserve"> aģentūru tīkla priekšsēdētāja funkcijas; turklāt konstatē, ka kopš 2023. gada ir spēkā Aģentūras vienošanās ar Eiropas Narkotiku un narkomānijas uzraudzības centru (</w:t>
      </w:r>
      <w:r w:rsidRPr="00F90FE7">
        <w:rPr>
          <w:i/>
          <w:iCs/>
        </w:rPr>
        <w:t>EMCDDA</w:t>
      </w:r>
      <w:r w:rsidRPr="00F90FE7">
        <w:t xml:space="preserve">), kas ļauj tam izmantot Aģentūras izveidoto izglītības platformu </w:t>
      </w:r>
      <w:proofErr w:type="spellStart"/>
      <w:r w:rsidRPr="00F90FE7">
        <w:rPr>
          <w:i/>
          <w:iCs/>
        </w:rPr>
        <w:t>LEEd</w:t>
      </w:r>
      <w:proofErr w:type="spellEnd"/>
      <w:r w:rsidRPr="00F90FE7">
        <w:t xml:space="preserve">, kā rezultātā </w:t>
      </w:r>
      <w:r w:rsidRPr="00F90FE7">
        <w:rPr>
          <w:i/>
          <w:iCs/>
        </w:rPr>
        <w:t>EMCDDA</w:t>
      </w:r>
      <w:r w:rsidRPr="00F90FE7">
        <w:t xml:space="preserve"> savai auditorijai bez maksas var piedāvāt mūsdienīgu izglītības platformu; aicina Aģentūru arī turpmāk sadarboties ar citām aģentūrām, tā dodot iespēju izmantot visus pieejamos resursus;</w:t>
      </w:r>
    </w:p>
    <w:p w:rsidR="00E03615" w:rsidRPr="00F90FE7" w:rsidRDefault="00E03615" w:rsidP="00E03615">
      <w:pPr>
        <w:spacing w:after="240"/>
        <w:ind w:left="567" w:hanging="567"/>
        <w:rPr>
          <w:szCs w:val="24"/>
        </w:rPr>
      </w:pPr>
      <w:r w:rsidRPr="00F90FE7">
        <w:t>11.</w:t>
      </w:r>
      <w:r w:rsidRPr="00F90FE7">
        <w:tab/>
        <w:t xml:space="preserve">pauž atzinību Aģentūrai par to, ka tā ir sasniegusi diezgan augstu </w:t>
      </w:r>
      <w:proofErr w:type="spellStart"/>
      <w:r w:rsidRPr="00F90FE7">
        <w:t>digitalizācijas</w:t>
      </w:r>
      <w:proofErr w:type="spellEnd"/>
      <w:r w:rsidRPr="00F90FE7">
        <w:t xml:space="preserve"> līmeni, jo daudzi Aģentūras procesi — bieži vien ciešā sadarbībā ar Komisijas Digitālo pakalpojumu ģenerāldirektorātu — ir pārveidoti par </w:t>
      </w:r>
      <w:proofErr w:type="spellStart"/>
      <w:r w:rsidRPr="00F90FE7">
        <w:t>bezpapīra</w:t>
      </w:r>
      <w:proofErr w:type="spellEnd"/>
      <w:r w:rsidRPr="00F90FE7">
        <w:t xml:space="preserve"> jeb elektroniskiem procesiem, piemēram, elektroniskā iepirkuma sistēma atklātiem konkursiem un elektronisku piedāvājumu iesniegšanai, elektroniskā darbā pieņemšanas sistēma, elektroniskā cilvēkresursu pārvaldības sistēma (</w:t>
      </w:r>
      <w:r w:rsidRPr="00F90FE7">
        <w:rPr>
          <w:i/>
          <w:iCs/>
        </w:rPr>
        <w:t>SYSPER</w:t>
      </w:r>
      <w:r w:rsidRPr="00F90FE7">
        <w:t>), elektroniskā rēķinu izrakstīšanas sistēma, elektroniskā ceļojumu rezervēšana;</w:t>
      </w:r>
    </w:p>
    <w:p w:rsidR="00E03615" w:rsidRPr="00F90FE7" w:rsidRDefault="00E03615" w:rsidP="00E03615">
      <w:pPr>
        <w:spacing w:after="240"/>
        <w:ind w:left="567" w:hanging="567"/>
        <w:rPr>
          <w:szCs w:val="24"/>
        </w:rPr>
      </w:pPr>
      <w:r w:rsidRPr="00F90FE7">
        <w:t>12.</w:t>
      </w:r>
      <w:r w:rsidRPr="00F90FE7">
        <w:tab/>
        <w:t>konstatē, ka Aģentūra ir ieviesusi iekšējos noteikumus, saskaņā ar kuriem braucieniem tuvos attālumos personālam (un mācību pasākumu dalībniekiem) lidojumu vietā ir jāizvēlas citas alternatīvas, piemēram, braucieni ar vilcienu vai autobusu; ar gandarījumu atzīmē, ka kopš 2022. gada Aģentūra piedāvā savam personālam atlīdzināt sabiedriskā transporta pakalpojumu izmaksas; turklāt norāda, ka daudzas ekspertu grupu sanāksmes, kas agrāk tika rīkotas uz vietas, tagad notiek tiešsaistē; pauž nožēlu, ka Aģentūra nav ieviesusi sistēmu, kas ļauj objektīvi un detalizēti sekot līdzi tam, kā no gada uz gadu mainās ieguvumi un ietaupījumi, un aicina Aģentūru šādu sistēmu izveidot;</w:t>
      </w:r>
    </w:p>
    <w:p w:rsidR="00E03615" w:rsidRPr="00F90FE7" w:rsidRDefault="00E03615" w:rsidP="00E03615">
      <w:pPr>
        <w:spacing w:after="240"/>
        <w:ind w:left="567" w:hanging="567"/>
        <w:rPr>
          <w:szCs w:val="24"/>
        </w:rPr>
      </w:pPr>
      <w:r w:rsidRPr="00F90FE7">
        <w:t>13.</w:t>
      </w:r>
      <w:r w:rsidRPr="00F90FE7">
        <w:tab/>
        <w:t>atzīmē, ka, spriežot pēc Revīzijas palāta ziņojuma, Aģentūrai nav sava plāna, kā panākt, lai Aģentūras darbības kļūtu energoefektīvākas un klimatam neitrālākas; pauž nožēlu, ka Aģentūra vēl nav sākusi vides vadības un audita sistēmas (</w:t>
      </w:r>
      <w:r w:rsidRPr="00F90FE7">
        <w:rPr>
          <w:i/>
        </w:rPr>
        <w:t>EMAS</w:t>
      </w:r>
      <w:r w:rsidRPr="00F90FE7">
        <w:t xml:space="preserve">) sertifikācijas procesu; tomēr atzīmē, ka jaunajai mītnes ēkai noteiktajās prasībās Aģentūra ir norādījusi — tā tuvākajā nākotnē sāks strādāt </w:t>
      </w:r>
      <w:r w:rsidRPr="00F90FE7">
        <w:rPr>
          <w:i/>
        </w:rPr>
        <w:t>EMAS</w:t>
      </w:r>
      <w:r w:rsidRPr="00F90FE7">
        <w:t xml:space="preserve"> sertifikācijas virzienā; šajā pašā sakarībā konstatē, ka Aģentūra rīkojas, ņemot vērā Komisijas norādījumus, saskaņā ar kuriem lielākajā daļā iepirkuma procedūru ir iestrādāti arī ar vides apsvērumiem saistīti piešķiršanas kritēriji; videi draudzīga iepirkuma jomā aicina Aģentūru koleģiāli iedvesmoties no citu aģentūru piemēriem;</w:t>
      </w:r>
    </w:p>
    <w:p w:rsidR="00E03615" w:rsidRPr="00F90FE7" w:rsidRDefault="00E03615" w:rsidP="00E03615">
      <w:pPr>
        <w:spacing w:after="240"/>
        <w:ind w:left="567" w:hanging="567"/>
        <w:rPr>
          <w:b/>
          <w:i/>
          <w:szCs w:val="24"/>
        </w:rPr>
      </w:pPr>
      <w:r w:rsidRPr="00F90FE7">
        <w:rPr>
          <w:b/>
          <w:i/>
        </w:rPr>
        <w:t>Personāla politika</w:t>
      </w:r>
    </w:p>
    <w:p w:rsidR="00E03615" w:rsidRPr="00F90FE7" w:rsidRDefault="00E03615" w:rsidP="00E03615">
      <w:pPr>
        <w:spacing w:after="240"/>
        <w:ind w:left="567" w:hanging="567"/>
        <w:rPr>
          <w:szCs w:val="24"/>
        </w:rPr>
      </w:pPr>
      <w:r w:rsidRPr="00F90FE7">
        <w:t>14.</w:t>
      </w:r>
      <w:r w:rsidRPr="00F90FE7">
        <w:tab/>
        <w:t>konstatē, ka 2022. gada 31. decembrī bija aizpildīti 79 % no štatu saraksta un ka darbā bija pieņemti 26 pagaidu darbinieki no Savienības budžetā pagaidu darbiniekiem apstiprinātajām 33 amata vietām (tāds pats apstiprināto amata vietu skaits, kāds bija 2021. gadā); norāda, ka 2022. gadā Aģentūrā strādāja arī 59 līgumdarbinieki (no tiem 20 pie ierasto darbību īstenošanas un 39 pie ārēji finansētiem spēju veidošanas projektiem) un seši norīkotie valsts eksperti; turklāt atzīmē, ka 2022. gada 31. decembrī bija nodarbināti 24 pagaidu darba aģentūras darbinieki, kuru uzdevumi bija saistīti ar pamatdarbību, piemēram, ar e-mācībām, informācijas un komunikācijas tehnoloģiju, juridisko un vadības atbalstu;</w:t>
      </w:r>
    </w:p>
    <w:p w:rsidR="00E03615" w:rsidRPr="00F90FE7" w:rsidRDefault="00E03615" w:rsidP="00E03615">
      <w:pPr>
        <w:tabs>
          <w:tab w:val="left" w:pos="720"/>
          <w:tab w:val="left" w:pos="1665"/>
        </w:tabs>
        <w:spacing w:after="240"/>
        <w:ind w:left="567" w:hanging="567"/>
        <w:rPr>
          <w:szCs w:val="24"/>
        </w:rPr>
      </w:pPr>
      <w:r w:rsidRPr="00F90FE7">
        <w:t>15.</w:t>
      </w:r>
      <w:r w:rsidRPr="00F90FE7">
        <w:tab/>
        <w:t>konstatē, ka darbinieku skaita svārstības 2022. gadā joprojām bija salīdzinoši lielas un nopietni ietekmēja Aģentūru; šajā sakarībā atzīmē, ka 2022. gadā 4 darbinieki uzteica darbu, jo bija atraduši jaunas darba iespējas pašā Aģentūrā vai citviet, 3 darbinieki no Aģentūras aizgāja, jo pensionējās, un 4 darbinieki 2022. gada 31. decembrī bija neapmaksātā atvaļinājumā;</w:t>
      </w:r>
    </w:p>
    <w:p w:rsidR="00E03615" w:rsidRPr="00F90FE7" w:rsidRDefault="00E03615" w:rsidP="00E03615">
      <w:pPr>
        <w:tabs>
          <w:tab w:val="left" w:pos="720"/>
          <w:tab w:val="left" w:pos="1665"/>
        </w:tabs>
        <w:spacing w:after="240"/>
        <w:ind w:left="567" w:hanging="567"/>
        <w:rPr>
          <w:szCs w:val="24"/>
        </w:rPr>
      </w:pPr>
      <w:r w:rsidRPr="00F90FE7">
        <w:t>16.</w:t>
      </w:r>
      <w:r w:rsidRPr="00F90FE7">
        <w:tab/>
        <w:t>atkārtoti pauž atbalstu Aģentūras darbinieku skaita palielināšanai atbilstoši uzdevumiem un vērienīgajiem mērķiem, kas noteikti spēkā esošajā Aģentūras pilnvarojumā; vadoties pēc Aģentūras ziņojuma “</w:t>
      </w:r>
      <w:r w:rsidRPr="00F90FE7">
        <w:rPr>
          <w:i/>
          <w:iCs/>
        </w:rPr>
        <w:t>CEPOL</w:t>
      </w:r>
      <w:r w:rsidRPr="00F90FE7">
        <w:t xml:space="preserve"> rīcības plāns, reaģējot uz EP lēmumu par 2021. finanšu gada budžeta izpildes apstiprināšanu” (“Aģentūras ziņojums par turpmākajiem pasākumiem”), ar gandarījumu atzīmē, ka Aģentūras izpilddirektore ir izveidojusi darba grupu, kurai uzdots sistemātiski dokumentēt un pamatot nepieciešamību pēc papildu budžeta līdzekļiem un cilvēkresursiem saistībā ar jauno stratēģiju 2023.–2027. gadam, lai pienācīgi pamatotu turpmāko pieprasījumu pēc resursiem;</w:t>
      </w:r>
    </w:p>
    <w:p w:rsidR="00E03615" w:rsidRPr="00F90FE7" w:rsidRDefault="00E03615" w:rsidP="00E03615">
      <w:pPr>
        <w:spacing w:after="240"/>
        <w:ind w:left="567" w:hanging="567"/>
        <w:rPr>
          <w:szCs w:val="24"/>
        </w:rPr>
      </w:pPr>
      <w:r w:rsidRPr="00F90FE7">
        <w:t>17.</w:t>
      </w:r>
      <w:r w:rsidRPr="00F90FE7">
        <w:tab/>
        <w:t>konstatē, ka kadru mainība 2022. gadā joprojām bija liela (11,8 %) un nopietni ietekmēja organizāciju; vadoties pēc Aģentūras ziņojuma par turpmākajiem pasākumiem, atzīmē, ka kadru mainību Aģentūra kontrolēt nevar, jo galvenais iemesls, kas to aktivizē, ir zemais valsts noteiktais korekcijas koeficients un salīdzinoši zemas amata pakāpes galvenajām atbalsta funkcijām Aģentūrā; norāda, ka 2022. gadā Aģentūra turpināja īstenot pasākumus, lai noturētu darbiniekus un nodrošinātu nepārtrauktu darbību, tādēļ neaizpildītām vakancēm izmantoja pagaidu darba aģentūras darbiniekus un norīkotos valsts ekspertus uz laiku, kamēr darbā vēl nebija pieņemti štata darbinieki, un turpināja pārskatīt darbinieku un funkciju klasifikāciju, saglabājot sociālos risinājumus (piemēram, darbinieku bērnu skološana), kā arī tāldarba un elastīga darba laika risinājumus; atkārtoti aicina Komisiju pārskatīt korekcijas koeficientu, lai labāk atspoguļotu ekonomisko realitāti, kas saistīta ar pārcelšanos uz Aģentūras mītnes pilsētu un dzīvošanu tajā;</w:t>
      </w:r>
    </w:p>
    <w:p w:rsidR="00E03615" w:rsidRPr="00F90FE7" w:rsidRDefault="00E03615" w:rsidP="00E03615">
      <w:pPr>
        <w:spacing w:after="240"/>
        <w:ind w:left="567" w:hanging="567"/>
        <w:rPr>
          <w:szCs w:val="24"/>
        </w:rPr>
      </w:pPr>
      <w:r w:rsidRPr="00F90FE7">
        <w:t>18.</w:t>
      </w:r>
      <w:r w:rsidRPr="00F90FE7">
        <w:tab/>
        <w:t xml:space="preserve">attiecībā uz </w:t>
      </w:r>
      <w:r w:rsidRPr="00F90FE7">
        <w:rPr>
          <w:i/>
          <w:iCs/>
        </w:rPr>
        <w:t>SYSPER</w:t>
      </w:r>
      <w:r w:rsidRPr="00F90FE7">
        <w:t xml:space="preserve"> rīku ar gandarījumu atzīmē, ka Aģentūra darbplūsmā ir integrējusi tādus moduļus kā </w:t>
      </w:r>
      <w:r w:rsidRPr="00F90FE7">
        <w:rPr>
          <w:i/>
          <w:iCs/>
        </w:rPr>
        <w:t>REPORTING</w:t>
      </w:r>
      <w:r w:rsidRPr="00F90FE7">
        <w:t xml:space="preserve">, </w:t>
      </w:r>
      <w:r w:rsidRPr="00F90FE7">
        <w:rPr>
          <w:i/>
          <w:iCs/>
        </w:rPr>
        <w:t>ETHICS</w:t>
      </w:r>
      <w:r w:rsidRPr="00F90FE7">
        <w:t xml:space="preserve"> un </w:t>
      </w:r>
      <w:r w:rsidRPr="00F90FE7">
        <w:rPr>
          <w:i/>
          <w:iCs/>
        </w:rPr>
        <w:t>STAGE</w:t>
      </w:r>
      <w:r w:rsidRPr="00F90FE7">
        <w:t xml:space="preserve"> [ziņošana, ētika un prakse] un strādā pie citu </w:t>
      </w:r>
      <w:r w:rsidRPr="00F90FE7">
        <w:rPr>
          <w:i/>
          <w:iCs/>
        </w:rPr>
        <w:t>SYSPER</w:t>
      </w:r>
      <w:r w:rsidRPr="00F90FE7">
        <w:t xml:space="preserve"> moduļu integrēšanas (piemēram, </w:t>
      </w:r>
      <w:r w:rsidRPr="00F90FE7">
        <w:rPr>
          <w:i/>
          <w:iCs/>
        </w:rPr>
        <w:t>EVAL/PROMO</w:t>
      </w:r>
      <w:r w:rsidRPr="00F90FE7">
        <w:t xml:space="preserve"> [vērtēšana/paaugstināšana amatā]);</w:t>
      </w:r>
    </w:p>
    <w:p w:rsidR="00E03615" w:rsidRPr="00F90FE7" w:rsidRDefault="00E03615" w:rsidP="00E03615">
      <w:pPr>
        <w:pStyle w:val="ListParagraph"/>
        <w:spacing w:after="240"/>
        <w:ind w:left="567" w:hanging="567"/>
        <w:contextualSpacing w:val="0"/>
        <w:jc w:val="left"/>
      </w:pPr>
      <w:r w:rsidRPr="00F90FE7">
        <w:t>19.</w:t>
      </w:r>
      <w:r w:rsidRPr="00F90FE7">
        <w:tab/>
        <w:t>atzinīgi vērtē Aģentūras paziņoto sadalījumu pa dzimumiem 2022. gadā: 3 vīrieši un 3 sievietes vadošos amatos (1 augstākā līmeņa vadītājs un 5 vidējā līmeņa vadītāji), 15 vīrieši (56 %) un 12 sievietes (44 %) valdē, 37 vīrieši (44 %) un 48 sievietes (56 %) no kopējā darbinieku skaita; pauž Aģentūrai atzinību par dzimumu līdzsvarotu pārstāvību, kas panākta 2022. gadā;</w:t>
      </w:r>
    </w:p>
    <w:p w:rsidR="00E03615" w:rsidRPr="00F90FE7" w:rsidRDefault="00E03615" w:rsidP="00E03615">
      <w:pPr>
        <w:pStyle w:val="NormalHanging12a"/>
      </w:pPr>
      <w:r w:rsidRPr="00F90FE7">
        <w:t>20.</w:t>
      </w:r>
      <w:r w:rsidRPr="00F90FE7">
        <w:tab/>
        <w:t xml:space="preserve">pēc iepazīšanās ar Aģentūras 2022. gada konsolidēto darbības pārskatu norāda, ka 2022. gadā Aģentūras darbinieku vidū bija pārstāvētas 17 dalībvalstis; norāda, ka 39 % Aģentūras darbinieku ir tās dalībvalsts </w:t>
      </w:r>
      <w:proofErr w:type="spellStart"/>
      <w:r w:rsidRPr="00F90FE7">
        <w:t>valstspiederīgie</w:t>
      </w:r>
      <w:proofErr w:type="spellEnd"/>
      <w:r w:rsidRPr="00F90FE7">
        <w:t>, kurā tā atrodas; atgādina, cik svarīgs ir ģeogrāfiskais līdzsvars, un aicina Aģentūru veikt nepieciešamos pasākumus, lai nodrošinātu līdzsvarotu un taisnīgu ģeogrāfisko pārstāvību;</w:t>
      </w:r>
    </w:p>
    <w:p w:rsidR="00E03615" w:rsidRPr="00F90FE7" w:rsidRDefault="00E03615" w:rsidP="00E03615">
      <w:pPr>
        <w:pStyle w:val="ListParagraph"/>
        <w:spacing w:after="240"/>
        <w:ind w:left="567" w:hanging="567"/>
        <w:contextualSpacing w:val="0"/>
        <w:jc w:val="left"/>
      </w:pPr>
      <w:r w:rsidRPr="00F90FE7">
        <w:t>21.</w:t>
      </w:r>
      <w:r w:rsidRPr="00F90FE7">
        <w:tab/>
        <w:t xml:space="preserve">atzinīgi vērtē to, ka 2022. gadā Aģentūra pieņēma jaunu lēmumu, par pamatu ņemot mērķos balstītas un uz rezultātiem orientētas vadības, kā arī uzticēšanās kultūras principus; norāda, ka attiecīgais lēmums deva darbiniekiem vairāk elastības iespēju gan darba laika, gan tāldarba ziņā, garantējot viņiem tiesības būt </w:t>
      </w:r>
      <w:proofErr w:type="spellStart"/>
      <w:r w:rsidRPr="00F90FE7">
        <w:t>bezsaistē</w:t>
      </w:r>
      <w:proofErr w:type="spellEnd"/>
      <w:r w:rsidRPr="00F90FE7">
        <w:t xml:space="preserve"> ar skaidri noteiktu atslēgšanās periodu, un tam būtu jāļauj labāk līdzsvarot darba un privāto dzīvi un jāaizsargā darbinieki pret digitālu pārslodzi darbā;</w:t>
      </w:r>
    </w:p>
    <w:p w:rsidR="00E03615" w:rsidRPr="00F90FE7" w:rsidRDefault="00E03615" w:rsidP="00E03615">
      <w:pPr>
        <w:spacing w:after="240"/>
        <w:ind w:left="567" w:hanging="567"/>
        <w:rPr>
          <w:color w:val="000000"/>
          <w:szCs w:val="24"/>
        </w:rPr>
      </w:pPr>
      <w:r w:rsidRPr="00F90FE7">
        <w:rPr>
          <w:color w:val="000000"/>
        </w:rPr>
        <w:t>22.</w:t>
      </w:r>
      <w:r w:rsidRPr="00F90FE7">
        <w:rPr>
          <w:color w:val="000000"/>
        </w:rPr>
        <w:tab/>
        <w:t>vadoties pēc Aģentūras ziņojuma par turpmākajiem pasākumiem saistībā ar apsvērumu par darbiniekiem, kuri strādā pie procedūrām, kas saistītas ar iepirkumu, atzinīgi vērtē to, ka 2023. gada štatu sarakstā attiecīgo AST5 pakāpes amatu (iecelšana amatā AST3 pakāpē) ir plānots pārveidot par AD5 pakāpes amatu;</w:t>
      </w:r>
    </w:p>
    <w:p w:rsidR="00E03615" w:rsidRPr="00F90FE7" w:rsidRDefault="00E03615" w:rsidP="00E03615">
      <w:pPr>
        <w:spacing w:after="240"/>
        <w:ind w:left="567" w:hanging="567"/>
        <w:rPr>
          <w:rFonts w:eastAsiaTheme="minorHAnsi"/>
          <w:b/>
          <w:i/>
          <w:szCs w:val="24"/>
        </w:rPr>
      </w:pPr>
      <w:r w:rsidRPr="00F90FE7">
        <w:rPr>
          <w:b/>
          <w:i/>
        </w:rPr>
        <w:t>Iepirkums</w:t>
      </w:r>
    </w:p>
    <w:p w:rsidR="00E03615" w:rsidRPr="00F90FE7" w:rsidRDefault="00E03615" w:rsidP="00E03615">
      <w:pPr>
        <w:pStyle w:val="NormalHanging12a"/>
      </w:pPr>
      <w:r w:rsidRPr="00F90FE7">
        <w:t>23.</w:t>
      </w:r>
      <w:r w:rsidRPr="00F90FE7">
        <w:tab/>
        <w:t xml:space="preserve">vadoties pēc Revīzijas palātas ziņojuma, ar bažām konstatē, ka kopš 2020. finanšu gada Revīzijas palāta katru gadu Aģentūrai ir adresējusi jaunus ar iepirkumu saistītus apsvērumus; akcentē Revīzijas palātas ziņojumā iekļauto apsvērumu, uz kura pamata Revīzijas palāta sniegusi atzinumu ar </w:t>
      </w:r>
      <w:proofErr w:type="spellStart"/>
      <w:r w:rsidRPr="00F90FE7">
        <w:t>iebildēm</w:t>
      </w:r>
      <w:proofErr w:type="spellEnd"/>
      <w:r w:rsidRPr="00F90FE7">
        <w:t>, proti, par 359 maksājumu likumību un pareizību (kopsummā par 4,1 miljonu EUR), kas saskaņā ar diviem pamatlīgumiem 2022. gadā ir veikti pēc tiešiem (pakalpojumu) pieprasījumiem no Aģentūras darbiniekiem, kuriem nebija deleģētu pilnvaru Aģentūras vārdā uzņemties juridiskas saistības, vai no pagaidu darbiniekiem, kam juridiski šādu deleģētu pilnvaru nevarēja būt, ņemot vērā viņu pagaidu darbinieka statusu; pieņem zināšanai Aģentūras atbildi uz attiecīgo Revīzijas palātas apsvērumu, proti, ka pat tad, ja juridiskās saistības bija noformētas ar nepilnībām, pakalpojumi tika pasūtīti atbilstoši Aģentūras vajadzībām, un tika īstenota pilnīga kontrole, lai garantētu, ka attiecīgais finansējums ir izlietots tam paredzētajā nolūkā un ka nav nekādu faktisku zaudējumu; vadoties pēc Aģentūras atbildēm uz Parlamenta rakstiskajiem jautājumiem, norāda, ka nekādi citi pārkāpumi šos līgumus neskāra un ka Aģentūra, reaģējot uz Revīzijas palātas apsvērumu, ir rīkojusies un grozījusi Aģentūras iekšējās procedūras, lai nodrošinātu, ka pieprasījumus ceļojumu aģents saņem tikai no štata darbiniekiem, kurus kredītrīkotājs ir pilnvarojis uzņemties juridiskas saistības; ņem vērā Aģentūras atbildi, proti, ka Aģentūra nekavējoties ieviesa korektīvus pasākumus, vēl pirms bija beidzies revīzijas process; aicina Aģentūru pilnībā ņemt vērā šos konstatējumus un uzlabot iepirkuma procedūras, lai turpmāk izvairītos no līdzīgām situācijām;</w:t>
      </w:r>
    </w:p>
    <w:p w:rsidR="00E03615" w:rsidRPr="00F90FE7" w:rsidRDefault="00E03615" w:rsidP="00E03615">
      <w:pPr>
        <w:pStyle w:val="NormalHanging12a"/>
      </w:pPr>
      <w:r w:rsidRPr="00F90FE7">
        <w:t>24.</w:t>
      </w:r>
      <w:r w:rsidRPr="00F90FE7">
        <w:tab/>
        <w:t xml:space="preserve">Revīzijas palātas ziņojuma kontekstā vēl vairāk akcentē atzinumu ar </w:t>
      </w:r>
      <w:proofErr w:type="spellStart"/>
      <w:r w:rsidRPr="00F90FE7">
        <w:t>iebildēm</w:t>
      </w:r>
      <w:proofErr w:type="spellEnd"/>
      <w:r w:rsidRPr="00F90FE7">
        <w:t>, kurā norādīts, ka visas summas, kas 2002. gadā bija izmaksātas (pavisam kopā 152 655 EUR) par (izglītojošu materiālu sagatavošanas) pamatlīguma īstenošanu, nebija iespējams salīdzināt ar sniegtajiem pakalpojumiem, un dažas uzdevumu kategorijas neatspoguļoja to, kāds pēc būtības ir bijis faktiski padarītais darbs, turklāt dažām kategorijām apmaksātā darba apjoms nesakrita ar faktiski padarītā darba apjomu, un tas nozīmē, ka attiecīgās summas ir nepareizas; pieņem zināšanai Aģentūras paskaidrojumu, proti, ka pasūtīto, piegādāto un apmaksāto lappušu skaits pilnībā nesakrita, jo tas būtībā ir redakcionāla un izglītojoša satura izstrādes darbs, tāpēc ne vienmēr bija iespējams to iepriekš precīzi aprēķināt; turklāt, vadoties pēc Aģentūras atbildes, atzīmē, ka piegādes rezultāti tika pārbaudīti un ka uzdevumu kategorijas balstījās uz tām, kas bija uzskaitītas iepriekšējā līgumā ar Publikāciju biroju; aicina Aģentūru ieviest pasākumus, kas ļautu tai iepriekš labāk kvantitatīvi noteikt sasniedzamos rezultātus un turpmāk izvairīties no šādām situācijām;</w:t>
      </w:r>
    </w:p>
    <w:p w:rsidR="00E03615" w:rsidRPr="00F90FE7" w:rsidRDefault="00E03615" w:rsidP="00E03615">
      <w:pPr>
        <w:spacing w:after="240"/>
        <w:ind w:left="567" w:hanging="567"/>
        <w:rPr>
          <w:color w:val="000000"/>
          <w:szCs w:val="24"/>
        </w:rPr>
      </w:pPr>
      <w:r w:rsidRPr="00F90FE7">
        <w:rPr>
          <w:color w:val="000000"/>
        </w:rPr>
        <w:t>25.</w:t>
      </w:r>
      <w:r w:rsidRPr="00F90FE7">
        <w:rPr>
          <w:color w:val="000000"/>
        </w:rPr>
        <w:tab/>
        <w:t>vadoties pēc Revīzijas palātas ziņojuma par 2021. finanšu gadu, konstatē, ka viens apsvērums joprojām nav slēgts, un tas attiecas uz iepirkuma procedūras vērtēšanas procesu, kurā Aģentūra likusi uzsvaru uz kritēriju, kas nebija skaidri izklāstīts konkursa dokumentācijā, un tas savukārt nozīmē, ka ir iespējama atšķirīga attieksme pret pretendentiem; pieņem zināšanai, ka līgums bija spēkā līdz 2023. gada septembrim un ka laikā, kad Revīzijas palāta pārbaudīja attiecīgā apsvēruma īstenošanas statusu, Aģentūra neplānoja šo līgumu atjaunot vēl uz 12 mēnešiem;</w:t>
      </w:r>
    </w:p>
    <w:p w:rsidR="00E03615" w:rsidRPr="00F90FE7" w:rsidRDefault="00E03615" w:rsidP="00E03615">
      <w:pPr>
        <w:spacing w:after="240"/>
        <w:ind w:left="567" w:hanging="567"/>
        <w:rPr>
          <w:color w:val="000000"/>
          <w:szCs w:val="24"/>
        </w:rPr>
      </w:pPr>
      <w:r w:rsidRPr="00F90FE7">
        <w:rPr>
          <w:color w:val="000000"/>
        </w:rPr>
        <w:t>26.</w:t>
      </w:r>
      <w:r w:rsidRPr="00F90FE7">
        <w:rPr>
          <w:color w:val="000000"/>
        </w:rPr>
        <w:tab/>
        <w:t>pauž Aģentūrai atzinību par to, ka darbplūsmā ir integrēts publiskā iepirkuma pārvaldības rīks, kas no 2022. gada oktobra tiek izmantots visiem iepirkuma procedūru veidiem; aicina Aģentūru nodrošināt, ka ātrāk tiek pieņemti un ieviesti rīki, kas ļauj izmantot elektronisko parakstu, lai saņemtu apstiprinājumu un parakstus iepirkuma un līgumu dokumentos gan no iekšējiem, gan ārējiem darījumu partneriem;</w:t>
      </w:r>
    </w:p>
    <w:p w:rsidR="00E03615" w:rsidRPr="00F90FE7" w:rsidRDefault="00E03615" w:rsidP="00E03615">
      <w:pPr>
        <w:pStyle w:val="ListParagraph"/>
        <w:widowControl w:val="0"/>
        <w:spacing w:after="240"/>
        <w:ind w:left="567" w:hanging="567"/>
        <w:contextualSpacing w:val="0"/>
        <w:jc w:val="left"/>
        <w:rPr>
          <w:rFonts w:eastAsia="Times New Roman"/>
        </w:rPr>
      </w:pPr>
      <w:proofErr w:type="spellStart"/>
      <w:r w:rsidRPr="00F90FE7">
        <w:rPr>
          <w:b/>
          <w:i/>
        </w:rPr>
        <w:t>Pārredzamība</w:t>
      </w:r>
      <w:proofErr w:type="spellEnd"/>
      <w:r w:rsidRPr="00F90FE7">
        <w:rPr>
          <w:b/>
          <w:i/>
        </w:rPr>
        <w:t xml:space="preserve"> un interešu konfliktu novēršana un pārvaldība</w:t>
      </w:r>
    </w:p>
    <w:p w:rsidR="00E03615" w:rsidRPr="00F90FE7" w:rsidRDefault="00E03615" w:rsidP="00E03615">
      <w:pPr>
        <w:spacing w:after="240"/>
        <w:ind w:left="567" w:hanging="567"/>
        <w:rPr>
          <w:szCs w:val="24"/>
        </w:rPr>
      </w:pPr>
      <w:r w:rsidRPr="00F90FE7">
        <w:t>27.</w:t>
      </w:r>
      <w:r w:rsidRPr="00F90FE7">
        <w:tab/>
        <w:t xml:space="preserve">ar gandarījumu atzīmē aktuālos Aģentūras pasākumus un pastāvīgos centienus garantēt </w:t>
      </w:r>
      <w:proofErr w:type="spellStart"/>
      <w:r w:rsidRPr="00F90FE7">
        <w:t>pārredzamību</w:t>
      </w:r>
      <w:proofErr w:type="spellEnd"/>
      <w:r w:rsidRPr="00F90FE7">
        <w:t xml:space="preserve">, kā arī nepieļaut interešu konfliktus un tos pārvaldīt; ar gandarījumu konstatē, ka Aģentūras tīmekļa vietnē ir publicētas valdes locekļu un augstākās vadības interešu deklarācijas un CV un ka, pateicoties deklarāciju formātam, tajās var norādīt profesionālas, finansiālas, personiskas un citas intereses, kas varētu būt saistītas ar Aģentūras darbību; vadoties pēc Aģentūras ziņojuma par turpmākajiem pasākumiem saistībā ar budžeta izpildes </w:t>
      </w:r>
      <w:proofErr w:type="spellStart"/>
      <w:r w:rsidRPr="00F90FE7">
        <w:t>apstiprinātājiestādes</w:t>
      </w:r>
      <w:proofErr w:type="spellEnd"/>
      <w:r w:rsidRPr="00F90FE7">
        <w:t xml:space="preserve"> apsvērumu par to, ka Aģentūras tīmekļa vietnē nav publicētas algoto ekspertu interešu deklarācijas, ņem vērā Aģentūras secināto, proti, to, ka datu aizsardzības apsvērumu dēļ ekspertu pieteikumu un CV publicēšanas rezultātā ievērojami samazinātos pieteikumu skaits no ekspertiem, jo lielākā daļa no Aģentūras nodarbinātajiem ir tiesībaizsardzības jomā pieredzējuši eksperti;</w:t>
      </w:r>
    </w:p>
    <w:p w:rsidR="00E03615" w:rsidRPr="00F90FE7" w:rsidRDefault="00E03615" w:rsidP="00E03615">
      <w:pPr>
        <w:spacing w:after="240"/>
        <w:ind w:left="567" w:hanging="567"/>
        <w:rPr>
          <w:szCs w:val="24"/>
        </w:rPr>
      </w:pPr>
      <w:r w:rsidRPr="00F90FE7">
        <w:t>28.</w:t>
      </w:r>
      <w:r w:rsidRPr="00F90FE7">
        <w:tab/>
        <w:t>vadoties pēc Aģentūras ziņojuma par turpmākajiem pasākumiem, ar gandarījumu norāda, ka kopš 2022. gada, kad sāka darboties jaunā tīmekļa vietne, Aģentūra ir uzlabojusi savu dokumentu publisko reģistru un ka ieviestās tehniskās izmaiņas dod iespēju iedzīvotājiem meklēt Aģentūras oficiālos dokumentus pēc konkrētas kategorijas vai piekļuvi dokumentam pieprasīt, aizpildot attiecīgu formu tīmeklī, ja konkrētais dokuments nav tieši pieejams dokumentu publiskajā reģistrā; konstatē, ka 2022. gadā Aģentūra saņēma piecus pieprasījumus par publisku piekļuvi dokumentiem un apstrādāja 920 no iedzīvotājiem saņemtus publiskus jautājumus;</w:t>
      </w:r>
    </w:p>
    <w:p w:rsidR="00E03615" w:rsidRPr="00F90FE7" w:rsidRDefault="00E03615" w:rsidP="00E03615">
      <w:pPr>
        <w:spacing w:after="240"/>
        <w:ind w:left="567" w:hanging="567"/>
        <w:rPr>
          <w:b/>
          <w:i/>
          <w:szCs w:val="24"/>
        </w:rPr>
      </w:pPr>
      <w:r w:rsidRPr="00F90FE7">
        <w:rPr>
          <w:b/>
          <w:i/>
        </w:rPr>
        <w:t>Iekšējā kontrole</w:t>
      </w:r>
    </w:p>
    <w:p w:rsidR="00E03615" w:rsidRPr="00F90FE7" w:rsidRDefault="00E03615" w:rsidP="00E03615">
      <w:pPr>
        <w:spacing w:after="240"/>
        <w:ind w:left="567" w:hanging="567"/>
        <w:rPr>
          <w:szCs w:val="24"/>
        </w:rPr>
      </w:pPr>
      <w:r w:rsidRPr="00F90FE7">
        <w:t>29.</w:t>
      </w:r>
      <w:r w:rsidRPr="00F90FE7">
        <w:tab/>
        <w:t>vadoties pēc Aģentūras ziņojuma par turpmākajiem pasākumiem, norāda, ka saistībā ar vairākām nepilnībām Aģentūras iekšējās kontroles sistēmā, sevišķi saistībā ar iepirkuma procedūrām un budžeta saistību pārvaldību, Aģentūra ir spērusi konkrētus soļus, cita starpā arī rīkojusi mācības un darbseminārus, lai vairotu izpratni un mazinātu administratīvu kļūdu iespējamību; šajā sakarībā ņem vērā, ka Revīzijas palāta savā ziņojumā ir norādījusi — ar konkrētajām nepilnībām saistītie Revīzijas palātas apsvērumi (attiecībā uz 2021. finanšu gadu) ir izpildīti (slēgti);</w:t>
      </w:r>
    </w:p>
    <w:p w:rsidR="00E03615" w:rsidRPr="00F90FE7" w:rsidRDefault="00E03615" w:rsidP="00E03615">
      <w:pPr>
        <w:spacing w:after="240"/>
        <w:ind w:left="567" w:hanging="567"/>
        <w:rPr>
          <w:szCs w:val="24"/>
        </w:rPr>
      </w:pPr>
      <w:r w:rsidRPr="00F90FE7">
        <w:t>30.</w:t>
      </w:r>
      <w:r w:rsidRPr="00F90FE7">
        <w:tab/>
        <w:t xml:space="preserve">ņem vērā Aģentūras ikgadējo novērtējumu, ko tā sagatavojusi par savu iekšējās kontroles sistēmu 2022. gadā, secinot, ka Aģentūras iekšējās kontroles sistēma ir efektīva, tā pastāv un labi darbojas un ka ir vajadzīgi tikai nelieli uzlabojumi; aicina Aģentūru novērst trūkumus, kas konstatēti saistībā ar iekšējās kontroles komponentiem “Kontroles darbības” un “Informācija un komunikācija”, un pastāvīgi informēt budžeta izpildes </w:t>
      </w:r>
      <w:proofErr w:type="spellStart"/>
      <w:r w:rsidRPr="00F90FE7">
        <w:t>apstiprinātājiestādi</w:t>
      </w:r>
      <w:proofErr w:type="spellEnd"/>
      <w:r w:rsidRPr="00F90FE7">
        <w:t xml:space="preserve"> par šajā ziņā panākto progresu; vadoties pēc Aģentūras ziņojuma par turpmākajiem pasākumiem, ar gandarījumu norāda, ka komponentu “Uzraudzības darbības” (17. princips “izvērtēt trūkumus un darīt tos zināmus”) Aģentūra ir vērtējusi, ņemot vērā attiecīgos Revīzijas palātas apsvērumus no iepriekšējiem gadiem; aicina Aģentūru turpināt strādāt pie visu apsvērumu īstenošanas, kuri formulēti, veicot Aģentūrā revīziju par tēmu “Cilvēkresursu pārvaldība un ētika </w:t>
      </w:r>
      <w:r w:rsidRPr="00F90FE7">
        <w:rPr>
          <w:i/>
          <w:iCs/>
        </w:rPr>
        <w:t>CEPOL</w:t>
      </w:r>
      <w:r w:rsidRPr="00F90FE7">
        <w:t>”, ko 2021. gadā īstenoja iekšējās revīzijas dienests;</w:t>
      </w:r>
    </w:p>
    <w:p w:rsidR="00E03615" w:rsidRPr="00F90FE7" w:rsidRDefault="00E03615" w:rsidP="00E03615">
      <w:pPr>
        <w:spacing w:after="240"/>
        <w:ind w:left="567" w:hanging="567"/>
        <w:rPr>
          <w:szCs w:val="24"/>
        </w:rPr>
      </w:pPr>
      <w:r w:rsidRPr="00F90FE7">
        <w:t>31.</w:t>
      </w:r>
      <w:r w:rsidRPr="00F90FE7">
        <w:tab/>
        <w:t xml:space="preserve">norāda, ka Aģentūra īsteno reģistrēšanas un apstiprināšanas procesu attiecībā uz </w:t>
      </w:r>
      <w:proofErr w:type="spellStart"/>
      <w:r w:rsidRPr="00F90FE7">
        <w:t>iebildēm</w:t>
      </w:r>
      <w:proofErr w:type="spellEnd"/>
      <w:r w:rsidRPr="00F90FE7">
        <w:t xml:space="preserve">, kas tiek analizētas, lai noskaidrotu konkrētus problemātiskus jautājumus un atbilstošu rīcību situācijas uzlabošanai; ņem vērā, ka 2022. gada ziņojums par </w:t>
      </w:r>
      <w:proofErr w:type="spellStart"/>
      <w:r w:rsidRPr="00F90FE7">
        <w:t>iebildēm</w:t>
      </w:r>
      <w:proofErr w:type="spellEnd"/>
      <w:r w:rsidRPr="00F90FE7">
        <w:t xml:space="preserve"> apstiprina — Aģentūras iekšējās kontroles sistēma darbojas labi, un neatbilstības gadījumi tiek atklāti un to ietekme mazināta ar korektīvām un preventīvām darbībām; turklāt konstatē, ka 2022. gadā bija formulētas pavisam 46 </w:t>
      </w:r>
      <w:proofErr w:type="spellStart"/>
      <w:r w:rsidRPr="00F90FE7">
        <w:t>iebildes</w:t>
      </w:r>
      <w:proofErr w:type="spellEnd"/>
      <w:r w:rsidRPr="00F90FE7">
        <w:t xml:space="preserve"> (salīdzinot ar 27 </w:t>
      </w:r>
      <w:proofErr w:type="spellStart"/>
      <w:r w:rsidRPr="00F90FE7">
        <w:t>iebildēm</w:t>
      </w:r>
      <w:proofErr w:type="spellEnd"/>
      <w:r w:rsidRPr="00F90FE7">
        <w:t xml:space="preserve"> 2021. gadā) kopsummā par 51 697 EUR (salīdzinot ar 257 825 EUR 2021. gadā), un 13 no šīm </w:t>
      </w:r>
      <w:proofErr w:type="spellStart"/>
      <w:r w:rsidRPr="00F90FE7">
        <w:t>iebildēm</w:t>
      </w:r>
      <w:proofErr w:type="spellEnd"/>
      <w:r w:rsidRPr="00F90FE7">
        <w:t xml:space="preserve"> bija ar finansiālu ietekmi, kas pārsniedz 1000 EUR (diapazonā no 1053 EUR līdz 12 240 EUR);</w:t>
      </w:r>
    </w:p>
    <w:p w:rsidR="00E03615" w:rsidRPr="00F90FE7" w:rsidRDefault="00E03615" w:rsidP="00E03615">
      <w:pPr>
        <w:spacing w:after="240"/>
        <w:ind w:left="567" w:hanging="567"/>
        <w:rPr>
          <w:b/>
          <w:i/>
          <w:szCs w:val="24"/>
        </w:rPr>
      </w:pPr>
      <w:r w:rsidRPr="00F90FE7">
        <w:rPr>
          <w:b/>
          <w:i/>
        </w:rPr>
        <w:t>Citi komentāri</w:t>
      </w:r>
    </w:p>
    <w:p w:rsidR="00E03615" w:rsidRPr="00F90FE7" w:rsidRDefault="00E03615" w:rsidP="00E03615">
      <w:pPr>
        <w:spacing w:after="240"/>
        <w:ind w:left="567" w:hanging="567"/>
        <w:rPr>
          <w:szCs w:val="24"/>
        </w:rPr>
      </w:pPr>
      <w:r w:rsidRPr="00F90FE7">
        <w:t>32.</w:t>
      </w:r>
      <w:r w:rsidRPr="00F90FE7">
        <w:tab/>
        <w:t>vadoties pēc Aģentūras ziņojuma par turpmākajiem pasākumiem sakarā ar jautājumu par to, ka Aģentūrai trūkst biroja telpu un platības operatīvai darbībai, norāda — Ungārijas valdība ir apņēmusies garantēt nepārtrauktu Aģentūras darbību un nodrošināt to ar pienācīgu telpu kompleksu, tāpēc ir pieņēmusi lēmumu piedāvāt Aģentūrai jaunu galvenā biroja mītni (6000 </w:t>
      </w:r>
      <w:proofErr w:type="spellStart"/>
      <w:r w:rsidRPr="00F90FE7">
        <w:t>kv</w:t>
      </w:r>
      <w:proofErr w:type="spellEnd"/>
      <w:r w:rsidRPr="00F90FE7">
        <w:t>. m) īrei; turklāt norāda, ka pārvākšanās uz jaunajām telpām varētu notikt līdz 2024. gada beigām līdztekus jaunā mītnes līguma parakstīšanai;</w:t>
      </w:r>
    </w:p>
    <w:p w:rsidR="00E03615" w:rsidRPr="00F90FE7" w:rsidRDefault="00E03615" w:rsidP="00E03615">
      <w:pPr>
        <w:pStyle w:val="NormalHanging12a"/>
      </w:pPr>
      <w:r w:rsidRPr="00F90FE7">
        <w:t>33.</w:t>
      </w:r>
      <w:r w:rsidRPr="00F90FE7">
        <w:tab/>
        <w:t xml:space="preserve">pauž Aģentūrai atzinību par centieniem vairot savu publisko atpazīstamību un klātbūtni tiešsaistē; šajā kontekstā atzinīgi vērtē to, ka 2022. gadā ir sākusi darboties Aģentūras jaunā tīmekļa vietne, kas ir būtiski pilnveidota, proti, tā ir skaidrāk noformēta un strukturēta, labāk pārskatāma un ar reaģējošāku tīmekļa vietnes dizainu; turklāt atzīmē, ka 2022. gadā Aģentūra nopietni darbojās sociālajos medijos — 1590 satura augšupielādes jeb par 54 % vairāk ziņu nekā iepriekšējā gadā; šajā sakarībā norāda uz augšupejošu tendenci attiecībā uz Aģentūras tīmekļa vietnes lietotāju skaitu (tika reģistrēti vairāk nekā 200 000 apmeklējumu), un attiecībā uz tās sociālo mediju apmeklētāju bāzi (38 500 sekotāji </w:t>
      </w:r>
      <w:proofErr w:type="spellStart"/>
      <w:r w:rsidRPr="00F90FE7">
        <w:rPr>
          <w:i/>
          <w:iCs/>
        </w:rPr>
        <w:t>LinkedIn</w:t>
      </w:r>
      <w:proofErr w:type="spellEnd"/>
      <w:r w:rsidRPr="00F90FE7">
        <w:t xml:space="preserve">, </w:t>
      </w:r>
      <w:r w:rsidRPr="00F90FE7">
        <w:rPr>
          <w:i/>
          <w:iCs/>
        </w:rPr>
        <w:t>X</w:t>
      </w:r>
      <w:r w:rsidRPr="00F90FE7">
        <w:t xml:space="preserve"> (iepriekš </w:t>
      </w:r>
      <w:proofErr w:type="spellStart"/>
      <w:r w:rsidRPr="00F90FE7">
        <w:rPr>
          <w:i/>
          <w:iCs/>
        </w:rPr>
        <w:t>Twitter</w:t>
      </w:r>
      <w:proofErr w:type="spellEnd"/>
      <w:r w:rsidRPr="00F90FE7">
        <w:t xml:space="preserve">) un </w:t>
      </w:r>
      <w:proofErr w:type="spellStart"/>
      <w:r w:rsidRPr="00F90FE7">
        <w:rPr>
          <w:i/>
          <w:iCs/>
        </w:rPr>
        <w:t>Facebook</w:t>
      </w:r>
      <w:proofErr w:type="spellEnd"/>
      <w:r w:rsidRPr="00F90FE7">
        <w:t xml:space="preserve"> kontos);</w:t>
      </w:r>
    </w:p>
    <w:p w:rsidR="00E03615" w:rsidRPr="00F90FE7" w:rsidRDefault="00E03615" w:rsidP="00E03615">
      <w:pPr>
        <w:pStyle w:val="NormalCenter12a"/>
      </w:pPr>
      <w:r w:rsidRPr="00F90FE7">
        <w:t>°</w:t>
      </w:r>
    </w:p>
    <w:p w:rsidR="00E03615" w:rsidRPr="00F90FE7" w:rsidRDefault="00E03615" w:rsidP="00E03615">
      <w:pPr>
        <w:pStyle w:val="NormalCenter12a"/>
      </w:pPr>
      <w:r w:rsidRPr="00F90FE7">
        <w:t>°</w:t>
      </w:r>
      <w:r w:rsidRPr="00F90FE7">
        <w:tab/>
        <w:t>°</w:t>
      </w:r>
    </w:p>
    <w:p w:rsidR="00E365E1" w:rsidRPr="00F90FE7" w:rsidRDefault="00E03615" w:rsidP="00F90FE7">
      <w:pPr>
        <w:ind w:left="567" w:hanging="567"/>
      </w:pPr>
      <w:r w:rsidRPr="00F90FE7">
        <w:t>34.</w:t>
      </w:r>
      <w:r w:rsidRPr="00F90FE7">
        <w:tab/>
        <w:t xml:space="preserve">attiecībā uz pārējiem horizontāla rakstura konstatējumiem, kas pievienoti lēmumam par budžeta izpildes apstiprināšanu, atsaucas uz </w:t>
      </w:r>
      <w:r w:rsidR="005509B2" w:rsidRPr="00F90FE7">
        <w:t xml:space="preserve">2024. gada 11. aprīļa </w:t>
      </w:r>
      <w:r w:rsidRPr="00F90FE7">
        <w:t>rezolūciju par aģentūru sniegumu, finanšu pārvaldību un kontroli</w:t>
      </w:r>
      <w:r w:rsidRPr="00F90FE7">
        <w:rPr>
          <w:rStyle w:val="FootnoteReference"/>
        </w:rPr>
        <w:footnoteReference w:id="12"/>
      </w:r>
      <w:r w:rsidRPr="00F90FE7">
        <w:t>.</w:t>
      </w:r>
      <w:bookmarkStart w:id="11" w:name="TextBodyEnd"/>
      <w:bookmarkEnd w:id="11"/>
    </w:p>
    <w:sectPr w:rsidR="00E365E1" w:rsidRPr="00F90FE7" w:rsidSect="007765B6">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7473" w:rsidRPr="007765B6" w:rsidRDefault="00397473">
      <w:r w:rsidRPr="007765B6">
        <w:separator/>
      </w:r>
    </w:p>
  </w:endnote>
  <w:endnote w:type="continuationSeparator" w:id="0">
    <w:p w:rsidR="00397473" w:rsidRPr="007765B6" w:rsidRDefault="00397473">
      <w:r w:rsidRPr="007765B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3615" w:rsidRPr="007765B6" w:rsidRDefault="00E03615" w:rsidP="0033310F">
    <w:pPr>
      <w:pStyle w:val="EPFooter"/>
    </w:pPr>
    <w:r w:rsidRPr="007765B6">
      <w:t>PE</w:t>
    </w:r>
    <w:r w:rsidRPr="007765B6">
      <w:rPr>
        <w:rStyle w:val="HideTWBExt"/>
      </w:rPr>
      <w:t>&lt;NoPE&gt;</w:t>
    </w:r>
    <w:r w:rsidRPr="007765B6">
      <w:t>753.510</w:t>
    </w:r>
    <w:r w:rsidRPr="007765B6">
      <w:rPr>
        <w:rStyle w:val="HideTWBExt"/>
      </w:rPr>
      <w:t>&lt;/NoPE&gt;&lt;Version&gt;</w:t>
    </w:r>
    <w:r w:rsidRPr="007765B6">
      <w:t>v02-00</w:t>
    </w:r>
    <w:r w:rsidRPr="007765B6">
      <w:rPr>
        <w:rStyle w:val="HideTWBExt"/>
      </w:rPr>
      <w:t>&lt;/Version&gt;</w:t>
    </w:r>
    <w:r w:rsidRPr="007765B6">
      <w:tab/>
    </w:r>
    <w:r w:rsidRPr="007765B6">
      <w:fldChar w:fldCharType="begin"/>
    </w:r>
    <w:r w:rsidRPr="007765B6">
      <w:instrText xml:space="preserve"> PAGE  \* MERGEFORMAT </w:instrText>
    </w:r>
    <w:r w:rsidRPr="007765B6">
      <w:fldChar w:fldCharType="separate"/>
    </w:r>
    <w:r w:rsidRPr="007765B6">
      <w:rPr>
        <w:noProof/>
      </w:rPr>
      <w:t>4</w:t>
    </w:r>
    <w:r w:rsidRPr="007765B6">
      <w:fldChar w:fldCharType="end"/>
    </w:r>
    <w:r w:rsidRPr="007765B6">
      <w:t>/</w:t>
    </w:r>
    <w:r w:rsidR="00F90FE7">
      <w:fldChar w:fldCharType="begin"/>
    </w:r>
    <w:r w:rsidR="00F90FE7">
      <w:instrText xml:space="preserve"> NUMPAGES  \* MERGEFORMAT </w:instrText>
    </w:r>
    <w:r w:rsidR="00F90FE7">
      <w:fldChar w:fldCharType="separate"/>
    </w:r>
    <w:r w:rsidRPr="007765B6">
      <w:rPr>
        <w:noProof/>
      </w:rPr>
      <w:t>4</w:t>
    </w:r>
    <w:r w:rsidR="00F90FE7">
      <w:rPr>
        <w:noProof/>
      </w:rPr>
      <w:fldChar w:fldCharType="end"/>
    </w:r>
    <w:r w:rsidRPr="007765B6">
      <w:tab/>
    </w:r>
    <w:r w:rsidRPr="007765B6">
      <w:rPr>
        <w:rStyle w:val="HideTWBExt"/>
      </w:rPr>
      <w:t>&lt;PathFdR&gt;</w:t>
    </w:r>
    <w:r w:rsidRPr="007765B6">
      <w:t>RR\1298754LV.docx</w:t>
    </w:r>
    <w:r w:rsidRPr="007765B6">
      <w:rPr>
        <w:rStyle w:val="HideTWBExt"/>
      </w:rPr>
      <w:t>&lt;/PathFdR&gt;</w:t>
    </w:r>
  </w:p>
  <w:p w:rsidR="00E03615" w:rsidRPr="007765B6" w:rsidRDefault="00E03615" w:rsidP="0033310F">
    <w:pPr>
      <w:pStyle w:val="EPFooter2"/>
    </w:pPr>
    <w:r w:rsidRPr="007765B6">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3615" w:rsidRPr="007765B6" w:rsidRDefault="00E03615" w:rsidP="0033310F">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3615" w:rsidRPr="007765B6" w:rsidRDefault="00E03615" w:rsidP="0033310F">
    <w:pPr>
      <w:pStyle w:val="EPFooter"/>
    </w:pPr>
    <w:r w:rsidRPr="007765B6">
      <w:rPr>
        <w:rStyle w:val="HideTWBExt"/>
      </w:rPr>
      <w:t>&lt;PathFdR&gt;</w:t>
    </w:r>
    <w:r w:rsidRPr="007765B6">
      <w:t>RR\1298754LV.docx</w:t>
    </w:r>
    <w:r w:rsidRPr="007765B6">
      <w:rPr>
        <w:rStyle w:val="HideTWBExt"/>
      </w:rPr>
      <w:t>&lt;/PathFdR&gt;</w:t>
    </w:r>
    <w:r w:rsidRPr="007765B6">
      <w:tab/>
    </w:r>
    <w:r w:rsidRPr="007765B6">
      <w:tab/>
      <w:t>PE</w:t>
    </w:r>
    <w:r w:rsidRPr="007765B6">
      <w:rPr>
        <w:rStyle w:val="HideTWBExt"/>
      </w:rPr>
      <w:t>&lt;NoPE&gt;</w:t>
    </w:r>
    <w:r w:rsidRPr="007765B6">
      <w:t>753.510</w:t>
    </w:r>
    <w:r w:rsidRPr="007765B6">
      <w:rPr>
        <w:rStyle w:val="HideTWBExt"/>
      </w:rPr>
      <w:t>&lt;/NoPE&gt;&lt;Version&gt;</w:t>
    </w:r>
    <w:r w:rsidRPr="007765B6">
      <w:t>v02-00</w:t>
    </w:r>
    <w:r w:rsidRPr="007765B6">
      <w:rPr>
        <w:rStyle w:val="HideTWBExt"/>
      </w:rPr>
      <w:t>&lt;/Version&gt;</w:t>
    </w:r>
  </w:p>
  <w:p w:rsidR="00E03615" w:rsidRPr="007765B6" w:rsidRDefault="00E03615" w:rsidP="0033310F">
    <w:pPr>
      <w:pStyle w:val="EPFooter2"/>
    </w:pPr>
    <w:r w:rsidRPr="007765B6">
      <w:t>LV</w:t>
    </w:r>
    <w:r w:rsidRPr="007765B6">
      <w:tab/>
    </w:r>
    <w:r w:rsidRPr="007765B6">
      <w:rPr>
        <w:b w:val="0"/>
        <w:i/>
        <w:color w:val="C0C0C0"/>
        <w:sz w:val="22"/>
      </w:rPr>
      <w:t>Vienoti daudzveidībā</w:t>
    </w:r>
    <w:r w:rsidRPr="007765B6">
      <w:tab/>
      <w:t>LV</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65B6"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65B6"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65B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7473" w:rsidRPr="007765B6" w:rsidRDefault="00397473">
      <w:r w:rsidRPr="007765B6">
        <w:separator/>
      </w:r>
    </w:p>
  </w:footnote>
  <w:footnote w:type="continuationSeparator" w:id="0">
    <w:p w:rsidR="00397473" w:rsidRPr="007765B6" w:rsidRDefault="00397473">
      <w:r w:rsidRPr="007765B6">
        <w:continuationSeparator/>
      </w:r>
    </w:p>
  </w:footnote>
  <w:footnote w:id="1">
    <w:p w:rsidR="00E03615" w:rsidRPr="007765B6" w:rsidRDefault="00E03615" w:rsidP="007765B6">
      <w:pPr>
        <w:pStyle w:val="FootnoteText"/>
        <w:ind w:left="567" w:hanging="567"/>
        <w:rPr>
          <w:sz w:val="24"/>
          <w:lang w:val="lv-LV"/>
        </w:rPr>
      </w:pPr>
      <w:r w:rsidRPr="007765B6">
        <w:rPr>
          <w:rStyle w:val="FootnoteReference"/>
          <w:sz w:val="24"/>
          <w:lang w:val="lv-LV"/>
        </w:rPr>
        <w:footnoteRef/>
      </w:r>
      <w:r w:rsidR="007765B6" w:rsidRPr="007765B6">
        <w:rPr>
          <w:sz w:val="24"/>
          <w:lang w:val="lv-LV"/>
        </w:rPr>
        <w:t xml:space="preserve"> </w:t>
      </w:r>
      <w:r w:rsidR="007765B6" w:rsidRPr="007765B6">
        <w:rPr>
          <w:sz w:val="24"/>
          <w:lang w:val="lv-LV"/>
        </w:rPr>
        <w:tab/>
      </w:r>
      <w:r w:rsidRPr="007765B6">
        <w:rPr>
          <w:sz w:val="24"/>
          <w:lang w:val="lv-LV"/>
        </w:rPr>
        <w:t>OV C, C/2023/594, 27.10.2023.</w:t>
      </w:r>
    </w:p>
  </w:footnote>
  <w:footnote w:id="2">
    <w:p w:rsidR="00E03615" w:rsidRPr="007765B6" w:rsidRDefault="00E03615" w:rsidP="007765B6">
      <w:pPr>
        <w:pStyle w:val="FootnoteText"/>
        <w:ind w:left="567" w:hanging="567"/>
        <w:rPr>
          <w:sz w:val="24"/>
          <w:lang w:val="lv-LV"/>
        </w:rPr>
      </w:pPr>
      <w:r w:rsidRPr="007765B6">
        <w:rPr>
          <w:rStyle w:val="FootnoteReference"/>
          <w:sz w:val="24"/>
          <w:lang w:val="lv-LV"/>
        </w:rPr>
        <w:footnoteRef/>
      </w:r>
      <w:r w:rsidR="007765B6" w:rsidRPr="007765B6">
        <w:rPr>
          <w:sz w:val="24"/>
          <w:lang w:val="lv-LV"/>
        </w:rPr>
        <w:t xml:space="preserve"> </w:t>
      </w:r>
      <w:r w:rsidR="007765B6" w:rsidRPr="007765B6">
        <w:rPr>
          <w:sz w:val="24"/>
          <w:lang w:val="lv-LV"/>
        </w:rPr>
        <w:tab/>
      </w:r>
      <w:r w:rsidRPr="007765B6">
        <w:rPr>
          <w:sz w:val="24"/>
          <w:lang w:val="lv-LV"/>
        </w:rPr>
        <w:t>OV C, C/2023/112, 12.10.2023.</w:t>
      </w:r>
    </w:p>
  </w:footnote>
  <w:footnote w:id="3">
    <w:p w:rsidR="00E03615" w:rsidRPr="007765B6" w:rsidRDefault="00E03615" w:rsidP="007765B6">
      <w:pPr>
        <w:pStyle w:val="FootnoteText"/>
        <w:ind w:left="567" w:hanging="567"/>
        <w:rPr>
          <w:sz w:val="24"/>
          <w:lang w:val="lv-LV"/>
        </w:rPr>
      </w:pPr>
      <w:r w:rsidRPr="007765B6">
        <w:rPr>
          <w:rStyle w:val="FootnoteReference"/>
          <w:sz w:val="24"/>
          <w:lang w:val="lv-LV"/>
        </w:rPr>
        <w:footnoteRef/>
      </w:r>
      <w:r w:rsidR="007765B6" w:rsidRPr="007765B6">
        <w:rPr>
          <w:sz w:val="24"/>
          <w:lang w:val="lv-LV"/>
        </w:rPr>
        <w:t xml:space="preserve"> </w:t>
      </w:r>
      <w:r w:rsidR="007765B6" w:rsidRPr="007765B6">
        <w:rPr>
          <w:sz w:val="24"/>
          <w:lang w:val="lv-LV"/>
        </w:rPr>
        <w:tab/>
      </w:r>
      <w:r w:rsidRPr="007765B6">
        <w:rPr>
          <w:sz w:val="24"/>
          <w:lang w:val="lv-LV"/>
        </w:rPr>
        <w:t>OV L 193, 30.7.2018., 1. lpp.</w:t>
      </w:r>
    </w:p>
  </w:footnote>
  <w:footnote w:id="4">
    <w:p w:rsidR="00E03615" w:rsidRPr="007765B6" w:rsidRDefault="00E03615" w:rsidP="007765B6">
      <w:pPr>
        <w:pStyle w:val="FootnoteText"/>
        <w:ind w:left="567" w:hanging="567"/>
        <w:rPr>
          <w:sz w:val="24"/>
          <w:lang w:val="lv-LV"/>
        </w:rPr>
      </w:pPr>
      <w:r w:rsidRPr="007765B6">
        <w:rPr>
          <w:rStyle w:val="FootnoteReference"/>
          <w:sz w:val="24"/>
          <w:lang w:val="lv-LV"/>
        </w:rPr>
        <w:footnoteRef/>
      </w:r>
      <w:r w:rsidR="007765B6" w:rsidRPr="007765B6">
        <w:rPr>
          <w:sz w:val="24"/>
          <w:lang w:val="lv-LV"/>
        </w:rPr>
        <w:t xml:space="preserve"> </w:t>
      </w:r>
      <w:r w:rsidR="007765B6" w:rsidRPr="007765B6">
        <w:rPr>
          <w:sz w:val="24"/>
          <w:lang w:val="lv-LV"/>
        </w:rPr>
        <w:tab/>
      </w:r>
      <w:r w:rsidRPr="007765B6">
        <w:rPr>
          <w:sz w:val="24"/>
          <w:lang w:val="lv-LV"/>
        </w:rPr>
        <w:t>OV L 319, 4.12.2015., 1. lpp.</w:t>
      </w:r>
    </w:p>
  </w:footnote>
  <w:footnote w:id="5">
    <w:p w:rsidR="00E03615" w:rsidRPr="007765B6" w:rsidRDefault="00E03615" w:rsidP="007765B6">
      <w:pPr>
        <w:pStyle w:val="FootnoteText"/>
        <w:ind w:left="567" w:hanging="567"/>
        <w:rPr>
          <w:sz w:val="24"/>
          <w:lang w:val="lv-LV"/>
        </w:rPr>
      </w:pPr>
      <w:r w:rsidRPr="007765B6">
        <w:rPr>
          <w:rStyle w:val="FootnoteReference"/>
          <w:sz w:val="24"/>
          <w:lang w:val="lv-LV"/>
        </w:rPr>
        <w:footnoteRef/>
      </w:r>
      <w:r w:rsidR="007765B6" w:rsidRPr="007765B6">
        <w:rPr>
          <w:sz w:val="24"/>
          <w:lang w:val="lv-LV"/>
        </w:rPr>
        <w:t xml:space="preserve"> </w:t>
      </w:r>
      <w:r w:rsidR="007765B6" w:rsidRPr="007765B6">
        <w:rPr>
          <w:sz w:val="24"/>
          <w:lang w:val="lv-LV"/>
        </w:rPr>
        <w:tab/>
      </w:r>
      <w:r w:rsidRPr="007765B6">
        <w:rPr>
          <w:sz w:val="24"/>
          <w:lang w:val="lv-LV"/>
        </w:rPr>
        <w:t>OV L 122, 10.5.2019., 1. lpp.</w:t>
      </w:r>
    </w:p>
  </w:footnote>
  <w:footnote w:id="6">
    <w:p w:rsidR="00E03615" w:rsidRPr="007765B6" w:rsidRDefault="00E03615" w:rsidP="007765B6">
      <w:pPr>
        <w:pStyle w:val="FootnoteText"/>
        <w:ind w:left="567" w:hanging="567"/>
        <w:rPr>
          <w:sz w:val="24"/>
          <w:lang w:val="lv-LV"/>
        </w:rPr>
      </w:pPr>
      <w:r w:rsidRPr="007765B6">
        <w:rPr>
          <w:rStyle w:val="FootnoteReference"/>
          <w:sz w:val="24"/>
          <w:lang w:val="lv-LV"/>
        </w:rPr>
        <w:footnoteRef/>
      </w:r>
      <w:r w:rsidR="007765B6" w:rsidRPr="007765B6">
        <w:rPr>
          <w:sz w:val="24"/>
          <w:lang w:val="lv-LV"/>
        </w:rPr>
        <w:t xml:space="preserve"> </w:t>
      </w:r>
      <w:r w:rsidR="007765B6" w:rsidRPr="007765B6">
        <w:rPr>
          <w:sz w:val="24"/>
          <w:lang w:val="lv-LV"/>
        </w:rPr>
        <w:tab/>
      </w:r>
      <w:r w:rsidRPr="007765B6">
        <w:rPr>
          <w:sz w:val="24"/>
          <w:lang w:val="lv-LV"/>
        </w:rPr>
        <w:t>OV C, C/2023/594, 27.10.2023.</w:t>
      </w:r>
    </w:p>
  </w:footnote>
  <w:footnote w:id="7">
    <w:p w:rsidR="00E03615" w:rsidRPr="007765B6" w:rsidRDefault="00E03615" w:rsidP="007765B6">
      <w:pPr>
        <w:pStyle w:val="FootnoteText"/>
        <w:ind w:left="567" w:hanging="567"/>
        <w:rPr>
          <w:sz w:val="24"/>
          <w:lang w:val="lv-LV"/>
        </w:rPr>
      </w:pPr>
      <w:r w:rsidRPr="007765B6">
        <w:rPr>
          <w:rStyle w:val="FootnoteReference"/>
          <w:sz w:val="24"/>
          <w:lang w:val="lv-LV"/>
        </w:rPr>
        <w:footnoteRef/>
      </w:r>
      <w:r w:rsidR="007765B6" w:rsidRPr="007765B6">
        <w:rPr>
          <w:sz w:val="24"/>
          <w:lang w:val="lv-LV"/>
        </w:rPr>
        <w:t xml:space="preserve"> </w:t>
      </w:r>
      <w:r w:rsidR="007765B6" w:rsidRPr="007765B6">
        <w:rPr>
          <w:sz w:val="24"/>
          <w:lang w:val="lv-LV"/>
        </w:rPr>
        <w:tab/>
      </w:r>
      <w:r w:rsidRPr="007765B6">
        <w:rPr>
          <w:sz w:val="24"/>
          <w:lang w:val="lv-LV"/>
        </w:rPr>
        <w:t>OV C, C/2023/112, 12.10.2023.</w:t>
      </w:r>
    </w:p>
  </w:footnote>
  <w:footnote w:id="8">
    <w:p w:rsidR="00E03615" w:rsidRPr="007765B6" w:rsidRDefault="00E03615" w:rsidP="007765B6">
      <w:pPr>
        <w:pStyle w:val="FootnoteText"/>
        <w:ind w:left="567" w:hanging="567"/>
        <w:rPr>
          <w:sz w:val="24"/>
          <w:lang w:val="lv-LV"/>
        </w:rPr>
      </w:pPr>
      <w:r w:rsidRPr="007765B6">
        <w:rPr>
          <w:rStyle w:val="FootnoteReference"/>
          <w:sz w:val="24"/>
          <w:lang w:val="lv-LV"/>
        </w:rPr>
        <w:footnoteRef/>
      </w:r>
      <w:r w:rsidR="007765B6" w:rsidRPr="007765B6">
        <w:rPr>
          <w:sz w:val="24"/>
          <w:lang w:val="lv-LV"/>
        </w:rPr>
        <w:t xml:space="preserve"> </w:t>
      </w:r>
      <w:r w:rsidR="007765B6" w:rsidRPr="007765B6">
        <w:rPr>
          <w:sz w:val="24"/>
          <w:lang w:val="lv-LV"/>
        </w:rPr>
        <w:tab/>
      </w:r>
      <w:r w:rsidRPr="007765B6">
        <w:rPr>
          <w:sz w:val="24"/>
          <w:lang w:val="lv-LV"/>
        </w:rPr>
        <w:t>OV L 193, 30.7.2018., 1. lpp.</w:t>
      </w:r>
    </w:p>
  </w:footnote>
  <w:footnote w:id="9">
    <w:p w:rsidR="00E03615" w:rsidRPr="007765B6" w:rsidRDefault="00E03615" w:rsidP="007765B6">
      <w:pPr>
        <w:pStyle w:val="FootnoteText"/>
        <w:ind w:left="567" w:hanging="567"/>
        <w:rPr>
          <w:sz w:val="24"/>
          <w:lang w:val="lv-LV"/>
        </w:rPr>
      </w:pPr>
      <w:r w:rsidRPr="007765B6">
        <w:rPr>
          <w:rStyle w:val="FootnoteReference"/>
          <w:sz w:val="24"/>
          <w:lang w:val="lv-LV"/>
        </w:rPr>
        <w:footnoteRef/>
      </w:r>
      <w:r w:rsidR="007765B6" w:rsidRPr="007765B6">
        <w:rPr>
          <w:sz w:val="24"/>
          <w:lang w:val="lv-LV"/>
        </w:rPr>
        <w:t xml:space="preserve"> </w:t>
      </w:r>
      <w:r w:rsidR="007765B6" w:rsidRPr="007765B6">
        <w:rPr>
          <w:sz w:val="24"/>
          <w:lang w:val="lv-LV"/>
        </w:rPr>
        <w:tab/>
      </w:r>
      <w:r w:rsidRPr="007765B6">
        <w:rPr>
          <w:sz w:val="24"/>
          <w:lang w:val="lv-LV"/>
        </w:rPr>
        <w:t>OV L 319, 4.12.2015., 1. lpp.</w:t>
      </w:r>
    </w:p>
  </w:footnote>
  <w:footnote w:id="10">
    <w:p w:rsidR="00E03615" w:rsidRPr="007765B6" w:rsidRDefault="00E03615" w:rsidP="007765B6">
      <w:pPr>
        <w:pStyle w:val="FootnoteText"/>
        <w:ind w:left="567" w:hanging="567"/>
        <w:rPr>
          <w:sz w:val="24"/>
          <w:lang w:val="lv-LV"/>
        </w:rPr>
      </w:pPr>
      <w:r w:rsidRPr="007765B6">
        <w:rPr>
          <w:rStyle w:val="FootnoteReference"/>
          <w:sz w:val="24"/>
          <w:lang w:val="lv-LV"/>
        </w:rPr>
        <w:footnoteRef/>
      </w:r>
      <w:r w:rsidR="007765B6" w:rsidRPr="007765B6">
        <w:rPr>
          <w:sz w:val="24"/>
          <w:lang w:val="lv-LV"/>
        </w:rPr>
        <w:t xml:space="preserve"> </w:t>
      </w:r>
      <w:r w:rsidR="007765B6" w:rsidRPr="007765B6">
        <w:rPr>
          <w:sz w:val="24"/>
          <w:lang w:val="lv-LV"/>
        </w:rPr>
        <w:tab/>
      </w:r>
      <w:r w:rsidRPr="007765B6">
        <w:rPr>
          <w:sz w:val="24"/>
          <w:lang w:val="lv-LV"/>
        </w:rPr>
        <w:t>OV L 122, 10.5.2019., 1. lpp.</w:t>
      </w:r>
    </w:p>
  </w:footnote>
  <w:footnote w:id="11">
    <w:p w:rsidR="00E03615" w:rsidRPr="007765B6" w:rsidRDefault="00E03615" w:rsidP="007765B6">
      <w:pPr>
        <w:pStyle w:val="FootnoteText"/>
        <w:ind w:left="567" w:hanging="567"/>
        <w:rPr>
          <w:sz w:val="24"/>
          <w:lang w:val="lv-LV"/>
        </w:rPr>
      </w:pPr>
      <w:r w:rsidRPr="007765B6">
        <w:rPr>
          <w:rStyle w:val="FootnoteReference"/>
          <w:sz w:val="24"/>
          <w:lang w:val="lv-LV"/>
        </w:rPr>
        <w:footnoteRef/>
      </w:r>
      <w:r w:rsidR="007765B6" w:rsidRPr="007765B6">
        <w:rPr>
          <w:sz w:val="24"/>
          <w:lang w:val="lv-LV"/>
        </w:rPr>
        <w:t xml:space="preserve"> </w:t>
      </w:r>
      <w:r w:rsidR="007765B6" w:rsidRPr="007765B6">
        <w:rPr>
          <w:sz w:val="24"/>
          <w:lang w:val="lv-LV"/>
        </w:rPr>
        <w:tab/>
      </w:r>
      <w:r w:rsidRPr="007765B6">
        <w:rPr>
          <w:sz w:val="24"/>
          <w:lang w:val="lv-LV"/>
        </w:rPr>
        <w:t>OV C 73, 28.2.2023., 44. lpp.</w:t>
      </w:r>
    </w:p>
  </w:footnote>
  <w:footnote w:id="12">
    <w:p w:rsidR="00E03615" w:rsidRPr="007765B6" w:rsidRDefault="00E03615" w:rsidP="007765B6">
      <w:pPr>
        <w:pStyle w:val="FootnoteText"/>
        <w:ind w:left="567" w:hanging="567"/>
        <w:rPr>
          <w:sz w:val="24"/>
          <w:lang w:val="lv-LV"/>
        </w:rPr>
      </w:pPr>
      <w:r w:rsidRPr="007765B6">
        <w:rPr>
          <w:rStyle w:val="FootnoteReference"/>
          <w:sz w:val="24"/>
          <w:lang w:val="lv-LV"/>
        </w:rPr>
        <w:footnoteRef/>
      </w:r>
      <w:r w:rsidR="007765B6" w:rsidRPr="007765B6">
        <w:rPr>
          <w:sz w:val="24"/>
          <w:lang w:val="lv-LV"/>
        </w:rPr>
        <w:t xml:space="preserve"> </w:t>
      </w:r>
      <w:r w:rsidR="007765B6" w:rsidRPr="007765B6">
        <w:rPr>
          <w:sz w:val="24"/>
          <w:lang w:val="lv-LV"/>
        </w:rPr>
        <w:tab/>
      </w:r>
      <w:r w:rsidRPr="007765B6">
        <w:rPr>
          <w:sz w:val="24"/>
          <w:lang w:val="lv-LV"/>
        </w:rPr>
        <w:t>Pieņemtie teksti, P9_TA(2024)</w:t>
      </w:r>
      <w:r w:rsidR="00F90FE7" w:rsidRPr="007765B6">
        <w:rPr>
          <w:sz w:val="24"/>
          <w:lang w:val="lv-LV"/>
        </w:rPr>
        <w:t>0</w:t>
      </w:r>
      <w:r w:rsidR="00F90FE7">
        <w:rPr>
          <w:sz w:val="24"/>
          <w:lang w:val="lv-LV"/>
        </w:rPr>
        <w:t>280</w:t>
      </w:r>
      <w:r w:rsidRPr="007765B6">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3615" w:rsidRPr="007765B6" w:rsidRDefault="00E036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3615" w:rsidRPr="007765B6" w:rsidRDefault="00E036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3615" w:rsidRPr="007765B6" w:rsidRDefault="00E0361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65B6"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65B6"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65B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8/2024"/>
    <w:docVar w:name="dvlangue" w:val="LV"/>
    <w:docVar w:name="dvnumam" w:val="0"/>
    <w:docVar w:name="dvpe" w:val="753.510"/>
    <w:docVar w:name="dvrapporteur" w:val="Referents: "/>
    <w:docVar w:name="dvtitre" w:val="Eiropas Parlamenta 2024. gada XX. XXX lēmums par Eiropas Savienības Tiesībaizsardzības apmācības aģentūras (CEPOL) 2022. finanšu gada budžeta izpildes apstiprināšanu(2023/2144(DEC))"/>
  </w:docVars>
  <w:rsids>
    <w:rsidRoot w:val="00397473"/>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97473"/>
    <w:rsid w:val="003E15D4"/>
    <w:rsid w:val="00411CCE"/>
    <w:rsid w:val="0041666E"/>
    <w:rsid w:val="00421060"/>
    <w:rsid w:val="00471C19"/>
    <w:rsid w:val="004867E3"/>
    <w:rsid w:val="00494A28"/>
    <w:rsid w:val="004C0004"/>
    <w:rsid w:val="004C5D52"/>
    <w:rsid w:val="0050519A"/>
    <w:rsid w:val="005072A1"/>
    <w:rsid w:val="00514517"/>
    <w:rsid w:val="00545827"/>
    <w:rsid w:val="005509B2"/>
    <w:rsid w:val="00560270"/>
    <w:rsid w:val="005C2568"/>
    <w:rsid w:val="006037C0"/>
    <w:rsid w:val="006631B6"/>
    <w:rsid w:val="00680577"/>
    <w:rsid w:val="006F74FA"/>
    <w:rsid w:val="00731ADD"/>
    <w:rsid w:val="00734777"/>
    <w:rsid w:val="00747932"/>
    <w:rsid w:val="00751A4A"/>
    <w:rsid w:val="00756632"/>
    <w:rsid w:val="00762C74"/>
    <w:rsid w:val="007765B6"/>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3615"/>
    <w:rsid w:val="00E31430"/>
    <w:rsid w:val="00E365E1"/>
    <w:rsid w:val="00E820A4"/>
    <w:rsid w:val="00EB006A"/>
    <w:rsid w:val="00EB4772"/>
    <w:rsid w:val="00ED169E"/>
    <w:rsid w:val="00ED4235"/>
    <w:rsid w:val="00F04346"/>
    <w:rsid w:val="00F075DC"/>
    <w:rsid w:val="00F149E9"/>
    <w:rsid w:val="00F5134D"/>
    <w:rsid w:val="00F74202"/>
    <w:rsid w:val="00F87713"/>
    <w:rsid w:val="00F90FE7"/>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0CCDE6"/>
  <w15:chartTrackingRefBased/>
  <w15:docId w15:val="{876A0B85-E441-4767-9646-67B157685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0361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03615"/>
    <w:pPr>
      <w:spacing w:before="480" w:after="240"/>
    </w:pPr>
  </w:style>
  <w:style w:type="paragraph" w:customStyle="1" w:styleId="PageHeading">
    <w:name w:val="PageHeading"/>
    <w:basedOn w:val="Normal"/>
    <w:rsid w:val="00E03615"/>
    <w:pPr>
      <w:keepNext/>
      <w:spacing w:after="480"/>
      <w:jc w:val="center"/>
    </w:pPr>
    <w:rPr>
      <w:rFonts w:ascii="Arial" w:hAnsi="Arial" w:cs="Arial"/>
      <w:b/>
    </w:rPr>
  </w:style>
  <w:style w:type="paragraph" w:customStyle="1" w:styleId="NormalBold">
    <w:name w:val="NormalBold"/>
    <w:basedOn w:val="Normal"/>
    <w:rsid w:val="00E03615"/>
    <w:rPr>
      <w:b/>
    </w:rPr>
  </w:style>
  <w:style w:type="paragraph" w:customStyle="1" w:styleId="NormalHanging12a">
    <w:name w:val="NormalHanging12a"/>
    <w:basedOn w:val="Normal"/>
    <w:link w:val="NormalHanging12aChar"/>
    <w:rsid w:val="00E03615"/>
    <w:pPr>
      <w:spacing w:after="240"/>
      <w:ind w:left="567" w:hanging="567"/>
    </w:pPr>
  </w:style>
  <w:style w:type="paragraph" w:customStyle="1" w:styleId="NormalCenter12a">
    <w:name w:val="NormalCenter12a"/>
    <w:basedOn w:val="Normal"/>
    <w:rsid w:val="00E03615"/>
    <w:pPr>
      <w:spacing w:after="240"/>
      <w:jc w:val="center"/>
    </w:pPr>
  </w:style>
  <w:style w:type="paragraph" w:styleId="Header">
    <w:name w:val="header"/>
    <w:basedOn w:val="Normal"/>
    <w:link w:val="HeaderChar"/>
    <w:rsid w:val="00E03615"/>
    <w:pPr>
      <w:tabs>
        <w:tab w:val="center" w:pos="4513"/>
        <w:tab w:val="right" w:pos="9026"/>
      </w:tabs>
    </w:pPr>
  </w:style>
  <w:style w:type="character" w:customStyle="1" w:styleId="HeaderChar">
    <w:name w:val="Header Char"/>
    <w:basedOn w:val="DefaultParagraphFont"/>
    <w:link w:val="Header"/>
    <w:rsid w:val="00E03615"/>
    <w:rPr>
      <w:sz w:val="24"/>
      <w:lang w:val="lv-LV"/>
    </w:rPr>
  </w:style>
  <w:style w:type="paragraph" w:customStyle="1" w:styleId="EPFooter">
    <w:name w:val="EPFooter"/>
    <w:basedOn w:val="Normal"/>
    <w:rsid w:val="00E03615"/>
    <w:pPr>
      <w:tabs>
        <w:tab w:val="center" w:pos="4535"/>
        <w:tab w:val="right" w:pos="9071"/>
      </w:tabs>
      <w:spacing w:before="240" w:after="240"/>
    </w:pPr>
    <w:rPr>
      <w:color w:val="010000"/>
      <w:sz w:val="22"/>
    </w:rPr>
  </w:style>
  <w:style w:type="paragraph" w:styleId="ListParagraph">
    <w:name w:val="List Paragraph"/>
    <w:basedOn w:val="Normal"/>
    <w:uiPriority w:val="34"/>
    <w:qFormat/>
    <w:rsid w:val="00E03615"/>
    <w:pPr>
      <w:widowControl/>
      <w:ind w:left="720"/>
      <w:contextualSpacing/>
      <w:jc w:val="both"/>
    </w:pPr>
    <w:rPr>
      <w:rFonts w:eastAsiaTheme="minorHAnsi"/>
      <w:szCs w:val="24"/>
      <w:lang w:eastAsia="en-US"/>
    </w:rPr>
  </w:style>
  <w:style w:type="character" w:customStyle="1" w:styleId="NormalHanging12aChar">
    <w:name w:val="NormalHanging12a Char"/>
    <w:basedOn w:val="DefaultParagraphFont"/>
    <w:link w:val="NormalHanging12a"/>
    <w:rsid w:val="00E03615"/>
    <w:rPr>
      <w:sz w:val="24"/>
      <w:lang w:val="lv-LV"/>
    </w:rPr>
  </w:style>
  <w:style w:type="character" w:customStyle="1" w:styleId="pointer">
    <w:name w:val="pointer"/>
    <w:basedOn w:val="DefaultParagraphFont"/>
    <w:rsid w:val="00E03615"/>
  </w:style>
  <w:style w:type="paragraph" w:styleId="BalloonText">
    <w:name w:val="Balloon Text"/>
    <w:basedOn w:val="Normal"/>
    <w:link w:val="BalloonTextChar"/>
    <w:rsid w:val="005509B2"/>
    <w:rPr>
      <w:rFonts w:ascii="Segoe UI" w:hAnsi="Segoe UI" w:cs="Segoe UI"/>
      <w:sz w:val="18"/>
      <w:szCs w:val="18"/>
    </w:rPr>
  </w:style>
  <w:style w:type="character" w:customStyle="1" w:styleId="BalloonTextChar">
    <w:name w:val="Balloon Text Char"/>
    <w:basedOn w:val="DefaultParagraphFont"/>
    <w:link w:val="BalloonText"/>
    <w:rsid w:val="005509B2"/>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4E5FBC-A29E-4727-A9F6-51D6844A32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3935</Words>
  <Characters>25793</Characters>
  <Application>Microsoft Office Word</Application>
  <DocSecurity>0</DocSecurity>
  <Lines>214</Lines>
  <Paragraphs>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Karina Pesa</cp:lastModifiedBy>
  <cp:revision>3</cp:revision>
  <cp:lastPrinted>2004-11-19T15:42:00Z</cp:lastPrinted>
  <dcterms:created xsi:type="dcterms:W3CDTF">2024-04-11T09:30:00Z</dcterms:created>
  <dcterms:modified xsi:type="dcterms:W3CDTF">2024-04-11T15:50:00Z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A9-0098/2024</vt:lpwstr>
  </property>
  <property fmtid="{D5CDD505-2E9C-101B-9397-08002B2CF9AE}" pid="4" name="&lt;Type&gt;">
    <vt:lpwstr>RR</vt:lpwstr>
  </property>
</Properties>
</file>