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7F8B" w:rsidTr="0010095E">
        <w:trPr>
          <w:trHeight w:hRule="exact" w:val="1418"/>
        </w:trPr>
        <w:tc>
          <w:tcPr>
            <w:tcW w:w="6804" w:type="dxa"/>
            <w:shd w:val="clear" w:color="auto" w:fill="auto"/>
            <w:vAlign w:val="center"/>
          </w:tcPr>
          <w:p w:rsidR="00751A4A" w:rsidRPr="00657F8B" w:rsidRDefault="00C31ACD" w:rsidP="0010095E">
            <w:pPr>
              <w:pStyle w:val="EPName"/>
            </w:pPr>
            <w:bookmarkStart w:id="0" w:name="_GoBack"/>
            <w:bookmarkEnd w:id="0"/>
            <w:r w:rsidRPr="00657F8B">
              <w:t>Parlamentul European</w:t>
            </w:r>
          </w:p>
          <w:p w:rsidR="00751A4A" w:rsidRPr="00657F8B" w:rsidRDefault="00817416" w:rsidP="00756632">
            <w:pPr>
              <w:pStyle w:val="EPTerm"/>
              <w:rPr>
                <w:rStyle w:val="HideTWBExt"/>
                <w:noProof w:val="0"/>
                <w:vanish w:val="0"/>
                <w:color w:val="auto"/>
              </w:rPr>
            </w:pPr>
            <w:r w:rsidRPr="00657F8B">
              <w:t>2019-2024</w:t>
            </w:r>
          </w:p>
        </w:tc>
        <w:tc>
          <w:tcPr>
            <w:tcW w:w="2268" w:type="dxa"/>
            <w:shd w:val="clear" w:color="auto" w:fill="auto"/>
          </w:tcPr>
          <w:p w:rsidR="00751A4A" w:rsidRPr="00657F8B" w:rsidRDefault="00187494" w:rsidP="0010095E">
            <w:pPr>
              <w:pStyle w:val="EPLogo"/>
            </w:pPr>
            <w:r w:rsidRPr="00657F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7F8B" w:rsidRDefault="00D058B8" w:rsidP="004C5D52">
      <w:pPr>
        <w:pStyle w:val="LineTop"/>
      </w:pPr>
    </w:p>
    <w:p w:rsidR="00680577" w:rsidRPr="00657F8B" w:rsidRDefault="00C31ACD" w:rsidP="00680577">
      <w:pPr>
        <w:pStyle w:val="EPBodyTA1"/>
      </w:pPr>
      <w:r w:rsidRPr="00657F8B">
        <w:t>TEXTE ADOPTATE</w:t>
      </w:r>
    </w:p>
    <w:p w:rsidR="00D058B8" w:rsidRPr="00657F8B" w:rsidRDefault="00D058B8" w:rsidP="00D058B8">
      <w:pPr>
        <w:pStyle w:val="LineBottom"/>
      </w:pPr>
    </w:p>
    <w:p w:rsidR="00C31ACD" w:rsidRPr="00657F8B" w:rsidRDefault="00C31ACD" w:rsidP="00C31ACD">
      <w:pPr>
        <w:pStyle w:val="ATHeading1"/>
      </w:pPr>
      <w:bookmarkStart w:id="1" w:name="TANumber"/>
      <w:r w:rsidRPr="00657F8B">
        <w:t>P9_TA(2024)</w:t>
      </w:r>
      <w:bookmarkEnd w:id="1"/>
      <w:r w:rsidR="00657F8B" w:rsidRPr="00657F8B">
        <w:t>0</w:t>
      </w:r>
      <w:r w:rsidR="00657F8B" w:rsidRPr="00657F8B">
        <w:t>254</w:t>
      </w:r>
    </w:p>
    <w:p w:rsidR="00C31ACD" w:rsidRPr="00657F8B" w:rsidRDefault="00C31ACD" w:rsidP="00C31ACD">
      <w:pPr>
        <w:pStyle w:val="ATHeading2"/>
      </w:pPr>
      <w:bookmarkStart w:id="2" w:name="title"/>
      <w:r w:rsidRPr="00657F8B">
        <w:t>Descărcarea de gestiune 2022: Agenția Uniunii Europene pentru Formare în Materie de Aplicare a Legii</w:t>
      </w:r>
      <w:r w:rsidR="008B7CA9" w:rsidRPr="00657F8B">
        <w:t xml:space="preserve"> </w:t>
      </w:r>
      <w:r w:rsidRPr="00657F8B">
        <w:t>(CEPOL)</w:t>
      </w:r>
      <w:bookmarkEnd w:id="2"/>
    </w:p>
    <w:p w:rsidR="00C31ACD" w:rsidRPr="00657F8B" w:rsidRDefault="00C31ACD" w:rsidP="00C31ACD">
      <w:pPr>
        <w:rPr>
          <w:i/>
          <w:vanish/>
        </w:rPr>
      </w:pPr>
      <w:r w:rsidRPr="00657F8B">
        <w:rPr>
          <w:i/>
        </w:rPr>
        <w:fldChar w:fldCharType="begin"/>
      </w:r>
      <w:r w:rsidRPr="00657F8B">
        <w:rPr>
          <w:i/>
        </w:rPr>
        <w:instrText xml:space="preserve"> TC"(</w:instrText>
      </w:r>
      <w:bookmarkStart w:id="3" w:name="DocNumber"/>
      <w:r w:rsidRPr="00657F8B">
        <w:rPr>
          <w:i/>
        </w:rPr>
        <w:instrText>A9-0098/2024</w:instrText>
      </w:r>
      <w:bookmarkEnd w:id="3"/>
      <w:r w:rsidRPr="00657F8B">
        <w:rPr>
          <w:i/>
        </w:rPr>
        <w:instrText xml:space="preserve"> - Raportor: Petri </w:instrText>
      </w:r>
      <w:proofErr w:type="spellStart"/>
      <w:r w:rsidRPr="00657F8B">
        <w:rPr>
          <w:i/>
        </w:rPr>
        <w:instrText>Sarvamaa</w:instrText>
      </w:r>
      <w:proofErr w:type="spellEnd"/>
      <w:r w:rsidRPr="00657F8B">
        <w:rPr>
          <w:i/>
        </w:rPr>
        <w:instrText xml:space="preserve">)"\l3 \n&gt; \* MERGEFORMAT </w:instrText>
      </w:r>
      <w:r w:rsidRPr="00657F8B">
        <w:rPr>
          <w:i/>
        </w:rPr>
        <w:fldChar w:fldCharType="end"/>
      </w:r>
    </w:p>
    <w:p w:rsidR="00C31ACD" w:rsidRPr="00657F8B" w:rsidRDefault="00C31ACD" w:rsidP="00C31ACD">
      <w:pPr>
        <w:rPr>
          <w:vanish/>
        </w:rPr>
      </w:pPr>
      <w:bookmarkStart w:id="4" w:name="Commission"/>
      <w:r w:rsidRPr="00657F8B">
        <w:rPr>
          <w:vanish/>
        </w:rPr>
        <w:t>Comisia pentru control bugetar</w:t>
      </w:r>
      <w:bookmarkEnd w:id="4"/>
    </w:p>
    <w:p w:rsidR="00C31ACD" w:rsidRPr="00657F8B" w:rsidRDefault="00C31ACD" w:rsidP="00C31ACD">
      <w:pPr>
        <w:rPr>
          <w:vanish/>
        </w:rPr>
      </w:pPr>
      <w:bookmarkStart w:id="5" w:name="PE"/>
      <w:r w:rsidRPr="00657F8B">
        <w:rPr>
          <w:vanish/>
        </w:rPr>
        <w:t>PE753.510</w:t>
      </w:r>
      <w:bookmarkEnd w:id="5"/>
    </w:p>
    <w:p w:rsidR="00C31ACD" w:rsidRPr="00657F8B" w:rsidRDefault="00C31ACD" w:rsidP="008B7CA9">
      <w:pPr>
        <w:pStyle w:val="ATHeading3"/>
      </w:pPr>
      <w:bookmarkStart w:id="6" w:name="Sujet"/>
      <w:r w:rsidRPr="00657F8B">
        <w:t>1. Decizia Parlamentului European din 11 aprilie 2024 privind descărcarea de gestiune pentru execuția bugetului Agenției Uniunii Europene pentru Formare în Materie de Aplicare a Legii (CEPOL) aferent exercițiului financiar 2022</w:t>
      </w:r>
      <w:bookmarkEnd w:id="6"/>
      <w:r w:rsidRPr="00657F8B">
        <w:t xml:space="preserve"> </w:t>
      </w:r>
      <w:bookmarkStart w:id="7" w:name="References"/>
      <w:r w:rsidRPr="00657F8B">
        <w:t>(2023/2144(DEC))</w:t>
      </w:r>
      <w:bookmarkEnd w:id="7"/>
    </w:p>
    <w:p w:rsidR="0091796D" w:rsidRPr="00657F8B" w:rsidRDefault="0091796D" w:rsidP="0091796D">
      <w:pPr>
        <w:pStyle w:val="EPComma"/>
      </w:pPr>
      <w:bookmarkStart w:id="8" w:name="TextBodyBegin"/>
      <w:bookmarkEnd w:id="8"/>
      <w:r w:rsidRPr="00657F8B">
        <w:rPr>
          <w:i/>
          <w:iCs/>
        </w:rPr>
        <w:t>Parlamentul European</w:t>
      </w:r>
      <w:r w:rsidRPr="00657F8B">
        <w:t>,</w:t>
      </w:r>
    </w:p>
    <w:p w:rsidR="0091796D" w:rsidRPr="00657F8B" w:rsidRDefault="0091796D" w:rsidP="0091796D">
      <w:pPr>
        <w:pStyle w:val="NormalHanging12a"/>
      </w:pPr>
      <w:r w:rsidRPr="00657F8B">
        <w:t>–</w:t>
      </w:r>
      <w:r w:rsidRPr="00657F8B">
        <w:tab/>
        <w:t>având în vedere conturile anuale finale ale Agenției Uniunii Europene pentru Formare în Materie de Aplicare a Legii (CEPOL) pentru exercițiul financiar 2022,</w:t>
      </w:r>
    </w:p>
    <w:p w:rsidR="0091796D" w:rsidRPr="00657F8B" w:rsidRDefault="0091796D" w:rsidP="0091796D">
      <w:pPr>
        <w:pStyle w:val="NormalHanging12a"/>
      </w:pPr>
      <w:r w:rsidRPr="00657F8B">
        <w:t>–</w:t>
      </w:r>
      <w:r w:rsidRPr="00657F8B">
        <w:tab/>
        <w:t>având în vedere Raportul anual al Curții de Conturi privind agențiile UE pentru exercițiul financiar 2022, însoțit de răspunsurile agențiilor</w:t>
      </w:r>
      <w:r w:rsidRPr="00657F8B">
        <w:rPr>
          <w:rStyle w:val="FootnoteReference"/>
        </w:rPr>
        <w:footnoteReference w:id="1"/>
      </w:r>
      <w:r w:rsidRPr="00657F8B">
        <w:t>,</w:t>
      </w:r>
    </w:p>
    <w:p w:rsidR="0091796D" w:rsidRPr="00657F8B" w:rsidRDefault="0091796D" w:rsidP="0091796D">
      <w:pPr>
        <w:pStyle w:val="NormalHanging12a"/>
      </w:pPr>
      <w:r w:rsidRPr="00657F8B">
        <w:t>–</w:t>
      </w:r>
      <w:r w:rsidRPr="00657F8B">
        <w:tab/>
        <w:t>având în vedere declarația de asigurare</w:t>
      </w:r>
      <w:r w:rsidRPr="00657F8B">
        <w:rPr>
          <w:rStyle w:val="FootnoteReference"/>
        </w:rPr>
        <w:footnoteReference w:id="2"/>
      </w:r>
      <w:r w:rsidRPr="00657F8B">
        <w:t xml:space="preserve"> privind fiabilitatea conturilor și legalitatea și regularitatea operațiunilor subiacente întocmită de Curtea de Conturi pentru exercițiul 2022 în temeiul articolului 287 din Tratatul privind funcționarea Uniunii Europene,</w:t>
      </w:r>
    </w:p>
    <w:p w:rsidR="0091796D" w:rsidRPr="00657F8B" w:rsidRDefault="0091796D" w:rsidP="0091796D">
      <w:pPr>
        <w:pStyle w:val="NormalHanging12a"/>
      </w:pPr>
      <w:r w:rsidRPr="00657F8B">
        <w:t>–</w:t>
      </w:r>
      <w:r w:rsidRPr="00657F8B">
        <w:tab/>
        <w:t>având în vedere Recomandarea Consiliului din 22 februarie 2024 privind descărcarea de gestiune a Agenției în ceea ce privește execuția bugetară pentru exercițiul financiar 2022 (</w:t>
      </w:r>
      <w:r w:rsidR="00C6352A" w:rsidRPr="00657F8B">
        <w:t>06180/2024 – C9</w:t>
      </w:r>
      <w:r w:rsidR="00C6352A" w:rsidRPr="00657F8B">
        <w:noBreakHyphen/>
        <w:t>0082/2024</w:t>
      </w:r>
      <w:r w:rsidRPr="00657F8B">
        <w:t>),</w:t>
      </w:r>
    </w:p>
    <w:p w:rsidR="0091796D" w:rsidRPr="00657F8B" w:rsidRDefault="0091796D" w:rsidP="0091796D">
      <w:pPr>
        <w:pStyle w:val="NormalHanging12a"/>
      </w:pPr>
      <w:r w:rsidRPr="00657F8B">
        <w:t>–</w:t>
      </w:r>
      <w:r w:rsidRPr="00657F8B">
        <w:tab/>
        <w:t>având în vedere articolul 319 din Tratatul privind funcționarea Uniunii Europene,</w:t>
      </w:r>
    </w:p>
    <w:p w:rsidR="0091796D" w:rsidRPr="00657F8B" w:rsidRDefault="0091796D" w:rsidP="0091796D">
      <w:pPr>
        <w:pStyle w:val="NormalHanging12a"/>
      </w:pPr>
      <w:r w:rsidRPr="00657F8B">
        <w:t>–</w:t>
      </w:r>
      <w:r w:rsidRPr="00657F8B">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57F8B">
        <w:rPr>
          <w:rStyle w:val="FootnoteReference"/>
        </w:rPr>
        <w:footnoteReference w:id="3"/>
      </w:r>
      <w:r w:rsidRPr="00657F8B">
        <w:t>, în special articolul 70,</w:t>
      </w:r>
    </w:p>
    <w:p w:rsidR="0091796D" w:rsidRPr="00657F8B" w:rsidRDefault="0091796D" w:rsidP="0091796D">
      <w:pPr>
        <w:pStyle w:val="NormalHanging12a"/>
      </w:pPr>
      <w:r w:rsidRPr="00657F8B">
        <w:t>–</w:t>
      </w:r>
      <w:r w:rsidRPr="00657F8B">
        <w:tab/>
        <w:t xml:space="preserve">având în vedere Regulamentul (UE) 2015/2219 al Parlamentului European și al </w:t>
      </w:r>
      <w:r w:rsidRPr="00657F8B">
        <w:lastRenderedPageBreak/>
        <w:t>Consiliului din 25 noiembrie 2015 privind Agenția Uniunii Europene pentru Formare în Materie de Aplicare a Legii (CEPOL) și de înlocuire și de abrogare a Deciziei 2005/681/JAI a Consiliului</w:t>
      </w:r>
      <w:r w:rsidRPr="00657F8B">
        <w:rPr>
          <w:rStyle w:val="FootnoteReference"/>
        </w:rPr>
        <w:footnoteReference w:id="4"/>
      </w:r>
      <w:r w:rsidRPr="00657F8B">
        <w:t>, în special articolul 20,</w:t>
      </w:r>
    </w:p>
    <w:p w:rsidR="0091796D" w:rsidRPr="00657F8B" w:rsidRDefault="0091796D" w:rsidP="0091796D">
      <w:pPr>
        <w:pStyle w:val="NormalHanging12a"/>
      </w:pPr>
      <w:r w:rsidRPr="00657F8B">
        <w:t>–</w:t>
      </w:r>
      <w:r w:rsidRPr="00657F8B">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57F8B">
        <w:rPr>
          <w:rStyle w:val="FootnoteReference"/>
        </w:rPr>
        <w:footnoteReference w:id="5"/>
      </w:r>
      <w:r w:rsidRPr="00657F8B">
        <w:t>, în special articolul 105,</w:t>
      </w:r>
    </w:p>
    <w:p w:rsidR="0091796D" w:rsidRPr="00657F8B" w:rsidRDefault="0091796D" w:rsidP="0091796D">
      <w:pPr>
        <w:pStyle w:val="NormalHanging12a"/>
      </w:pPr>
      <w:r w:rsidRPr="00657F8B">
        <w:t>–</w:t>
      </w:r>
      <w:r w:rsidRPr="00657F8B">
        <w:tab/>
        <w:t>având în vedere articolul 100 și anexa V la Regulamentul său de procedură,</w:t>
      </w:r>
    </w:p>
    <w:p w:rsidR="0091796D" w:rsidRPr="00657F8B" w:rsidRDefault="0091796D" w:rsidP="0091796D">
      <w:pPr>
        <w:pStyle w:val="NormalHanging12a"/>
      </w:pPr>
      <w:r w:rsidRPr="00657F8B">
        <w:t>–</w:t>
      </w:r>
      <w:r w:rsidRPr="00657F8B">
        <w:tab/>
        <w:t>având în vedere avizul Comisiei pentru libertăți civile, justiție și afaceri interne,</w:t>
      </w:r>
    </w:p>
    <w:p w:rsidR="0091796D" w:rsidRPr="00657F8B" w:rsidRDefault="0091796D" w:rsidP="0091796D">
      <w:pPr>
        <w:pStyle w:val="NormalHanging12a"/>
      </w:pPr>
      <w:r w:rsidRPr="00657F8B">
        <w:t>–</w:t>
      </w:r>
      <w:r w:rsidRPr="00657F8B">
        <w:tab/>
        <w:t>având în vedere raportul Comisiei pentru control bugetar (A9-0098/2024),</w:t>
      </w:r>
    </w:p>
    <w:p w:rsidR="0091796D" w:rsidRPr="00657F8B" w:rsidRDefault="0091796D" w:rsidP="0091796D">
      <w:pPr>
        <w:pStyle w:val="NormalHanging12a"/>
      </w:pPr>
      <w:r w:rsidRPr="00657F8B">
        <w:t>1.</w:t>
      </w:r>
      <w:r w:rsidRPr="00657F8B">
        <w:tab/>
        <w:t>acordă directoarei executive a Agenției Uniunii Europene pentru Formare în Materie de Aplicare a Legii (CEPOL) descărcarea de gestiune pentru execuția bugetului Agenției aferent exercițiului financiar 2022;</w:t>
      </w:r>
    </w:p>
    <w:p w:rsidR="0091796D" w:rsidRPr="00657F8B" w:rsidRDefault="0091796D" w:rsidP="0091796D">
      <w:pPr>
        <w:pStyle w:val="NormalHanging12a"/>
      </w:pPr>
      <w:r w:rsidRPr="00657F8B">
        <w:t>2.</w:t>
      </w:r>
      <w:r w:rsidRPr="00657F8B">
        <w:tab/>
        <w:t>își prezintă observațiile în cadrul rezoluției de mai jos;</w:t>
      </w:r>
    </w:p>
    <w:p w:rsidR="0091796D" w:rsidRPr="00657F8B" w:rsidRDefault="0091796D" w:rsidP="0091796D">
      <w:pPr>
        <w:pStyle w:val="NormalHanging12a"/>
      </w:pPr>
      <w:r w:rsidRPr="00657F8B">
        <w:t>3.</w:t>
      </w:r>
      <w:r w:rsidRPr="00657F8B">
        <w:tab/>
        <w:t xml:space="preserve">încredințează Președintei sarcina de a transmite prezenta decizie împreună cu rezoluția Parlamentului, ca parte integrantă a acesteia, directoarei executive a Agenției Uniunii Europene pentru Formare în Materie de Aplicare a Legii (CEPOL), Consiliului, Comisiei și Curții de Conturi și de a asigura publicarea acestora în </w:t>
      </w:r>
      <w:r w:rsidRPr="00657F8B">
        <w:rPr>
          <w:i/>
          <w:iCs/>
        </w:rPr>
        <w:t>Jurnalul Oficial al Uniunii Europene</w:t>
      </w:r>
      <w:r w:rsidRPr="00657F8B">
        <w:t xml:space="preserve"> (seria L).</w:t>
      </w:r>
    </w:p>
    <w:p w:rsidR="0091796D" w:rsidRPr="00657F8B" w:rsidRDefault="0091796D" w:rsidP="0091796D"/>
    <w:p w:rsidR="0091796D" w:rsidRPr="00657F8B" w:rsidRDefault="0091796D" w:rsidP="0091796D">
      <w:pPr>
        <w:widowControl/>
        <w:rPr>
          <w:rFonts w:ascii="Arial" w:hAnsi="Arial" w:cs="Arial"/>
          <w:b/>
        </w:rPr>
        <w:sectPr w:rsidR="0091796D" w:rsidRPr="00657F8B" w:rsidSect="00D443A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91796D" w:rsidRPr="00657F8B" w:rsidRDefault="008B7CA9" w:rsidP="008B7CA9">
      <w:pPr>
        <w:pStyle w:val="ATHeading3"/>
      </w:pPr>
      <w:r w:rsidRPr="00657F8B">
        <w:lastRenderedPageBreak/>
        <w:t xml:space="preserve">2. Decizia Parlamentului European din 11 aprilie 2024 </w:t>
      </w:r>
      <w:r w:rsidR="0091796D" w:rsidRPr="00657F8B">
        <w:t>privind închiderea conturilor Agenției Uniunii Europene pentru Formare în Materie de Aplicare a Legii (CEPOL) pentru exercițiul financiar 2022</w:t>
      </w:r>
      <w:r w:rsidRPr="00657F8B">
        <w:t xml:space="preserve"> </w:t>
      </w:r>
      <w:r w:rsidR="0091796D" w:rsidRPr="00657F8B">
        <w:t>(2023/2144(DEC))</w:t>
      </w:r>
    </w:p>
    <w:p w:rsidR="0091796D" w:rsidRPr="00657F8B" w:rsidRDefault="0091796D" w:rsidP="0091796D">
      <w:pPr>
        <w:pStyle w:val="EPComma"/>
      </w:pPr>
      <w:r w:rsidRPr="00657F8B">
        <w:rPr>
          <w:i/>
          <w:iCs/>
        </w:rPr>
        <w:t>Parlamentul European</w:t>
      </w:r>
      <w:r w:rsidRPr="00657F8B">
        <w:t>,</w:t>
      </w:r>
    </w:p>
    <w:p w:rsidR="0091796D" w:rsidRPr="00657F8B" w:rsidRDefault="0091796D" w:rsidP="0091796D">
      <w:pPr>
        <w:pStyle w:val="NormalHanging12a"/>
      </w:pPr>
      <w:r w:rsidRPr="00657F8B">
        <w:t>–</w:t>
      </w:r>
      <w:r w:rsidRPr="00657F8B">
        <w:tab/>
        <w:t>având în vedere conturile anuale finale ale Agenției Uniunii Europene pentru Formare în Materie de Aplicare a Legii (CEPOL) pentru exercițiul financiar 2022,</w:t>
      </w:r>
    </w:p>
    <w:p w:rsidR="0091796D" w:rsidRPr="00657F8B" w:rsidRDefault="0091796D" w:rsidP="0091796D">
      <w:pPr>
        <w:pStyle w:val="NormalHanging12a"/>
      </w:pPr>
      <w:r w:rsidRPr="00657F8B">
        <w:t>–</w:t>
      </w:r>
      <w:r w:rsidRPr="00657F8B">
        <w:tab/>
        <w:t>având în vedere Raportul anual al Curții de Conturi privind agențiile UE pentru exercițiul financiar 2022, însoțit de răspunsurile agențiilor</w:t>
      </w:r>
      <w:r w:rsidRPr="00657F8B">
        <w:rPr>
          <w:rStyle w:val="FootnoteReference"/>
        </w:rPr>
        <w:footnoteReference w:id="6"/>
      </w:r>
      <w:r w:rsidRPr="00657F8B">
        <w:t>,</w:t>
      </w:r>
    </w:p>
    <w:p w:rsidR="0091796D" w:rsidRPr="00657F8B" w:rsidRDefault="0091796D" w:rsidP="0091796D">
      <w:pPr>
        <w:pStyle w:val="NormalHanging12a"/>
      </w:pPr>
      <w:r w:rsidRPr="00657F8B">
        <w:t>–</w:t>
      </w:r>
      <w:r w:rsidRPr="00657F8B">
        <w:tab/>
        <w:t>având în vedere declarația de asigurare</w:t>
      </w:r>
      <w:r w:rsidRPr="00657F8B">
        <w:rPr>
          <w:rStyle w:val="FootnoteReference"/>
        </w:rPr>
        <w:footnoteReference w:id="7"/>
      </w:r>
      <w:r w:rsidRPr="00657F8B">
        <w:t xml:space="preserve"> privind fiabilitatea conturilor și legalitatea și regularitatea operațiunilor subiacente întocmită de Curtea de Conturi pentru exercițiul 2022 în temeiul articolului 287 din Tratatul privind funcționarea Uniunii Europene,</w:t>
      </w:r>
    </w:p>
    <w:p w:rsidR="0091796D" w:rsidRPr="00657F8B" w:rsidRDefault="0091796D" w:rsidP="0091796D">
      <w:pPr>
        <w:pStyle w:val="NormalHanging12a"/>
      </w:pPr>
      <w:r w:rsidRPr="00657F8B">
        <w:t>–</w:t>
      </w:r>
      <w:r w:rsidRPr="00657F8B">
        <w:tab/>
        <w:t>având în vedere Recomandarea Consiliului din 22 februarie 2024 privind descărcarea de gestiune a Agenției în ceea ce privește execuția bugetară pentru exercițiul financiar 2022 (</w:t>
      </w:r>
      <w:r w:rsidR="00C6352A" w:rsidRPr="00657F8B">
        <w:t>06180/2024 – C9</w:t>
      </w:r>
      <w:r w:rsidR="00C6352A" w:rsidRPr="00657F8B">
        <w:noBreakHyphen/>
        <w:t>0082/2024</w:t>
      </w:r>
      <w:r w:rsidRPr="00657F8B">
        <w:t>),</w:t>
      </w:r>
    </w:p>
    <w:p w:rsidR="0091796D" w:rsidRPr="00657F8B" w:rsidRDefault="0091796D" w:rsidP="0091796D">
      <w:pPr>
        <w:pStyle w:val="NormalHanging12a"/>
      </w:pPr>
      <w:r w:rsidRPr="00657F8B">
        <w:t>–</w:t>
      </w:r>
      <w:r w:rsidRPr="00657F8B">
        <w:tab/>
        <w:t>având în vedere articolul 319 din Tratatul privind funcționarea Uniunii Europene,</w:t>
      </w:r>
    </w:p>
    <w:p w:rsidR="0091796D" w:rsidRPr="00657F8B" w:rsidRDefault="0091796D" w:rsidP="0091796D">
      <w:pPr>
        <w:pStyle w:val="NormalHanging12a"/>
      </w:pPr>
      <w:r w:rsidRPr="00657F8B">
        <w:t>–</w:t>
      </w:r>
      <w:r w:rsidRPr="00657F8B">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57F8B">
        <w:rPr>
          <w:rStyle w:val="FootnoteReference"/>
        </w:rPr>
        <w:footnoteReference w:id="8"/>
      </w:r>
      <w:r w:rsidRPr="00657F8B">
        <w:t>, în special articolul 70,</w:t>
      </w:r>
    </w:p>
    <w:p w:rsidR="0091796D" w:rsidRPr="00657F8B" w:rsidRDefault="0091796D" w:rsidP="0091796D">
      <w:pPr>
        <w:pStyle w:val="NormalHanging12a"/>
      </w:pPr>
      <w:r w:rsidRPr="00657F8B">
        <w:t>–</w:t>
      </w:r>
      <w:r w:rsidRPr="00657F8B">
        <w:tab/>
        <w:t>având în vedere Regulamentul (UE) 2015/2219 al Parlamentului European și al Consiliului din 25 noiembrie 2015 privind Agenția Uniunii Europene pentru Formare în Materie de Aplicare a Legii (CEPOL) și de înlocuire și de abrogare a Deciziei 2005/681/JAI a Consiliului</w:t>
      </w:r>
      <w:r w:rsidRPr="00657F8B">
        <w:rPr>
          <w:rStyle w:val="FootnoteReference"/>
        </w:rPr>
        <w:footnoteReference w:id="9"/>
      </w:r>
      <w:r w:rsidRPr="00657F8B">
        <w:t>, în special articolul 20,</w:t>
      </w:r>
    </w:p>
    <w:p w:rsidR="0091796D" w:rsidRPr="00657F8B" w:rsidRDefault="0091796D" w:rsidP="0091796D">
      <w:pPr>
        <w:pStyle w:val="NormalHanging12a"/>
      </w:pPr>
      <w:r w:rsidRPr="00657F8B">
        <w:t>–</w:t>
      </w:r>
      <w:r w:rsidRPr="00657F8B">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57F8B">
        <w:rPr>
          <w:rStyle w:val="FootnoteReference"/>
        </w:rPr>
        <w:footnoteReference w:id="10"/>
      </w:r>
      <w:r w:rsidRPr="00657F8B">
        <w:t>, în special articolul 105,</w:t>
      </w:r>
    </w:p>
    <w:p w:rsidR="0091796D" w:rsidRPr="00657F8B" w:rsidRDefault="0091796D" w:rsidP="0091796D">
      <w:pPr>
        <w:pStyle w:val="NormalHanging12a"/>
      </w:pPr>
      <w:r w:rsidRPr="00657F8B">
        <w:t>–</w:t>
      </w:r>
      <w:r w:rsidRPr="00657F8B">
        <w:tab/>
        <w:t>având în vedere articolul 100 și anexa V la Regulamentul său de procedură,</w:t>
      </w:r>
    </w:p>
    <w:p w:rsidR="0091796D" w:rsidRPr="00657F8B" w:rsidRDefault="0091796D" w:rsidP="0091796D">
      <w:pPr>
        <w:pStyle w:val="NormalHanging12a"/>
      </w:pPr>
      <w:r w:rsidRPr="00657F8B">
        <w:t>–</w:t>
      </w:r>
      <w:r w:rsidRPr="00657F8B">
        <w:tab/>
        <w:t>având în vedere avizul Comisiei pentru libertăți civile, justiție și afaceri interne,</w:t>
      </w:r>
    </w:p>
    <w:p w:rsidR="0091796D" w:rsidRPr="00657F8B" w:rsidRDefault="0091796D" w:rsidP="0091796D">
      <w:pPr>
        <w:pStyle w:val="NormalHanging12a"/>
      </w:pPr>
      <w:r w:rsidRPr="00657F8B">
        <w:t>–</w:t>
      </w:r>
      <w:r w:rsidRPr="00657F8B">
        <w:tab/>
        <w:t>având în vedere raportul Comisiei pentru control bugetar (A9-0098/2024),</w:t>
      </w:r>
    </w:p>
    <w:p w:rsidR="0091796D" w:rsidRPr="00657F8B" w:rsidRDefault="0091796D" w:rsidP="0091796D">
      <w:pPr>
        <w:pStyle w:val="NormalHanging12a"/>
      </w:pPr>
      <w:r w:rsidRPr="00657F8B">
        <w:t>1.</w:t>
      </w:r>
      <w:r w:rsidRPr="00657F8B">
        <w:tab/>
        <w:t xml:space="preserve">aprobă închiderea conturilor Agenției Uniunii Europene pentru Formare în Materie de </w:t>
      </w:r>
      <w:r w:rsidRPr="00657F8B">
        <w:lastRenderedPageBreak/>
        <w:t>Aplicare a Legii (CEPOL) pentru exercițiul financiar 2022;</w:t>
      </w:r>
    </w:p>
    <w:p w:rsidR="0091796D" w:rsidRPr="00657F8B" w:rsidRDefault="0091796D" w:rsidP="0091796D">
      <w:pPr>
        <w:pStyle w:val="NormalHanging12a"/>
      </w:pPr>
      <w:r w:rsidRPr="00657F8B">
        <w:t>2.</w:t>
      </w:r>
      <w:r w:rsidRPr="00657F8B">
        <w:tab/>
        <w:t xml:space="preserve">încredințează Președintei sarcina de a transmite prezenta decizie directoarei executive a Agenției Uniunii Europene pentru Formare în Materie de Aplicare a Legii (CEPOL), Consiliului, Comisiei și Curții de Conturi și de a asigura publicarea acesteia în </w:t>
      </w:r>
      <w:r w:rsidRPr="00657F8B">
        <w:rPr>
          <w:i/>
          <w:iCs/>
        </w:rPr>
        <w:t>Jurnalul Oficial al Uniunii Europene</w:t>
      </w:r>
      <w:r w:rsidRPr="00657F8B">
        <w:t xml:space="preserve"> (seria L).</w:t>
      </w:r>
    </w:p>
    <w:p w:rsidR="0091796D" w:rsidRPr="00657F8B" w:rsidRDefault="0091796D" w:rsidP="0091796D"/>
    <w:p w:rsidR="0091796D" w:rsidRPr="00657F8B" w:rsidRDefault="0091796D" w:rsidP="0091796D">
      <w:pPr>
        <w:widowControl/>
        <w:rPr>
          <w:rFonts w:ascii="Arial" w:hAnsi="Arial" w:cs="Arial"/>
          <w:b/>
        </w:rPr>
        <w:sectPr w:rsidR="0091796D" w:rsidRPr="00657F8B" w:rsidSect="00D443AD">
          <w:footnotePr>
            <w:numRestart w:val="eachPage"/>
          </w:footnotePr>
          <w:endnotePr>
            <w:numFmt w:val="decimal"/>
          </w:endnotePr>
          <w:pgSz w:w="11906" w:h="16838"/>
          <w:pgMar w:top="1134" w:right="1418" w:bottom="1418" w:left="1418" w:header="567" w:footer="567" w:gutter="0"/>
          <w:cols w:space="720"/>
          <w:docGrid w:linePitch="326"/>
        </w:sectPr>
      </w:pPr>
    </w:p>
    <w:p w:rsidR="0091796D" w:rsidRPr="00657F8B" w:rsidRDefault="008B7CA9" w:rsidP="008B7CA9">
      <w:pPr>
        <w:pStyle w:val="ATHeading3"/>
      </w:pPr>
      <w:r w:rsidRPr="00657F8B">
        <w:lastRenderedPageBreak/>
        <w:t xml:space="preserve">3. Rezoluția Parlamentului European din 11 aprilie 2024 </w:t>
      </w:r>
      <w:r w:rsidR="0091796D" w:rsidRPr="00657F8B">
        <w:t>conținând observațiile care fac parte integrantă din decizia privind descărcarea de gestiune pentru execuția bugetului Agenției Uniunii Europene pentru Formare în Materie de Aplicare a Legii (CEPOL) aferent exercițiului financiar 2022</w:t>
      </w:r>
      <w:r w:rsidRPr="00657F8B">
        <w:t xml:space="preserve"> </w:t>
      </w:r>
      <w:r w:rsidR="0091796D" w:rsidRPr="00657F8B">
        <w:t>(2023/2144(DEC))</w:t>
      </w:r>
    </w:p>
    <w:p w:rsidR="0091796D" w:rsidRPr="00657F8B" w:rsidRDefault="0091796D" w:rsidP="0091796D">
      <w:pPr>
        <w:pStyle w:val="EPComma"/>
      </w:pPr>
      <w:r w:rsidRPr="00657F8B">
        <w:rPr>
          <w:i/>
          <w:iCs/>
        </w:rPr>
        <w:t>Parlamentul European</w:t>
      </w:r>
      <w:r w:rsidRPr="00657F8B">
        <w:t>,</w:t>
      </w:r>
    </w:p>
    <w:p w:rsidR="0091796D" w:rsidRPr="00657F8B" w:rsidRDefault="0091796D" w:rsidP="0091796D">
      <w:pPr>
        <w:pStyle w:val="NormalHanging12a"/>
      </w:pPr>
      <w:r w:rsidRPr="00657F8B">
        <w:t>–</w:t>
      </w:r>
      <w:r w:rsidRPr="00657F8B">
        <w:tab/>
        <w:t>având în vedere decizia sa privind descărcarea de gestiune pentru execuția bugetului Agenției Uniunii Europene pentru Formare în Materie de Aplicare a Legii (CEPOL) aferent exercițiului financiar 2022,</w:t>
      </w:r>
    </w:p>
    <w:p w:rsidR="0091796D" w:rsidRPr="00657F8B" w:rsidRDefault="0091796D" w:rsidP="0091796D">
      <w:pPr>
        <w:pStyle w:val="NormalHanging12a"/>
      </w:pPr>
      <w:r w:rsidRPr="00657F8B">
        <w:t>–</w:t>
      </w:r>
      <w:r w:rsidRPr="00657F8B">
        <w:tab/>
        <w:t>având în vedere articolul 100 și anexa V la Regulamentul său de procedură,</w:t>
      </w:r>
    </w:p>
    <w:p w:rsidR="0091796D" w:rsidRPr="00657F8B" w:rsidRDefault="0091796D" w:rsidP="0091796D">
      <w:pPr>
        <w:pStyle w:val="NormalHanging12a"/>
      </w:pPr>
      <w:r w:rsidRPr="00657F8B">
        <w:t>–</w:t>
      </w:r>
      <w:r w:rsidRPr="00657F8B">
        <w:tab/>
        <w:t>având în vedere avizul Comisiei pentru libertăți civile, justiție și afaceri interne,</w:t>
      </w:r>
    </w:p>
    <w:p w:rsidR="0091796D" w:rsidRPr="00657F8B" w:rsidRDefault="0091796D" w:rsidP="0091796D">
      <w:pPr>
        <w:pStyle w:val="NormalHanging12a"/>
      </w:pPr>
      <w:r w:rsidRPr="00657F8B">
        <w:t>–</w:t>
      </w:r>
      <w:r w:rsidRPr="00657F8B">
        <w:tab/>
        <w:t>având în vedere raportul Comisiei pentru control bugetar (A9-0098/2024),</w:t>
      </w:r>
    </w:p>
    <w:p w:rsidR="0091796D" w:rsidRPr="00657F8B" w:rsidRDefault="0091796D" w:rsidP="0091796D">
      <w:pPr>
        <w:pStyle w:val="ListParagraph"/>
        <w:widowControl w:val="0"/>
        <w:spacing w:after="240"/>
        <w:ind w:left="567" w:hanging="567"/>
        <w:contextualSpacing w:val="0"/>
        <w:jc w:val="left"/>
        <w:rPr>
          <w:rFonts w:eastAsia="Times New Roman"/>
        </w:rPr>
      </w:pPr>
      <w:r w:rsidRPr="00657F8B">
        <w:t>A.</w:t>
      </w:r>
      <w:r w:rsidRPr="00657F8B">
        <w:tab/>
        <w:t>întrucât, potrivit situației veniturilor și cheltuielilor sale</w:t>
      </w:r>
      <w:r w:rsidRPr="00657F8B">
        <w:rPr>
          <w:rStyle w:val="FootnoteReference"/>
          <w:rFonts w:eastAsia="Times New Roman"/>
          <w:lang w:eastAsia="en-GB"/>
        </w:rPr>
        <w:footnoteReference w:id="11"/>
      </w:r>
      <w:r w:rsidRPr="00657F8B">
        <w:t>, bugetul definitiv al Agenției Uniunii Europene pentru Formare în Materie de Aplicare a Legii (CEPOL) („Agenția”) aferent exercițiului financiar 2022 a fost de 28 295 362 EUR, ceea ce reprezintă o majorare cu 5,82 % față de 2021; întrucât Agenția este finanțată printr-o contribuție din partea Uniunii și prin venituri externe alocate pentru proiecte specifice;</w:t>
      </w:r>
    </w:p>
    <w:p w:rsidR="0091796D" w:rsidRPr="00657F8B" w:rsidRDefault="0091796D" w:rsidP="0091796D">
      <w:pPr>
        <w:spacing w:after="240"/>
        <w:ind w:left="567" w:hanging="567"/>
        <w:rPr>
          <w:szCs w:val="24"/>
        </w:rPr>
      </w:pPr>
      <w:r w:rsidRPr="00657F8B">
        <w:t>B.</w:t>
      </w:r>
      <w:r w:rsidRPr="00657F8B">
        <w:tab/>
        <w:t>întrucât, în raportul său privind conturile anuale ale Agenției pentru exercițiul financiar 2022 („raportul Curții”), Curtea de Conturi („Curtea”) declară că a obținut asigurarea rezonabilă cu privire la fiabilitatea conturilor anuale ale Agenției și cu privire la legalitatea și regularitatea operațiunilor subiacente, în ceea ce privește veniturile, sub toate aspectele semnificative; întrucât Curtea a identificat plăți neconforme în valoare totală de 4,2 milioane EUR, din care 4,1 milioane EUR în legătură cu 359 de plăți efectuate în temeiul a două contracte-cadru executate prin cereri de servicii trimise de membri ai personalului care nu aveau autoritatea de a-și asuma angajamente juridice în numele Agenției și 152 655 EUR sub formă de plăți efectuate în 2022 în temeiul unui contract-cadru în legătură cu care unele dintre sumele plătite nu au putut fi reconciliate cu serviciile furnizate, reprezentând în total 13,5 % din creditele de plată disponibile în 2022, depășind astfel pragul de semnificație stabilit pentru audit și, prin urmare, având drept rezultat o opinie cu rezerve privind legalitatea și regularitatea plăților subiacente conturilor; întrucât, cu excepția acestor plăți neconforme, Curtea concluzionează că operațiunile subiacente în ceea ce privește plățile aferente exercițiului încheiat la 31 decembrie 2022 sunt legale și regulate sub toate aspectele semnificative,</w:t>
      </w:r>
    </w:p>
    <w:p w:rsidR="0091796D" w:rsidRPr="00657F8B" w:rsidRDefault="0091796D" w:rsidP="0091796D">
      <w:pPr>
        <w:spacing w:after="240"/>
        <w:ind w:left="567" w:hanging="567"/>
        <w:rPr>
          <w:b/>
          <w:i/>
          <w:szCs w:val="24"/>
        </w:rPr>
      </w:pPr>
      <w:r w:rsidRPr="00657F8B">
        <w:rPr>
          <w:b/>
          <w:i/>
        </w:rPr>
        <w:t>Gestiunea bugetară și financiară</w:t>
      </w:r>
    </w:p>
    <w:p w:rsidR="0091796D" w:rsidRPr="00657F8B" w:rsidRDefault="0091796D" w:rsidP="0091796D">
      <w:pPr>
        <w:spacing w:after="240"/>
        <w:ind w:left="567" w:hanging="567"/>
        <w:rPr>
          <w:szCs w:val="24"/>
        </w:rPr>
      </w:pPr>
      <w:r w:rsidRPr="00657F8B">
        <w:t>1.</w:t>
      </w:r>
      <w:r w:rsidRPr="00657F8B">
        <w:rPr>
          <w:color w:val="FFFFFF" w:themeColor="background1"/>
        </w:rPr>
        <w:tab/>
      </w:r>
      <w:r w:rsidRPr="00657F8B">
        <w:t xml:space="preserve">apreciază faptul că eforturile de monitorizare a bugetului în cursul exercițiului financiar 2022 au condus la o rată de execuție bugetară de 100 %, ceea ce reprezintă o creștere de 3,21 % față de exercițiul 2021; constată că rata de execuție a creditelor de plată a fost de 84,66 %, ceea ce reprezintă o creștere cu 12,93 % în comparație cu 2021; constată, de asemenea, că 1,6 milioane EUR, reprezentând 15 % din angajamentele din 2022, au fost reportate în 2023; ia act de faptul că rata de execuție bugetară în ceea ce privește </w:t>
      </w:r>
      <w:r w:rsidRPr="00657F8B">
        <w:lastRenderedPageBreak/>
        <w:t>fondurile de asistență externă ale Uniunii dedicate sprijinirii țărilor terțe în consolidarea capacităților lor în domeniile de politică relevante de aplicare a legii a ajuns la 48,5 % până la sfârșitul anului 2022;</w:t>
      </w:r>
    </w:p>
    <w:p w:rsidR="0091796D" w:rsidRPr="00657F8B" w:rsidRDefault="0091796D" w:rsidP="0091796D">
      <w:pPr>
        <w:spacing w:after="240"/>
        <w:ind w:left="567" w:hanging="567"/>
        <w:rPr>
          <w:b/>
          <w:i/>
          <w:szCs w:val="24"/>
        </w:rPr>
      </w:pPr>
      <w:r w:rsidRPr="00657F8B">
        <w:rPr>
          <w:b/>
          <w:i/>
        </w:rPr>
        <w:t>Performanță</w:t>
      </w:r>
    </w:p>
    <w:p w:rsidR="0091796D" w:rsidRPr="00657F8B" w:rsidRDefault="0091796D" w:rsidP="0091796D">
      <w:pPr>
        <w:spacing w:after="240"/>
        <w:ind w:left="567" w:hanging="567"/>
        <w:rPr>
          <w:szCs w:val="24"/>
        </w:rPr>
      </w:pPr>
      <w:r w:rsidRPr="00657F8B">
        <w:t>2.</w:t>
      </w:r>
      <w:r w:rsidRPr="00657F8B">
        <w:tab/>
        <w:t>felicită Agenția pentru rata de execuție a programului de lucru pe 2022 de 100 %, pe baza faptului că au fost puse în aplicare 418 activități de formare, față de 417 planificate; ia act de faptul că, în 2022, Agenția a continuat să ofere cursuri de formare comunității de aplicare a legii, făcând apel la mediul online în cea mai mare măsură posibilă; consideră demn de apreciat că rata de satisfacție a clienților a rămas ridicată în 2022, 97 % dintre participanții la activitățile de formare ale Agenției declarându-se mulțumiți sau foarte mulțumiți;</w:t>
      </w:r>
    </w:p>
    <w:p w:rsidR="0091796D" w:rsidRPr="00657F8B" w:rsidRDefault="0091796D" w:rsidP="0091796D">
      <w:pPr>
        <w:spacing w:after="240"/>
        <w:ind w:left="567" w:hanging="567"/>
        <w:rPr>
          <w:szCs w:val="24"/>
        </w:rPr>
      </w:pPr>
      <w:r w:rsidRPr="00657F8B">
        <w:t>3.</w:t>
      </w:r>
      <w:r w:rsidRPr="00657F8B">
        <w:tab/>
        <w:t>constată cu satisfacție că Agenția utilizează anumiți indicatori-cheie de performanță (ICP) pentru a măsura valoarea adăugată oferită de activitățile sale și alte măsuri pentru a-și îmbunătăți gestiunea bugetară; ia act de faptul că, în 2022, aproape toți indicatorii-cheie de performanță au fost realizați și doar unul dintre aceștia a rămas în curs, cu un termen-limită până la sfârșitul anului 2023, și anume indicatorul-cheie de performanță legat de procentul de recomandări de auditul închise în conformitate cu planul de acțiune convenit;</w:t>
      </w:r>
    </w:p>
    <w:p w:rsidR="0091796D" w:rsidRPr="00657F8B" w:rsidRDefault="0091796D" w:rsidP="0091796D">
      <w:pPr>
        <w:spacing w:after="240"/>
        <w:ind w:left="567" w:hanging="567"/>
        <w:rPr>
          <w:szCs w:val="24"/>
        </w:rPr>
      </w:pPr>
      <w:r w:rsidRPr="00657F8B">
        <w:t>4.</w:t>
      </w:r>
      <w:r w:rsidRPr="00657F8B">
        <w:tab/>
        <w:t>constată cu satisfacție că, în 2022, cursurile de formare ale Agenției au avut 43 838 de participanți, ceea ce reprezintă o creștere substanțială în comparație cu numărul de 27 800 de participanți planificat; felicită Agenția pentru publicarea celei de a doua evaluări strategice a nevoilor de formare ale UE, care identifică nevoile strategice și de formare ale funcționarilor responsabili cu aplicarea legii pentru următorul ciclu al Platformei multidisciplinare europene împotriva amenințărilor infracționale 2022-2025 și pentru începerea implementării sale; constată, de asemenea, că nou</w:t>
      </w:r>
      <w:r w:rsidR="00C6352A" w:rsidRPr="00657F8B">
        <w:t>a</w:t>
      </w:r>
      <w:r w:rsidRPr="00657F8B">
        <w:t xml:space="preserve"> directo</w:t>
      </w:r>
      <w:r w:rsidR="00C6352A" w:rsidRPr="00657F8B">
        <w:t>a</w:t>
      </w:r>
      <w:r w:rsidRPr="00657F8B">
        <w:t>r</w:t>
      </w:r>
      <w:r w:rsidR="00C6352A" w:rsidRPr="00657F8B">
        <w:t>e</w:t>
      </w:r>
      <w:r w:rsidRPr="00657F8B">
        <w:t xml:space="preserve"> executiv</w:t>
      </w:r>
      <w:r w:rsidR="00C6352A" w:rsidRPr="00657F8B">
        <w:t>ă</w:t>
      </w:r>
      <w:r w:rsidRPr="00657F8B">
        <w:t xml:space="preserve"> a Agenției a inițiat în 2022 elaborarea unei noi strategii de stabilire a direcției Agenției pentru perioada 2023-2027; apreciază, de asemenea, documentul de strategie al Grupului de experți privind drepturile fundamentale, care vizează includerea aspectelor legate de drepturile fundamentale în toate activitățile de formare; constată cu satisfacție că în 2022 a fost organizată o formare ad-hoc privind protecția jurnaliștilor de investigație; salută acțiunile specifice de formare pe teme legate de infracțiunile motivate de ură și diseminarea cunoștințelor privind soluțiile efective de sprijinire a victimelor;</w:t>
      </w:r>
    </w:p>
    <w:p w:rsidR="0091796D" w:rsidRPr="00657F8B" w:rsidRDefault="0091796D" w:rsidP="0091796D">
      <w:pPr>
        <w:pStyle w:val="NormalHanging12a"/>
      </w:pPr>
      <w:r w:rsidRPr="00657F8B">
        <w:t>5.</w:t>
      </w:r>
      <w:r w:rsidRPr="00657F8B">
        <w:tab/>
        <w:t>felicită Agenția pentru reacția sa rapidă la războiul nejustificat din Ucraina și pentru că a organizat un curs specific de informații din surse deschise pentru Parchetul General ucrainean, în cooperare cu Consiliul Europei;</w:t>
      </w:r>
    </w:p>
    <w:p w:rsidR="0091796D" w:rsidRPr="00657F8B" w:rsidRDefault="0091796D" w:rsidP="0091796D">
      <w:pPr>
        <w:spacing w:after="240"/>
        <w:ind w:left="567" w:hanging="567"/>
        <w:rPr>
          <w:szCs w:val="24"/>
        </w:rPr>
      </w:pPr>
      <w:r w:rsidRPr="00657F8B">
        <w:t>6.</w:t>
      </w:r>
      <w:r w:rsidRPr="00657F8B">
        <w:tab/>
        <w:t>constată, pe baza raportului anual de activitate consolidat al Agenției pentru 2022, că creșterea exponențială a cursurilor de formare oferite în ultimii ani (de la 18 000 în 2016 la aproape 44 000 în 2022) reflectă o cerere tot mai mare de activități de formare pe care Agenția trebuie să le realizeze; constată, în acest context, că, în 2022, din cauza resurselor insuficiente, această cerere a putut fi satisfăcută doar prin mărirea componentei de învățare online, ceea ce nu satisface pe deplin nevoile părților interesate; sprijină obiectivul Agenției de a continua să ofere activități multidisciplinare care să atragă atât participanți din poliție, precum și funcționari vamali și de frontieră;</w:t>
      </w:r>
    </w:p>
    <w:p w:rsidR="0091796D" w:rsidRPr="00657F8B" w:rsidRDefault="0091796D" w:rsidP="0091796D">
      <w:pPr>
        <w:spacing w:after="240"/>
        <w:ind w:left="567" w:hanging="567"/>
        <w:rPr>
          <w:szCs w:val="24"/>
        </w:rPr>
      </w:pPr>
      <w:r w:rsidRPr="00657F8B">
        <w:lastRenderedPageBreak/>
        <w:t>7.</w:t>
      </w:r>
      <w:r w:rsidRPr="00657F8B">
        <w:tab/>
        <w:t xml:space="preserve">ia act de faptul că, în 2022, Agenția a continuat să implementeze cu succes cele patru proiecte de consolidare a capacităților în țări terțe, contribuind direct la consolidarea securității interne a Uniunii, precum și activități de formare sub egida Centrului de cunoștințe al CEPOL privind combaterea terorismului și a Centrului de cunoștințe al CEPOL privind cooperarea în materie de aplicare a legii, schimbul de informații și interoperabilitatea; salută realizarea cu succes a Conferinței CEPOL privind cercetarea și știința, în cooperare cu Universitatea </w:t>
      </w:r>
      <w:proofErr w:type="spellStart"/>
      <w:r w:rsidRPr="00657F8B">
        <w:t>Mykolas</w:t>
      </w:r>
      <w:proofErr w:type="spellEnd"/>
      <w:r w:rsidRPr="00657F8B">
        <w:t xml:space="preserve"> </w:t>
      </w:r>
      <w:proofErr w:type="spellStart"/>
      <w:r w:rsidRPr="00657F8B">
        <w:t>Romeris</w:t>
      </w:r>
      <w:proofErr w:type="spellEnd"/>
      <w:r w:rsidRPr="00657F8B">
        <w:t xml:space="preserve"> din Vilnius, Lituania, consolidând cooperarea dintre autoritățile de aplicare a legii și sectorul cercetării, cu aproape 200 de participanți;</w:t>
      </w:r>
    </w:p>
    <w:p w:rsidR="0091796D" w:rsidRPr="00657F8B" w:rsidRDefault="0091796D" w:rsidP="0091796D">
      <w:pPr>
        <w:pStyle w:val="NormalHanging12a"/>
        <w:jc w:val="both"/>
      </w:pPr>
      <w:r w:rsidRPr="00657F8B">
        <w:t>8.</w:t>
      </w:r>
      <w:r w:rsidRPr="00657F8B">
        <w:tab/>
        <w:t>reamintește că formarea în domeniul asigurării aplicării legii la nivelul Uniunii trebuie să reflecte prioritățile Uniunii în conformitate cu nevoile de formare ale statelor membre și să sprijine răspunsul UE la criminalitatea gravă și organizată și la alte amenințări la adresa securității interne, precum și că protecția drepturilor fundamentale ar trebui să fie un pilon central al activităților de formare ale Agenției; ia act de activitățile de formare în domeniul combaterii terorismului, inclusiv în ceea ce privește finanțarea terorismului, terorismul și armele de foc, luptătorii teroriști străini și activitățile care vizează extremismul și radicalizarea; solicită mai multe cursuri de formare privind criminalitatea informatică, criminalistica cibernetică, inteligența artificială, protecția datelor, drepturile fundamentale și combaterea rasismului la nivelul Uniunii; invită Agenția să asigure, în toate activitățile sale, în special în activitățile sale cu țările terțe, transparența deplină și respectarea deplină a drepturilor fundamentale și a dreptului internațional;</w:t>
      </w:r>
    </w:p>
    <w:p w:rsidR="0091796D" w:rsidRPr="00657F8B" w:rsidRDefault="0091796D" w:rsidP="0091796D">
      <w:pPr>
        <w:spacing w:after="240"/>
        <w:ind w:left="567" w:hanging="567"/>
        <w:rPr>
          <w:szCs w:val="24"/>
        </w:rPr>
      </w:pPr>
      <w:r w:rsidRPr="00657F8B">
        <w:t>9.</w:t>
      </w:r>
      <w:r w:rsidRPr="00657F8B">
        <w:tab/>
        <w:t>ia act de faptul că Agenția și-a menținut cu succes certificarea în conformitate cu ISO 9001: 2015 Sistemul de management al calității și a făcut pregătiri pentru a extinde și mai mult utilizarea standardului ISO 29993: 2017 pentru serviciile de învățare, ceea ce demonstrează în continuare că Agenția asigură funcționarea eficientă a sistemului de calitate;</w:t>
      </w:r>
    </w:p>
    <w:p w:rsidR="0091796D" w:rsidRPr="00657F8B" w:rsidRDefault="0091796D" w:rsidP="0091796D">
      <w:pPr>
        <w:widowControl/>
        <w:spacing w:after="240"/>
        <w:ind w:left="567" w:hanging="567"/>
        <w:rPr>
          <w:b/>
          <w:i/>
          <w:szCs w:val="24"/>
        </w:rPr>
      </w:pPr>
      <w:r w:rsidRPr="00657F8B">
        <w:rPr>
          <w:b/>
          <w:i/>
        </w:rPr>
        <w:t>Eficiența și realizările</w:t>
      </w:r>
    </w:p>
    <w:p w:rsidR="0091796D" w:rsidRPr="00657F8B" w:rsidRDefault="0091796D" w:rsidP="0091796D">
      <w:pPr>
        <w:spacing w:after="240"/>
        <w:ind w:left="567" w:hanging="567"/>
        <w:rPr>
          <w:szCs w:val="24"/>
        </w:rPr>
      </w:pPr>
      <w:r w:rsidRPr="00657F8B">
        <w:t>10.</w:t>
      </w:r>
      <w:r w:rsidRPr="00657F8B">
        <w:tab/>
        <w:t xml:space="preserve">ia act de faptul că Agenția continuă să coopereze îndeaproape cu rețeaua agențiilor din domeniul justiției și afacerilor interne și cu agențiile care o compun, inclusiv, în special, cu </w:t>
      </w:r>
      <w:r w:rsidRPr="00657F8B">
        <w:rPr>
          <w:rStyle w:val="pointer"/>
        </w:rPr>
        <w:t>Agenția Uniunii Europene pentru Cooperare în Materie de Aplicare a Legii</w:t>
      </w:r>
      <w:r w:rsidRPr="00657F8B">
        <w:t xml:space="preserve"> (Europol) și cu Agenția Europeană pentru Poliția de Frontieră și Garda de Coastă, prin partajarea activităților de formare și organizarea de cursuri împreună; constată că, în acest context, Agenția a prezidat Rețeaua agențiilor din domeniul justiției și al afacerilor interne în 2022; observă, de asemenea, că Agenția a încheiat un acord, în vigoare din 2023, cu Observatorul European pentru Droguri și Toxicomanie (EMCDDA) pentru a oferi acestuia un spațiu pe platforma de învățare </w:t>
      </w:r>
      <w:proofErr w:type="spellStart"/>
      <w:r w:rsidRPr="00657F8B">
        <w:t>LEEd</w:t>
      </w:r>
      <w:proofErr w:type="spellEnd"/>
      <w:r w:rsidRPr="00657F8B">
        <w:t xml:space="preserve"> a Agenției, punând astfel la dispoziția EMCDDA o platformă modernă de învățare pentru comunitatea sa, fără costuri pentru acesta; invită Agenția să își continue cooperarea cu alte agenții, astfel încât să poată fi utilizate toate resursele disponibile;</w:t>
      </w:r>
    </w:p>
    <w:p w:rsidR="0091796D" w:rsidRPr="00657F8B" w:rsidRDefault="0091796D" w:rsidP="0091796D">
      <w:pPr>
        <w:spacing w:after="240"/>
        <w:ind w:left="567" w:hanging="567"/>
        <w:rPr>
          <w:szCs w:val="24"/>
        </w:rPr>
      </w:pPr>
      <w:r w:rsidRPr="00657F8B">
        <w:t>11.</w:t>
      </w:r>
      <w:r w:rsidRPr="00657F8B">
        <w:tab/>
        <w:t>felicită Agenția pentru că a atins un nivel relativ ridicat de digitalizare prin faptul că multe dintre procesele sale au fost transpuse în formate „fără hârtie” sau electronice, de exemplu sistemul de depunere a cererilor de achiziții publice electronice pentru procedurile deschise și licitațiile electronice, recrutarea electronică, gestionarea resurselor umane (SYSPER), facturarea electronică, rezervarea electronică a călătoriilor, adesea în strânsă cooperare cu Direcția Generală pentru Servicii Digitale a Comisiei;</w:t>
      </w:r>
    </w:p>
    <w:p w:rsidR="0091796D" w:rsidRPr="00657F8B" w:rsidRDefault="0091796D" w:rsidP="0091796D">
      <w:pPr>
        <w:spacing w:after="240"/>
        <w:ind w:left="567" w:hanging="567"/>
        <w:rPr>
          <w:szCs w:val="24"/>
        </w:rPr>
      </w:pPr>
      <w:r w:rsidRPr="00657F8B">
        <w:lastRenderedPageBreak/>
        <w:t>12.</w:t>
      </w:r>
      <w:r w:rsidRPr="00657F8B">
        <w:tab/>
        <w:t>constată că Agenția dispune de norme interne conform cărora, pentru distanțele scurte, personalul (și participanții la activități de formare) trebuie să apeleze la variante alternative la călătoriile cu avionul, cum ar fi trenul sau autobuzul; constată cu satisfacție că, începând din 2022, Agenția oferă personalului său rambursarea costurilor de folosire a transportului public; constată, de asemenea, că multe reuniuni ale grupurilor de experți care se desfășurau anterior la fața locului se organizează acum online; regretă că Agenția nu dispune de un sistem de monitorizare obiectivă și detaliată a evoluției de la un an la altul a câștigurilor și economiilor și invită Agenția să instituie un astfel de sistem;</w:t>
      </w:r>
    </w:p>
    <w:p w:rsidR="0091796D" w:rsidRPr="00657F8B" w:rsidRDefault="0091796D" w:rsidP="0091796D">
      <w:pPr>
        <w:spacing w:after="240"/>
        <w:ind w:left="567" w:hanging="567"/>
        <w:rPr>
          <w:szCs w:val="24"/>
        </w:rPr>
      </w:pPr>
      <w:r w:rsidRPr="00657F8B">
        <w:t>13.</w:t>
      </w:r>
      <w:r w:rsidRPr="00657F8B">
        <w:tab/>
        <w:t>observă, pe baza raportului Curții, că Agenția nu dispune de un plan instituțional pentru a îmbunătăți eficiența energetică și neutralitatea climatică a operațiunilor sale; regretă faptul că Agenția nu a început încă procesul de certificare a sistemului de management de mediu și audit (EMAS); constată, cu toate acestea, că, în ceea ce privește cerințele pentru noua clădire a sediului său central, Agenția a indicat că va trece la certificarea EMAS în viitorul apropiat; ia act, în același context, de faptul că Agenția urmează orientările Comisiei, în care, în majoritatea procedurilor de achiziții publice, sunt incluse, de asemenea, criteriile de atribuire legate de considerentele de mediu; invită Agenția să urmeze exemplele altor agenții în domeniul achizițiilor publice ecologice;</w:t>
      </w:r>
    </w:p>
    <w:p w:rsidR="0091796D" w:rsidRPr="00657F8B" w:rsidRDefault="0091796D" w:rsidP="0091796D">
      <w:pPr>
        <w:spacing w:after="240"/>
        <w:ind w:left="567" w:hanging="567"/>
        <w:rPr>
          <w:b/>
          <w:i/>
          <w:szCs w:val="24"/>
        </w:rPr>
      </w:pPr>
      <w:r w:rsidRPr="00657F8B">
        <w:rPr>
          <w:b/>
          <w:i/>
        </w:rPr>
        <w:t>Politica de personal</w:t>
      </w:r>
    </w:p>
    <w:p w:rsidR="0091796D" w:rsidRPr="00657F8B" w:rsidRDefault="0091796D" w:rsidP="0091796D">
      <w:pPr>
        <w:spacing w:after="240"/>
        <w:ind w:left="567" w:hanging="567"/>
        <w:rPr>
          <w:szCs w:val="24"/>
        </w:rPr>
      </w:pPr>
      <w:r w:rsidRPr="00657F8B">
        <w:t>14.</w:t>
      </w:r>
      <w:r w:rsidRPr="00657F8B">
        <w:tab/>
        <w:t>observă că la 31 decembrie 2022 organigrama era completată în proporție de 79 %, fiind ocupate 26 din cele 33 de posturi de agenți temporari autorizate de bugetul Uniunii (același număr de posturi autorizate ca în 2021); constată că în 2022 pentru Agenție au lucrat și 59 de agenți contractuali (dintre care 20 pentru activități obișnuite și 39 pentru proiecte de consolidare a capacităților finanțate din fonduri externe) și șase experți naționali detașați; constată, de asemenea, că la 31 decembrie 2022 24 agenți temporari erau angajați pentru sarcini legate de activitatea de bază, ca învățarea online, tehnologia informației și comunicațiilor, asistență juridică și managerială;</w:t>
      </w:r>
    </w:p>
    <w:p w:rsidR="0091796D" w:rsidRPr="00657F8B" w:rsidRDefault="0091796D" w:rsidP="0091796D">
      <w:pPr>
        <w:tabs>
          <w:tab w:val="left" w:pos="720"/>
          <w:tab w:val="left" w:pos="1665"/>
        </w:tabs>
        <w:spacing w:after="240"/>
        <w:ind w:left="567" w:hanging="567"/>
        <w:rPr>
          <w:szCs w:val="24"/>
        </w:rPr>
      </w:pPr>
      <w:r w:rsidRPr="00657F8B">
        <w:t>15.</w:t>
      </w:r>
      <w:r w:rsidRPr="00657F8B">
        <w:tab/>
        <w:t>constată că fluctuația personalului a continuat să fie relativ ridicată în 2022 și a avut un impact semnificativ asupra Agenției; remarcă, în acest context, că în 2022 au existat 4 demisii din cauza unor noi oportunități de angajare în interiorul și în afara Agenției, 3 plecări din cauza pensionării și, la 31 decembrie 2022, 4 membri ai personalului aflați în concediu fără plată;</w:t>
      </w:r>
    </w:p>
    <w:p w:rsidR="0091796D" w:rsidRPr="00657F8B" w:rsidRDefault="0091796D" w:rsidP="0091796D">
      <w:pPr>
        <w:tabs>
          <w:tab w:val="left" w:pos="720"/>
          <w:tab w:val="left" w:pos="1665"/>
        </w:tabs>
        <w:spacing w:after="240"/>
        <w:ind w:left="567" w:hanging="567"/>
        <w:rPr>
          <w:szCs w:val="24"/>
        </w:rPr>
      </w:pPr>
      <w:r w:rsidRPr="00657F8B">
        <w:t>16.</w:t>
      </w:r>
      <w:r w:rsidRPr="00657F8B">
        <w:tab/>
        <w:t>își reiterează sprijinul pentru creșterea efectivului de personal al Agenției, proporțional cu sarcinile și ambițiile stabilite în mandatul actual al Agenției; constată cu satisfacție din raportul de monitorizare al Agenției intitulat „Planul de acțiune al CEPOL ca răspuns la decizia de descărcare de gestiune a PE pentru exercițiul financiar 2021” (denumit în continuare „raportul de monitorizare al Agenției”) că, pentru a justifica viitoarele cereri de resurse, directo</w:t>
      </w:r>
      <w:r w:rsidR="00C6352A" w:rsidRPr="00657F8B">
        <w:t>a</w:t>
      </w:r>
      <w:r w:rsidRPr="00657F8B">
        <w:t>r</w:t>
      </w:r>
      <w:r w:rsidR="00C6352A" w:rsidRPr="00657F8B">
        <w:t>ea</w:t>
      </w:r>
      <w:r w:rsidRPr="00657F8B">
        <w:t xml:space="preserve"> executiv</w:t>
      </w:r>
      <w:r w:rsidR="00C6352A" w:rsidRPr="00657F8B">
        <w:t>ă</w:t>
      </w:r>
      <w:r w:rsidRPr="00657F8B">
        <w:t xml:space="preserve"> a Agenției a înființat un grup operativ pentru a documenta și a justifica în mod sistematic nevoile de resurse bugetare și umane suplimentare, în contextul noii strategii pentru 2023-2027;</w:t>
      </w:r>
    </w:p>
    <w:p w:rsidR="0091796D" w:rsidRPr="00657F8B" w:rsidRDefault="0091796D" w:rsidP="0091796D">
      <w:pPr>
        <w:spacing w:after="240"/>
        <w:ind w:left="567" w:hanging="567"/>
        <w:rPr>
          <w:szCs w:val="24"/>
        </w:rPr>
      </w:pPr>
      <w:r w:rsidRPr="00657F8B">
        <w:t>17.</w:t>
      </w:r>
      <w:r w:rsidRPr="00657F8B">
        <w:tab/>
        <w:t xml:space="preserve">constată că rata de rotație a personalului a rămas ridicată în 2022, situându-se la 11,8 %, cu un impact semnificativ asupra organizației; constată, pe baza raportului de monitorizare al Agenției, că rata de rotație a personalului nu poate fi controlată de Agenție, deoarece principalul factor declanșator este coeficientul scăzut de corecție de țară și posturile relativ scăzute pentru funcțiile cheie de sprijin din cadrul Agenției; ia </w:t>
      </w:r>
      <w:r w:rsidRPr="00657F8B">
        <w:lastRenderedPageBreak/>
        <w:t>act de faptul că, în 2022, Agenția a continuat să pună în aplicare măsuri de menținere a personalului și de asigurare a continuității activității, utilizând un număr de angajați interimari și experți naționali detașați pentru a completa cazurile de absență a personalului, până la finalizarea recrutării personalului statutar și continuând reclasificarea personalului și a funcțiilor, menținând regimul social (de exemplu, școlarizarea copiilor personalului), munca la distanță și programul de lucru flexibil; invită din nou Comisia să revizuiască coeficientul corector pentru a reflecta mai bine realitățile economice impuse de mutarea și viața în orașul în care își are sediul Agenția;</w:t>
      </w:r>
    </w:p>
    <w:p w:rsidR="0091796D" w:rsidRPr="00657F8B" w:rsidRDefault="0091796D" w:rsidP="0091796D">
      <w:pPr>
        <w:spacing w:after="240"/>
        <w:ind w:left="567" w:hanging="567"/>
        <w:rPr>
          <w:szCs w:val="24"/>
        </w:rPr>
      </w:pPr>
      <w:r w:rsidRPr="00657F8B">
        <w:t>18.</w:t>
      </w:r>
      <w:r w:rsidRPr="00657F8B">
        <w:tab/>
        <w:t xml:space="preserve">constată cu satisfacție, în ceea ce privește instrumentul SYSPER, că Agenția a integrat module precum REPORTING, ETHICS și STAGE și lucrează la integrarea altor module </w:t>
      </w:r>
      <w:proofErr w:type="spellStart"/>
      <w:r w:rsidRPr="00657F8B">
        <w:t>Sysper</w:t>
      </w:r>
      <w:proofErr w:type="spellEnd"/>
      <w:r w:rsidRPr="00657F8B">
        <w:t xml:space="preserve"> (de exemplu, EVAL/PROMO);</w:t>
      </w:r>
    </w:p>
    <w:p w:rsidR="0091796D" w:rsidRPr="00657F8B" w:rsidRDefault="0091796D" w:rsidP="0091796D">
      <w:pPr>
        <w:pStyle w:val="ListParagraph"/>
        <w:spacing w:after="240"/>
        <w:ind w:left="567" w:hanging="567"/>
        <w:contextualSpacing w:val="0"/>
        <w:jc w:val="left"/>
      </w:pPr>
      <w:r w:rsidRPr="00657F8B">
        <w:t>19.</w:t>
      </w:r>
      <w:r w:rsidRPr="00657F8B">
        <w:tab/>
        <w:t>consideră lăudabilă situația defalcată pe gen raportată de Agenție pentru 2022: 3 bărbați și 3 femei în funcții de conducere (1 post de conducere de nivel superior și 5 de conducere de nivel mediu), 15 bărbați (56 %) și 12 femei (44 %) în consiliul de administrație și, per total, 37 de bărbați (44 %) și 48 de femei (56 %); felicită Agenția pentru echilibrul de gen realizat în 2022;</w:t>
      </w:r>
    </w:p>
    <w:p w:rsidR="0091796D" w:rsidRPr="00657F8B" w:rsidRDefault="0091796D" w:rsidP="0091796D">
      <w:pPr>
        <w:pStyle w:val="NormalHanging12a"/>
      </w:pPr>
      <w:r w:rsidRPr="00657F8B">
        <w:t>20.</w:t>
      </w:r>
      <w:r w:rsidRPr="00657F8B">
        <w:tab/>
        <w:t>constată, pe baza raportului anual de activitate consolidat al Agenției pentru 2022, că 17 state membre au fost reprezentate în 2022 în rândul personalului Agenției; observă că 39 % dintre membrii personalului său sunt cetățeni ai statului membru în care se află Agenția; reamintește importanța echilibrului geografic și invită Agenția să ia măsurile necesare pentru a avea o reprezentare geografică echilibrată și echitabilă;</w:t>
      </w:r>
    </w:p>
    <w:p w:rsidR="0091796D" w:rsidRPr="00657F8B" w:rsidRDefault="0091796D" w:rsidP="0091796D">
      <w:pPr>
        <w:pStyle w:val="ListParagraph"/>
        <w:spacing w:after="240"/>
        <w:ind w:left="567" w:hanging="567"/>
        <w:contextualSpacing w:val="0"/>
        <w:jc w:val="left"/>
      </w:pPr>
      <w:r w:rsidRPr="00657F8B">
        <w:t>21.</w:t>
      </w:r>
      <w:r w:rsidRPr="00657F8B">
        <w:tab/>
        <w:t>salută faptul că, în 2022, Agenția a adoptat o nouă decizie bazată pe principiile gestionării bazate pe obiective și orientată către rezultate și o cultură a încrederii; ia act de faptul că decizia respectivă a introdus o mai mare flexibilitate pentru personal, atât în ceea ce privește timpul de lucru, cât și munca de la distanță, acordând dreptul de a se deconecta și indicând în mod clar o perioadă de deconectare care ar trebui să contribuie la un echilibru mai bun între viața profesională și cea privată și să protejeze personalul împotriva suprasolicitării prin munca digitală;</w:t>
      </w:r>
    </w:p>
    <w:p w:rsidR="0091796D" w:rsidRPr="00657F8B" w:rsidRDefault="0091796D" w:rsidP="0091796D">
      <w:pPr>
        <w:spacing w:after="240"/>
        <w:ind w:left="567" w:hanging="567"/>
        <w:rPr>
          <w:color w:val="000000"/>
          <w:szCs w:val="24"/>
        </w:rPr>
      </w:pPr>
      <w:r w:rsidRPr="00657F8B">
        <w:rPr>
          <w:color w:val="000000"/>
        </w:rPr>
        <w:t>22.</w:t>
      </w:r>
      <w:r w:rsidRPr="00657F8B">
        <w:rPr>
          <w:color w:val="000000"/>
        </w:rPr>
        <w:tab/>
        <w:t>salută, în ceea ce privește observația referitoare la personalul care lucrează la procedurile de achiziții publice, faptul că raportul de monitorizare al Agenției menționează că schema de personal pentru 2023 prevede transformarea postului relevant AST-5 (gradul de recrutare AST-3) într-un post AD-5;</w:t>
      </w:r>
    </w:p>
    <w:p w:rsidR="0091796D" w:rsidRPr="00657F8B" w:rsidRDefault="0091796D" w:rsidP="0091796D">
      <w:pPr>
        <w:spacing w:after="240"/>
        <w:ind w:left="567" w:hanging="567"/>
        <w:rPr>
          <w:rFonts w:eastAsiaTheme="minorHAnsi"/>
          <w:b/>
          <w:i/>
          <w:szCs w:val="24"/>
        </w:rPr>
      </w:pPr>
      <w:r w:rsidRPr="00657F8B">
        <w:rPr>
          <w:b/>
          <w:i/>
        </w:rPr>
        <w:t>Achizițiile publice</w:t>
      </w:r>
    </w:p>
    <w:p w:rsidR="0091796D" w:rsidRPr="00657F8B" w:rsidRDefault="0091796D" w:rsidP="0091796D">
      <w:pPr>
        <w:pStyle w:val="NormalHanging12a"/>
      </w:pPr>
      <w:r w:rsidRPr="00657F8B">
        <w:t>23.</w:t>
      </w:r>
      <w:r w:rsidRPr="00657F8B">
        <w:tab/>
        <w:t xml:space="preserve">constată cu îngrijorare din raportul Curții că, începând cu exercițiul financiar 2020, Curtea a formulat în fiecare an noi observații privind achizițiile publice ale Agenției; evidențiază din raportul Curții observația care stă la baza opiniei cu rezerve a Curții cu privire la legalitatea și regularitatea a 359 de plăți în valoare totală de 4,1 milioane EUR efectuate în 2022 în temeiul a două contracte-cadru executate direct prin bonuri de comandă (cereri de servicii) care au fost trimise de membri ai personalului Agenției care nu aveau autoritatea delegată de a-și asuma angajamente juridice în numele Agenției sau de angajați interimari care nu puteau avea o astfel de autoritate delegată în mod legal din cauza statutului lor interimar; ia act de răspunsul Agenției la observația Curții potrivit căruia, chiar dacă a existat o deficiență în formalizarea angajamentului juridic, serviciile au fost comandate în conformitate cu nevoile Agenției, iar controalele au fost </w:t>
      </w:r>
      <w:r w:rsidRPr="00657F8B">
        <w:lastRenderedPageBreak/>
        <w:t>aplicate integral pentru a se asigura că fondurile au fost utilizate în scopul preconizat și că nu s-a înregistrat nicio pierdere reală; constată, pe baza răspunsurilor Agenției la întrebările cu solicitare de răspuns scris ale Parlamentului, că aceste contracte nu au fost afectate de alte nereguli, iar Agenția a luat măsuri pentru a da curs observației Curții prin modificarea procedurilor interne ale Agenției pentru a se asigura că ordinele vor fi comunicate agenției de voiaj numai de către personalul statutar, căruia i-a fost delegată de un ordonator de credite sarcina de a-și asuma un angajament juridic; ia act de răspunsul Agenției potrivit căruia Agenția a introdus imediat măsuri corective, chiar înainte de încheierea procesului de audit; invită Agenția să abordeze pe deplin aceste observații și să își îmbunătățească procedurile de achiziții publice pentru a evita situații similare în viitor;</w:t>
      </w:r>
    </w:p>
    <w:p w:rsidR="0091796D" w:rsidRPr="00657F8B" w:rsidRDefault="0091796D" w:rsidP="0091796D">
      <w:pPr>
        <w:pStyle w:val="NormalHanging12a"/>
      </w:pPr>
      <w:r w:rsidRPr="00657F8B">
        <w:t>24.</w:t>
      </w:r>
      <w:r w:rsidRPr="00657F8B">
        <w:tab/>
        <w:t>subliniază, de asemenea, din raportul Curții, opinia cu rezerve potrivit căreia toate sumele plătite în 2022 (152 655 EUR) pentru punerea în aplicare a unui contract-cadru (pentru servicii editoriale educaționale) nu au putut fi reconciliate cu serviciile furnizate, iar unele categorii de sarcini nu reflectau natura activității desfășurate efectiv, iar pentru unele categorii, volumul de muncă plătit nu corespundea cu suma efectiv realizată, ceea ce face ca sumele respective să fie neconforme; ia act de explicația Agenției potrivit căreia numărul de pagini comandate, livrate și plătite nu a corespuns pe deplin, deoarece, din cauza naturii activității, și anume crearea de conținut editorial și educațional, acesta nu a fost întotdeauna cuantificabil cu precizie în avans; constată, de asemenea, că, potrivit răspunsului Agenției, au fost efectuate verificări ale rezultatelor, iar categoriile de sarcini s-au bazat pe cele enumerate într-un contract anterior cu Oficiul pentru Publicații; invită Agenția să instituie măsuri care să permită Agenției să cuantifice mai bine rezultatele preconizate în prealabil și să evite astfel de situații în viitor;</w:t>
      </w:r>
    </w:p>
    <w:p w:rsidR="0091796D" w:rsidRPr="00657F8B" w:rsidRDefault="0091796D" w:rsidP="0091796D">
      <w:pPr>
        <w:spacing w:after="240"/>
        <w:ind w:left="567" w:hanging="567"/>
        <w:rPr>
          <w:color w:val="000000"/>
          <w:szCs w:val="24"/>
        </w:rPr>
      </w:pPr>
      <w:r w:rsidRPr="00657F8B">
        <w:rPr>
          <w:color w:val="000000"/>
        </w:rPr>
        <w:t>25.</w:t>
      </w:r>
      <w:r w:rsidRPr="00657F8B">
        <w:rPr>
          <w:color w:val="000000"/>
        </w:rPr>
        <w:tab/>
        <w:t>observă din raportul Curții pentru exercițiul financiar 2021 că a rămas deschisă o observație în ceea ce privește procesul de evaluare a unei proceduri de achiziții publice prin care Agenția a pus accentul pe un criteriu care nu a fost prezentat în mod clar în caietul de sarcini, creând astfel riscul ca ofertanții să fie tratați în mod inegal; ia act de faptul că contractul a fost în vigoare până în septembrie 2023 și, la momentul examinării de către Curte a statutului acestei observații, Agenția nu avea intenția de a reînnoi contractul pentru încă 12 luni;</w:t>
      </w:r>
    </w:p>
    <w:p w:rsidR="0091796D" w:rsidRPr="00657F8B" w:rsidRDefault="0091796D" w:rsidP="0091796D">
      <w:pPr>
        <w:spacing w:after="240"/>
        <w:ind w:left="567" w:hanging="567"/>
        <w:rPr>
          <w:color w:val="000000"/>
          <w:szCs w:val="24"/>
        </w:rPr>
      </w:pPr>
      <w:r w:rsidRPr="00657F8B">
        <w:rPr>
          <w:color w:val="000000"/>
        </w:rPr>
        <w:t>26.</w:t>
      </w:r>
      <w:r w:rsidRPr="00657F8B">
        <w:rPr>
          <w:color w:val="000000"/>
        </w:rPr>
        <w:tab/>
        <w:t xml:space="preserve">felicită Agenția pentru adoptarea Instrumentului de gestionare a achizițiilor publice, care, începând din octombrie 2022, este utilizat pentru toate tipurile de proceduri de achiziții publice; invită Agenția să accelereze adoptarea și implementarea unor instrumente care să permită folosirea semnăturii electronice pentru a obține aprobări și semnături atât din partea </w:t>
      </w:r>
      <w:proofErr w:type="spellStart"/>
      <w:r w:rsidRPr="00657F8B">
        <w:rPr>
          <w:color w:val="000000"/>
        </w:rPr>
        <w:t>contrapărților</w:t>
      </w:r>
      <w:proofErr w:type="spellEnd"/>
      <w:r w:rsidRPr="00657F8B">
        <w:rPr>
          <w:color w:val="000000"/>
        </w:rPr>
        <w:t xml:space="preserve"> interne, cât și a celor externe în documentele de achiziții și în documentele contractuale;</w:t>
      </w:r>
    </w:p>
    <w:p w:rsidR="0091796D" w:rsidRPr="00657F8B" w:rsidRDefault="0091796D" w:rsidP="0091796D">
      <w:pPr>
        <w:pStyle w:val="ListParagraph"/>
        <w:widowControl w:val="0"/>
        <w:spacing w:after="240"/>
        <w:ind w:left="567" w:hanging="567"/>
        <w:contextualSpacing w:val="0"/>
        <w:jc w:val="left"/>
        <w:rPr>
          <w:rFonts w:eastAsia="Times New Roman"/>
        </w:rPr>
      </w:pPr>
      <w:r w:rsidRPr="00657F8B">
        <w:rPr>
          <w:b/>
          <w:i/>
        </w:rPr>
        <w:t>Prevenirea și gestionarea conflictelor de interese și transparența</w:t>
      </w:r>
    </w:p>
    <w:p w:rsidR="0091796D" w:rsidRPr="00657F8B" w:rsidRDefault="0091796D" w:rsidP="0091796D">
      <w:pPr>
        <w:spacing w:after="240"/>
        <w:ind w:left="567" w:hanging="567"/>
        <w:rPr>
          <w:szCs w:val="24"/>
        </w:rPr>
      </w:pPr>
      <w:r w:rsidRPr="00657F8B">
        <w:t>27.</w:t>
      </w:r>
      <w:r w:rsidRPr="00657F8B">
        <w:tab/>
        <w:t xml:space="preserve">apreciază măsurile existente aplicate de Agenție și eforturile sale continue de a asigura transparența și a preveni și gestiona conflictele de interese; ia act cu satisfacție de faptul că declarațiile de interese și CV-urile membrilor Consiliului de administrație și ale personalului de conducere de nivel superior sunt publicate pe site-ul Agenției, iar formatul declarațiilor permite enumerarea intereselor profesionale, financiare, personale și de altă natură care ar putea avea legătură cu activitățile Agenției; constată din raportul de monitorizare al Agenției, în ceea ce privește observația autorității care acordă </w:t>
      </w:r>
      <w:r w:rsidRPr="00657F8B">
        <w:lastRenderedPageBreak/>
        <w:t>descărcarea de gestiune potrivit căreia declarațiile privind conflictele de interese și confidențialitatea pentru experții remunerați nu sunt publicate pe site-ul Agenției, că Agenția a evaluat că, din motive legate de protecția datelor, publicarea candidaturilor și CV-urilor experților ar duce la reducerea semnificativă a numărului de candidaturi din partea experților, având în vedere că majoritatea experților care lucrează pentru Agenție au experiență în domeniul aplicării legii;</w:t>
      </w:r>
    </w:p>
    <w:p w:rsidR="0091796D" w:rsidRPr="00657F8B" w:rsidRDefault="0091796D" w:rsidP="0091796D">
      <w:pPr>
        <w:spacing w:after="240"/>
        <w:ind w:left="567" w:hanging="567"/>
        <w:rPr>
          <w:szCs w:val="24"/>
        </w:rPr>
      </w:pPr>
      <w:r w:rsidRPr="00657F8B">
        <w:t>28.</w:t>
      </w:r>
      <w:r w:rsidRPr="00657F8B">
        <w:tab/>
        <w:t>constată cu satisfacție din raportul de monitorizare al Agenției că, odată cu lansarea noului său site în 2022, Agenția și-a îmbunătățit registrul public de documente și modificările tehnice introduse permit cetățenilor să caute documentele oficiale ale Agenției pe categorii sau să solicite accesul la un document prin intermediul unui formular web atunci când nu se acordă acces direct prin intermediul registrului public de documente; ia act de faptul că, în 2022, Agenția a primit cinci cereri de acces public la documente și a tratat 920 de întrebări publice din partea cetățenilor;</w:t>
      </w:r>
    </w:p>
    <w:p w:rsidR="0091796D" w:rsidRPr="00657F8B" w:rsidRDefault="0091796D" w:rsidP="0091796D">
      <w:pPr>
        <w:spacing w:after="240"/>
        <w:ind w:left="567" w:hanging="567"/>
        <w:rPr>
          <w:b/>
          <w:i/>
          <w:szCs w:val="24"/>
        </w:rPr>
      </w:pPr>
      <w:r w:rsidRPr="00657F8B">
        <w:rPr>
          <w:b/>
          <w:i/>
        </w:rPr>
        <w:t>Controalele interne</w:t>
      </w:r>
    </w:p>
    <w:p w:rsidR="0091796D" w:rsidRPr="00657F8B" w:rsidRDefault="0091796D" w:rsidP="0091796D">
      <w:pPr>
        <w:spacing w:after="240"/>
        <w:ind w:left="567" w:hanging="567"/>
        <w:rPr>
          <w:szCs w:val="24"/>
        </w:rPr>
      </w:pPr>
      <w:r w:rsidRPr="00657F8B">
        <w:t>29.</w:t>
      </w:r>
      <w:r w:rsidRPr="00657F8B">
        <w:tab/>
        <w:t>constată din raportul de monitorizare al Agenției că, în ceea ce privește mai multe deficiențe din sistemul de control intern al Agenției, în special în ceea ce privește procedurile de achiziții publice și gestionarea angajamentelor bugetare, Agenția a luat măsuri, inclusiv cursuri de formare și ateliere, pentru a crește gradul de conștientizare și a reduce apariția erorilor administrative; constată, în acest context, din raportul Curții, că stadiul observațiilor sale (pentru exercițiul financiar 2021) corespunzătoare acestor deficiențe este închis;</w:t>
      </w:r>
    </w:p>
    <w:p w:rsidR="0091796D" w:rsidRPr="00657F8B" w:rsidRDefault="0091796D" w:rsidP="0091796D">
      <w:pPr>
        <w:spacing w:after="240"/>
        <w:ind w:left="567" w:hanging="567"/>
        <w:rPr>
          <w:szCs w:val="24"/>
        </w:rPr>
      </w:pPr>
      <w:r w:rsidRPr="00657F8B">
        <w:t>30.</w:t>
      </w:r>
      <w:r w:rsidRPr="00657F8B">
        <w:tab/>
        <w:t>află că, după ce și-a evaluat propriul sistem de control intern în 2022, Agenția a ajuns la concluzia că acesta este eficace, prezent și funcțional, fiind necesare doar îmbunătățiri minore; invită Agenția să remedieze deficiențele identificate în ceea ce privește componentele de control intern „Activități de control” și „Informare și comunicare” și să informeze autoritatea care acordă descărcarea de gestiune cu privire la progresele înregistrate în această privință; constată cu satisfacție din raportul de monitorizare al Agenției că, în evaluarea componentei „Activități de monitorizare”, principiul 17 „evaluează și comunică deficiențele”, Agenția a luat în considerare observațiile relevante ale Curții din anii precedenți; invită Agenția să dea curs în continuare tuturor observațiilor formulate în urma auditului privind „Gestionarea resurselor umane și etica în cadrul CEPOL” efectuat în 2021 de serviciul de audit intern;</w:t>
      </w:r>
    </w:p>
    <w:p w:rsidR="0091796D" w:rsidRPr="00657F8B" w:rsidRDefault="0091796D" w:rsidP="0091796D">
      <w:pPr>
        <w:spacing w:after="240"/>
        <w:ind w:left="567" w:hanging="567"/>
        <w:rPr>
          <w:szCs w:val="24"/>
        </w:rPr>
      </w:pPr>
      <w:r w:rsidRPr="00657F8B">
        <w:t>31.</w:t>
      </w:r>
      <w:r w:rsidRPr="00657F8B">
        <w:tab/>
        <w:t>ia act de faptul că Agenția pune în aplicare un proces de înregistrare și autorizare a excepțiilor care sunt analizate pentru a identifica domenii specifice de interes și acțiuni de îmbunătățire relevante; ia act de faptul că raportul din 2022 privind excepțiile confirmă că sistemul de control intern al Agenției funcționează bine, iar cazurile de neconformitate sunt detectate și atenuate prin acțiuni corective și preventive; constată, de asemenea, că în 2022 au fost formulate în total 46 de excepții (față de 27 excepții în 2021), cu o valoare de 51 697 EUR (față de 257 825 EUR în 2021), în timp ce 13 dintre aceste excepții au avut un impact financiar de peste 1 000 EUR (variind între 1 053 EUR și 12 240 EUR);</w:t>
      </w:r>
    </w:p>
    <w:p w:rsidR="0091796D" w:rsidRPr="00657F8B" w:rsidRDefault="0091796D" w:rsidP="0091796D">
      <w:pPr>
        <w:spacing w:after="240"/>
        <w:ind w:left="567" w:hanging="567"/>
        <w:rPr>
          <w:b/>
          <w:i/>
          <w:szCs w:val="24"/>
        </w:rPr>
      </w:pPr>
      <w:r w:rsidRPr="00657F8B">
        <w:rPr>
          <w:b/>
          <w:i/>
        </w:rPr>
        <w:t>Alte observații</w:t>
      </w:r>
    </w:p>
    <w:p w:rsidR="0091796D" w:rsidRPr="00657F8B" w:rsidRDefault="0091796D" w:rsidP="0091796D">
      <w:pPr>
        <w:spacing w:after="240"/>
        <w:ind w:left="567" w:hanging="567"/>
        <w:rPr>
          <w:szCs w:val="24"/>
        </w:rPr>
      </w:pPr>
      <w:r w:rsidRPr="00657F8B">
        <w:t>32.</w:t>
      </w:r>
      <w:r w:rsidRPr="00657F8B">
        <w:tab/>
        <w:t xml:space="preserve">constată din raportul de monitorizare al Agenției, referitor la problema Agenției de a nu dispune de suficient spațiu de birouri și spațiu pentru activități operaționale, că guvernul </w:t>
      </w:r>
      <w:r w:rsidRPr="00657F8B">
        <w:lastRenderedPageBreak/>
        <w:t>ungar și-a luat angajamentul de a asigura continuitatea și de a oferi Agenției facilități adecvate prin adoptarea unei decizii de a asigura un nou sediu (6 000 m²) sub forma unei închirieri; constată, de asemenea, că mutarea în noul sediu poate avea loc până la sfârșitul anului 2024, în paralel cu semnarea unui nou acord privind sediul;</w:t>
      </w:r>
    </w:p>
    <w:p w:rsidR="0091796D" w:rsidRPr="00657F8B" w:rsidRDefault="0091796D" w:rsidP="0091796D">
      <w:pPr>
        <w:pStyle w:val="NormalHanging12a"/>
      </w:pPr>
      <w:r w:rsidRPr="00657F8B">
        <w:t>33.</w:t>
      </w:r>
      <w:r w:rsidRPr="00657F8B">
        <w:tab/>
        <w:t xml:space="preserve">felicită Agenția pentru eforturile sale de a-și mări vizibilitatea publică și prezența online; salută, în acest context, lansarea noului site internet al Agenției în 2022, care include îmbunătățiri esențiale, cum ar fi o prezentare și o structură mai clare, o imagine mai bună și o capacitate de reacție pe internet; constată, de asemenea, că, în 2022, activitatea Agenției pe platformele de comunicare socială a fost semnificativă, cu 1 590 de încărcări de conținut, ceea ce reprezintă cu 54 % mai multe postări decât în anul precedent; ia act, în acest sens, de creșterea numărului utilizatorilor site-ului Agenției, cu peste 200 000 de vizite înregistrate, și a bazei sale de fani de pe platformele de comunicare socială, cu 38 500 de urmăritori pe </w:t>
      </w:r>
      <w:proofErr w:type="spellStart"/>
      <w:r w:rsidRPr="00657F8B">
        <w:t>LinkedIn</w:t>
      </w:r>
      <w:proofErr w:type="spellEnd"/>
      <w:r w:rsidRPr="00657F8B">
        <w:t xml:space="preserve">, X (fosta </w:t>
      </w:r>
      <w:proofErr w:type="spellStart"/>
      <w:r w:rsidRPr="00657F8B">
        <w:t>Twitter</w:t>
      </w:r>
      <w:proofErr w:type="spellEnd"/>
      <w:r w:rsidRPr="00657F8B">
        <w:t>) și Facebook;</w:t>
      </w:r>
    </w:p>
    <w:p w:rsidR="0091796D" w:rsidRPr="00657F8B" w:rsidRDefault="0091796D" w:rsidP="0091796D">
      <w:pPr>
        <w:pStyle w:val="NormalCenter12a"/>
      </w:pPr>
      <w:r w:rsidRPr="00657F8B">
        <w:t>°</w:t>
      </w:r>
    </w:p>
    <w:p w:rsidR="0091796D" w:rsidRPr="00657F8B" w:rsidRDefault="0091796D" w:rsidP="0091796D">
      <w:pPr>
        <w:pStyle w:val="NormalCenter12a"/>
      </w:pPr>
      <w:r w:rsidRPr="00657F8B">
        <w:t>°</w:t>
      </w:r>
      <w:r w:rsidRPr="00657F8B">
        <w:tab/>
        <w:t>°</w:t>
      </w:r>
    </w:p>
    <w:p w:rsidR="0091796D" w:rsidRPr="00657F8B" w:rsidRDefault="0091796D" w:rsidP="0091796D">
      <w:pPr>
        <w:pStyle w:val="NormalHanging12a"/>
      </w:pPr>
      <w:r w:rsidRPr="00657F8B">
        <w:t>34.</w:t>
      </w:r>
      <w:r w:rsidRPr="00657F8B">
        <w:tab/>
        <w:t xml:space="preserve">face trimitere, pentru alte observații cu caracter orizontal care însoțesc decizia privind descărcarea de gestiune, la rezoluția sa din </w:t>
      </w:r>
      <w:r w:rsidR="00C6352A" w:rsidRPr="00657F8B">
        <w:t>11 aprilie 2024</w:t>
      </w:r>
      <w:r w:rsidRPr="00657F8B">
        <w:rPr>
          <w:rStyle w:val="FootnoteReference"/>
        </w:rPr>
        <w:footnoteReference w:id="12"/>
      </w:r>
      <w:r w:rsidRPr="00657F8B">
        <w:t xml:space="preserve"> referitoare la performanțele, gestiunea financiară și controlul agențiilor.</w:t>
      </w:r>
    </w:p>
    <w:p w:rsidR="00E365E1" w:rsidRPr="00657F8B" w:rsidRDefault="00E365E1" w:rsidP="00C31ACD">
      <w:bookmarkStart w:id="9" w:name="TextBodyEnd"/>
      <w:bookmarkEnd w:id="9"/>
    </w:p>
    <w:sectPr w:rsidR="00E365E1" w:rsidRPr="00657F8B" w:rsidSect="00D443A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ACD" w:rsidRPr="00D443AD" w:rsidRDefault="00C31ACD">
      <w:r w:rsidRPr="00D443AD">
        <w:separator/>
      </w:r>
    </w:p>
  </w:endnote>
  <w:endnote w:type="continuationSeparator" w:id="0">
    <w:p w:rsidR="00C31ACD" w:rsidRPr="00D443AD" w:rsidRDefault="00C31ACD">
      <w:r w:rsidRPr="00D443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96D" w:rsidRPr="00D443AD" w:rsidRDefault="0091796D" w:rsidP="00A73E83">
    <w:pPr>
      <w:pStyle w:val="EPFooter"/>
    </w:pPr>
    <w:r w:rsidRPr="00D443AD">
      <w:t>PE</w:t>
    </w:r>
    <w:r w:rsidRPr="00D443AD">
      <w:rPr>
        <w:rStyle w:val="HideTWBExt"/>
      </w:rPr>
      <w:t>&lt;</w:t>
    </w:r>
    <w:proofErr w:type="spellStart"/>
    <w:r w:rsidRPr="00D443AD">
      <w:rPr>
        <w:rStyle w:val="HideTWBExt"/>
      </w:rPr>
      <w:t>NoPE</w:t>
    </w:r>
    <w:proofErr w:type="spellEnd"/>
    <w:r w:rsidRPr="00D443AD">
      <w:rPr>
        <w:rStyle w:val="HideTWBExt"/>
      </w:rPr>
      <w:t>&gt;</w:t>
    </w:r>
    <w:r w:rsidRPr="00D443AD">
      <w:t>753.510</w:t>
    </w:r>
    <w:r w:rsidRPr="00D443AD">
      <w:rPr>
        <w:rStyle w:val="HideTWBExt"/>
      </w:rPr>
      <w:t>&lt;/</w:t>
    </w:r>
    <w:proofErr w:type="spellStart"/>
    <w:r w:rsidRPr="00D443AD">
      <w:rPr>
        <w:rStyle w:val="HideTWBExt"/>
      </w:rPr>
      <w:t>NoPE</w:t>
    </w:r>
    <w:proofErr w:type="spellEnd"/>
    <w:r w:rsidRPr="00D443AD">
      <w:rPr>
        <w:rStyle w:val="HideTWBExt"/>
      </w:rPr>
      <w:t>&gt;&lt;Version&gt;</w:t>
    </w:r>
    <w:r w:rsidRPr="00D443AD">
      <w:t>v02-00</w:t>
    </w:r>
    <w:r w:rsidRPr="00D443AD">
      <w:rPr>
        <w:rStyle w:val="HideTWBExt"/>
      </w:rPr>
      <w:t>&lt;/</w:t>
    </w:r>
    <w:proofErr w:type="spellStart"/>
    <w:r w:rsidRPr="00D443AD">
      <w:rPr>
        <w:rStyle w:val="HideTWBExt"/>
      </w:rPr>
      <w:t>Version</w:t>
    </w:r>
    <w:proofErr w:type="spellEnd"/>
    <w:r w:rsidRPr="00D443AD">
      <w:rPr>
        <w:rStyle w:val="HideTWBExt"/>
      </w:rPr>
      <w:t>&gt;</w:t>
    </w:r>
    <w:r w:rsidRPr="00D443AD">
      <w:tab/>
    </w:r>
    <w:r w:rsidRPr="00D443AD">
      <w:fldChar w:fldCharType="begin"/>
    </w:r>
    <w:r w:rsidRPr="00D443AD">
      <w:instrText xml:space="preserve"> PAGE  \* MERGEFORMAT </w:instrText>
    </w:r>
    <w:r w:rsidRPr="00D443AD">
      <w:fldChar w:fldCharType="separate"/>
    </w:r>
    <w:r w:rsidR="00D443AD" w:rsidRPr="00D443AD">
      <w:rPr>
        <w:noProof/>
      </w:rPr>
      <w:t>2</w:t>
    </w:r>
    <w:r w:rsidRPr="00D443AD">
      <w:fldChar w:fldCharType="end"/>
    </w:r>
    <w:r w:rsidRPr="00D443AD">
      <w:t>/</w:t>
    </w:r>
    <w:r w:rsidR="00657F8B">
      <w:fldChar w:fldCharType="begin"/>
    </w:r>
    <w:r w:rsidR="00657F8B">
      <w:instrText xml:space="preserve"> NUMPAGES  \* MERGEFORMAT </w:instrText>
    </w:r>
    <w:r w:rsidR="00657F8B">
      <w:fldChar w:fldCharType="separate"/>
    </w:r>
    <w:r w:rsidR="00D443AD" w:rsidRPr="00D443AD">
      <w:rPr>
        <w:noProof/>
      </w:rPr>
      <w:t>3</w:t>
    </w:r>
    <w:r w:rsidR="00657F8B">
      <w:rPr>
        <w:noProof/>
      </w:rPr>
      <w:fldChar w:fldCharType="end"/>
    </w:r>
    <w:r w:rsidRPr="00D443AD">
      <w:tab/>
    </w:r>
    <w:r w:rsidRPr="00D443AD">
      <w:rPr>
        <w:rStyle w:val="HideTWBExt"/>
      </w:rPr>
      <w:t>&lt;PathFdR&gt;</w:t>
    </w:r>
    <w:r w:rsidRPr="00D443AD">
      <w:t>RR\1298754RO.docx</w:t>
    </w:r>
    <w:r w:rsidRPr="00D443AD">
      <w:rPr>
        <w:rStyle w:val="HideTWBExt"/>
      </w:rPr>
      <w:t>&lt;/</w:t>
    </w:r>
    <w:proofErr w:type="spellStart"/>
    <w:r w:rsidRPr="00D443AD">
      <w:rPr>
        <w:rStyle w:val="HideTWBExt"/>
      </w:rPr>
      <w:t>PathFdR</w:t>
    </w:r>
    <w:proofErr w:type="spellEnd"/>
    <w:r w:rsidRPr="00D443AD">
      <w:rPr>
        <w:rStyle w:val="HideTWBExt"/>
      </w:rPr>
      <w:t>&gt;</w:t>
    </w:r>
  </w:p>
  <w:p w:rsidR="0091796D" w:rsidRPr="00D443AD" w:rsidRDefault="0091796D" w:rsidP="00A73E83">
    <w:pPr>
      <w:pStyle w:val="EPFooter2"/>
    </w:pPr>
    <w:r w:rsidRPr="00D443AD">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96D" w:rsidRPr="00D443AD" w:rsidRDefault="0091796D" w:rsidP="00A73E83">
    <w:pPr>
      <w:pStyle w:val="EPFooter"/>
    </w:pPr>
    <w:r w:rsidRPr="00D443AD">
      <w:rPr>
        <w:rStyle w:val="HideTWBExt"/>
      </w:rPr>
      <w:t>&lt;PathFdR&gt;</w:t>
    </w:r>
    <w:r w:rsidRPr="00D443AD">
      <w:t>RR\1298754RO.docx</w:t>
    </w:r>
    <w:r w:rsidRPr="00D443AD">
      <w:rPr>
        <w:rStyle w:val="HideTWBExt"/>
      </w:rPr>
      <w:t>&lt;/</w:t>
    </w:r>
    <w:proofErr w:type="spellStart"/>
    <w:r w:rsidRPr="00D443AD">
      <w:rPr>
        <w:rStyle w:val="HideTWBExt"/>
      </w:rPr>
      <w:t>PathFdR</w:t>
    </w:r>
    <w:proofErr w:type="spellEnd"/>
    <w:r w:rsidRPr="00D443AD">
      <w:rPr>
        <w:rStyle w:val="HideTWBExt"/>
      </w:rPr>
      <w:t>&gt;</w:t>
    </w:r>
    <w:r w:rsidRPr="00D443AD">
      <w:tab/>
    </w:r>
    <w:r w:rsidRPr="00D443AD">
      <w:tab/>
      <w:t>PE</w:t>
    </w:r>
    <w:r w:rsidRPr="00D443AD">
      <w:rPr>
        <w:rStyle w:val="HideTWBExt"/>
      </w:rPr>
      <w:t>&lt;</w:t>
    </w:r>
    <w:proofErr w:type="spellStart"/>
    <w:r w:rsidRPr="00D443AD">
      <w:rPr>
        <w:rStyle w:val="HideTWBExt"/>
      </w:rPr>
      <w:t>NoPE</w:t>
    </w:r>
    <w:proofErr w:type="spellEnd"/>
    <w:r w:rsidRPr="00D443AD">
      <w:rPr>
        <w:rStyle w:val="HideTWBExt"/>
      </w:rPr>
      <w:t>&gt;</w:t>
    </w:r>
    <w:r w:rsidRPr="00D443AD">
      <w:t>753.510</w:t>
    </w:r>
    <w:r w:rsidRPr="00D443AD">
      <w:rPr>
        <w:rStyle w:val="HideTWBExt"/>
      </w:rPr>
      <w:t>&lt;/</w:t>
    </w:r>
    <w:proofErr w:type="spellStart"/>
    <w:r w:rsidRPr="00D443AD">
      <w:rPr>
        <w:rStyle w:val="HideTWBExt"/>
      </w:rPr>
      <w:t>NoPE</w:t>
    </w:r>
    <w:proofErr w:type="spellEnd"/>
    <w:r w:rsidRPr="00D443AD">
      <w:rPr>
        <w:rStyle w:val="HideTWBExt"/>
      </w:rPr>
      <w:t>&gt;&lt;Version&gt;</w:t>
    </w:r>
    <w:r w:rsidRPr="00D443AD">
      <w:t>v02-00</w:t>
    </w:r>
    <w:r w:rsidRPr="00D443AD">
      <w:rPr>
        <w:rStyle w:val="HideTWBExt"/>
      </w:rPr>
      <w:t>&lt;/</w:t>
    </w:r>
    <w:proofErr w:type="spellStart"/>
    <w:r w:rsidRPr="00D443AD">
      <w:rPr>
        <w:rStyle w:val="HideTWBExt"/>
      </w:rPr>
      <w:t>Version</w:t>
    </w:r>
    <w:proofErr w:type="spellEnd"/>
    <w:r w:rsidRPr="00D443AD">
      <w:rPr>
        <w:rStyle w:val="HideTWBExt"/>
      </w:rPr>
      <w:t>&gt;</w:t>
    </w:r>
  </w:p>
  <w:p w:rsidR="0091796D" w:rsidRPr="00D443AD" w:rsidRDefault="0091796D" w:rsidP="00A73E83">
    <w:pPr>
      <w:pStyle w:val="EPFooter2"/>
    </w:pPr>
    <w:r w:rsidRPr="00D443AD">
      <w:t>RO</w:t>
    </w:r>
    <w:r w:rsidRPr="00D443AD">
      <w:tab/>
    </w:r>
    <w:r w:rsidRPr="00D443AD">
      <w:rPr>
        <w:b w:val="0"/>
        <w:i/>
        <w:color w:val="C0C0C0"/>
        <w:sz w:val="22"/>
      </w:rPr>
      <w:t>Unită în diversitate</w:t>
    </w:r>
    <w:r w:rsidRPr="00D443AD">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3A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3A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3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ACD" w:rsidRPr="00D443AD" w:rsidRDefault="00C31ACD">
      <w:r w:rsidRPr="00D443AD">
        <w:separator/>
      </w:r>
    </w:p>
  </w:footnote>
  <w:footnote w:type="continuationSeparator" w:id="0">
    <w:p w:rsidR="00C31ACD" w:rsidRPr="00D443AD" w:rsidRDefault="00C31ACD">
      <w:r w:rsidRPr="00D443AD">
        <w:continuationSeparator/>
      </w:r>
    </w:p>
  </w:footnote>
  <w:footnote w:id="1">
    <w:p w:rsidR="0091796D" w:rsidRPr="00657F8B" w:rsidRDefault="0091796D" w:rsidP="00D443AD">
      <w:pPr>
        <w:pStyle w:val="FootnoteText"/>
        <w:ind w:left="567" w:hanging="567"/>
        <w:rPr>
          <w:sz w:val="24"/>
          <w:lang w:val="ro-RO"/>
        </w:rPr>
      </w:pPr>
      <w:r w:rsidRPr="00657F8B">
        <w:rPr>
          <w:rStyle w:val="FootnoteReference"/>
          <w:sz w:val="24"/>
          <w:lang w:val="ro-RO"/>
        </w:rPr>
        <w:footnoteRef/>
      </w:r>
      <w:r w:rsidR="00D443AD" w:rsidRPr="00657F8B">
        <w:rPr>
          <w:sz w:val="24"/>
          <w:lang w:val="ro-RO"/>
        </w:rPr>
        <w:t xml:space="preserve"> </w:t>
      </w:r>
      <w:r w:rsidR="00D443AD" w:rsidRPr="00657F8B">
        <w:rPr>
          <w:sz w:val="24"/>
          <w:lang w:val="ro-RO"/>
        </w:rPr>
        <w:tab/>
      </w:r>
      <w:r w:rsidRPr="00657F8B">
        <w:rPr>
          <w:sz w:val="24"/>
          <w:lang w:val="ro-RO"/>
        </w:rPr>
        <w:t>JO C, C/2023/594, 27.10.2023.</w:t>
      </w:r>
    </w:p>
  </w:footnote>
  <w:footnote w:id="2">
    <w:p w:rsidR="0091796D" w:rsidRPr="00657F8B" w:rsidRDefault="0091796D" w:rsidP="00D443AD">
      <w:pPr>
        <w:pStyle w:val="FootnoteText"/>
        <w:ind w:left="567" w:hanging="567"/>
        <w:rPr>
          <w:sz w:val="24"/>
          <w:lang w:val="ro-RO"/>
        </w:rPr>
      </w:pPr>
      <w:r w:rsidRPr="00657F8B">
        <w:rPr>
          <w:rStyle w:val="FootnoteReference"/>
          <w:sz w:val="24"/>
          <w:lang w:val="ro-RO"/>
        </w:rPr>
        <w:footnoteRef/>
      </w:r>
      <w:r w:rsidR="00D443AD" w:rsidRPr="00657F8B">
        <w:rPr>
          <w:sz w:val="24"/>
          <w:lang w:val="ro-RO"/>
        </w:rPr>
        <w:t xml:space="preserve"> </w:t>
      </w:r>
      <w:r w:rsidR="00D443AD" w:rsidRPr="00657F8B">
        <w:rPr>
          <w:sz w:val="24"/>
          <w:lang w:val="ro-RO"/>
        </w:rPr>
        <w:tab/>
      </w:r>
      <w:r w:rsidRPr="00657F8B">
        <w:rPr>
          <w:sz w:val="24"/>
          <w:lang w:val="ro-RO"/>
        </w:rPr>
        <w:t>JO C, C/2023/112, 12.10.2023.</w:t>
      </w:r>
    </w:p>
  </w:footnote>
  <w:footnote w:id="3">
    <w:p w:rsidR="0091796D" w:rsidRPr="00657F8B" w:rsidRDefault="0091796D" w:rsidP="00D443AD">
      <w:pPr>
        <w:pStyle w:val="FootnoteText"/>
        <w:ind w:left="567" w:hanging="567"/>
        <w:rPr>
          <w:sz w:val="24"/>
          <w:lang w:val="ro-RO"/>
        </w:rPr>
      </w:pPr>
      <w:r w:rsidRPr="00657F8B">
        <w:rPr>
          <w:rStyle w:val="FootnoteReference"/>
          <w:sz w:val="24"/>
          <w:lang w:val="ro-RO"/>
        </w:rPr>
        <w:footnoteRef/>
      </w:r>
      <w:r w:rsidR="00D443AD" w:rsidRPr="00657F8B">
        <w:rPr>
          <w:sz w:val="24"/>
          <w:lang w:val="ro-RO"/>
        </w:rPr>
        <w:t xml:space="preserve"> </w:t>
      </w:r>
      <w:r w:rsidR="00D443AD" w:rsidRPr="00657F8B">
        <w:rPr>
          <w:sz w:val="24"/>
          <w:lang w:val="ro-RO"/>
        </w:rPr>
        <w:tab/>
      </w:r>
      <w:r w:rsidRPr="00657F8B">
        <w:rPr>
          <w:sz w:val="24"/>
          <w:lang w:val="ro-RO"/>
        </w:rPr>
        <w:t>JO L 193, 30.7.2018, p. 1.</w:t>
      </w:r>
    </w:p>
  </w:footnote>
  <w:footnote w:id="4">
    <w:p w:rsidR="0091796D" w:rsidRPr="00657F8B" w:rsidRDefault="0091796D" w:rsidP="00D443AD">
      <w:pPr>
        <w:pStyle w:val="FootnoteText"/>
        <w:ind w:left="567" w:hanging="567"/>
        <w:rPr>
          <w:sz w:val="24"/>
          <w:lang w:val="ro-RO"/>
        </w:rPr>
      </w:pPr>
      <w:r w:rsidRPr="00657F8B">
        <w:rPr>
          <w:rStyle w:val="FootnoteReference"/>
          <w:sz w:val="24"/>
          <w:lang w:val="ro-RO"/>
        </w:rPr>
        <w:footnoteRef/>
      </w:r>
      <w:r w:rsidR="00D443AD" w:rsidRPr="00657F8B">
        <w:rPr>
          <w:sz w:val="24"/>
          <w:lang w:val="ro-RO"/>
        </w:rPr>
        <w:t xml:space="preserve"> </w:t>
      </w:r>
      <w:r w:rsidR="00D443AD" w:rsidRPr="00657F8B">
        <w:rPr>
          <w:sz w:val="24"/>
          <w:lang w:val="ro-RO"/>
        </w:rPr>
        <w:tab/>
      </w:r>
      <w:r w:rsidRPr="00657F8B">
        <w:rPr>
          <w:sz w:val="24"/>
          <w:lang w:val="ro-RO"/>
        </w:rPr>
        <w:t>JO L 319, 4.12.2015, p. 1.</w:t>
      </w:r>
    </w:p>
  </w:footnote>
  <w:footnote w:id="5">
    <w:p w:rsidR="0091796D" w:rsidRPr="00657F8B" w:rsidRDefault="0091796D" w:rsidP="00D443AD">
      <w:pPr>
        <w:pStyle w:val="FootnoteText"/>
        <w:ind w:left="567" w:hanging="567"/>
        <w:rPr>
          <w:sz w:val="24"/>
          <w:szCs w:val="24"/>
          <w:lang w:val="ro-RO"/>
        </w:rPr>
      </w:pPr>
      <w:r w:rsidRPr="00657F8B">
        <w:rPr>
          <w:rStyle w:val="FootnoteReference"/>
          <w:sz w:val="24"/>
          <w:lang w:val="ro-RO"/>
        </w:rPr>
        <w:footnoteRef/>
      </w:r>
      <w:r w:rsidR="00D443AD" w:rsidRPr="00657F8B">
        <w:rPr>
          <w:sz w:val="24"/>
          <w:lang w:val="ro-RO"/>
        </w:rPr>
        <w:t xml:space="preserve"> </w:t>
      </w:r>
      <w:r w:rsidR="00D443AD" w:rsidRPr="00657F8B">
        <w:rPr>
          <w:sz w:val="24"/>
          <w:lang w:val="ro-RO"/>
        </w:rPr>
        <w:tab/>
      </w:r>
      <w:r w:rsidRPr="00657F8B">
        <w:rPr>
          <w:sz w:val="24"/>
          <w:lang w:val="ro-RO"/>
        </w:rPr>
        <w:t>JO L 122, 10.5.2019, p. 1.</w:t>
      </w:r>
    </w:p>
  </w:footnote>
  <w:footnote w:id="6">
    <w:p w:rsidR="0091796D" w:rsidRPr="00657F8B" w:rsidRDefault="0091796D" w:rsidP="00D443AD">
      <w:pPr>
        <w:pStyle w:val="FootnoteText"/>
        <w:ind w:left="567" w:hanging="567"/>
        <w:rPr>
          <w:sz w:val="24"/>
          <w:lang w:val="ro-RO"/>
        </w:rPr>
      </w:pPr>
      <w:r w:rsidRPr="00657F8B">
        <w:rPr>
          <w:rStyle w:val="FootnoteReference"/>
          <w:sz w:val="24"/>
          <w:lang w:val="ro-RO"/>
        </w:rPr>
        <w:footnoteRef/>
      </w:r>
      <w:r w:rsidR="00D443AD" w:rsidRPr="00657F8B">
        <w:rPr>
          <w:sz w:val="24"/>
          <w:lang w:val="ro-RO"/>
        </w:rPr>
        <w:t xml:space="preserve"> </w:t>
      </w:r>
      <w:r w:rsidR="00D443AD" w:rsidRPr="00657F8B">
        <w:rPr>
          <w:sz w:val="24"/>
          <w:lang w:val="ro-RO"/>
        </w:rPr>
        <w:tab/>
      </w:r>
      <w:r w:rsidRPr="00657F8B">
        <w:rPr>
          <w:sz w:val="24"/>
          <w:lang w:val="ro-RO"/>
        </w:rPr>
        <w:t>JO C, C/2023/594, 27.10.2023.</w:t>
      </w:r>
    </w:p>
  </w:footnote>
  <w:footnote w:id="7">
    <w:p w:rsidR="0091796D" w:rsidRPr="00657F8B" w:rsidRDefault="0091796D" w:rsidP="00D443AD">
      <w:pPr>
        <w:pStyle w:val="FootnoteText"/>
        <w:ind w:left="567" w:hanging="567"/>
        <w:rPr>
          <w:sz w:val="24"/>
          <w:lang w:val="ro-RO"/>
        </w:rPr>
      </w:pPr>
      <w:r w:rsidRPr="00657F8B">
        <w:rPr>
          <w:rStyle w:val="FootnoteReference"/>
          <w:sz w:val="24"/>
          <w:lang w:val="ro-RO"/>
        </w:rPr>
        <w:footnoteRef/>
      </w:r>
      <w:r w:rsidR="00D443AD" w:rsidRPr="00657F8B">
        <w:rPr>
          <w:sz w:val="24"/>
          <w:lang w:val="ro-RO"/>
        </w:rPr>
        <w:t xml:space="preserve"> </w:t>
      </w:r>
      <w:r w:rsidR="00D443AD" w:rsidRPr="00657F8B">
        <w:rPr>
          <w:sz w:val="24"/>
          <w:lang w:val="ro-RO"/>
        </w:rPr>
        <w:tab/>
      </w:r>
      <w:r w:rsidRPr="00657F8B">
        <w:rPr>
          <w:sz w:val="24"/>
          <w:lang w:val="ro-RO"/>
        </w:rPr>
        <w:t>JO C, C/2023/112, 12.10.2023.</w:t>
      </w:r>
    </w:p>
  </w:footnote>
  <w:footnote w:id="8">
    <w:p w:rsidR="0091796D" w:rsidRPr="00657F8B" w:rsidRDefault="0091796D" w:rsidP="00D443AD">
      <w:pPr>
        <w:pStyle w:val="FootnoteText"/>
        <w:ind w:left="567" w:hanging="567"/>
        <w:rPr>
          <w:sz w:val="24"/>
          <w:lang w:val="ro-RO"/>
        </w:rPr>
      </w:pPr>
      <w:r w:rsidRPr="00657F8B">
        <w:rPr>
          <w:rStyle w:val="FootnoteReference"/>
          <w:sz w:val="24"/>
          <w:lang w:val="ro-RO"/>
        </w:rPr>
        <w:footnoteRef/>
      </w:r>
      <w:r w:rsidR="00D443AD" w:rsidRPr="00657F8B">
        <w:rPr>
          <w:sz w:val="24"/>
          <w:lang w:val="ro-RO"/>
        </w:rPr>
        <w:t xml:space="preserve"> </w:t>
      </w:r>
      <w:r w:rsidR="00D443AD" w:rsidRPr="00657F8B">
        <w:rPr>
          <w:sz w:val="24"/>
          <w:lang w:val="ro-RO"/>
        </w:rPr>
        <w:tab/>
      </w:r>
      <w:r w:rsidRPr="00657F8B">
        <w:rPr>
          <w:sz w:val="24"/>
          <w:lang w:val="ro-RO"/>
        </w:rPr>
        <w:t>JO L 193, 30.7.2018, p. 1.</w:t>
      </w:r>
    </w:p>
  </w:footnote>
  <w:footnote w:id="9">
    <w:p w:rsidR="0091796D" w:rsidRPr="00657F8B" w:rsidRDefault="0091796D" w:rsidP="00D443AD">
      <w:pPr>
        <w:pStyle w:val="FootnoteText"/>
        <w:ind w:left="567" w:hanging="567"/>
        <w:rPr>
          <w:sz w:val="24"/>
          <w:lang w:val="ro-RO"/>
        </w:rPr>
      </w:pPr>
      <w:r w:rsidRPr="00657F8B">
        <w:rPr>
          <w:rStyle w:val="FootnoteReference"/>
          <w:sz w:val="24"/>
          <w:lang w:val="ro-RO"/>
        </w:rPr>
        <w:footnoteRef/>
      </w:r>
      <w:r w:rsidR="00D443AD" w:rsidRPr="00657F8B">
        <w:rPr>
          <w:sz w:val="24"/>
          <w:lang w:val="ro-RO"/>
        </w:rPr>
        <w:t xml:space="preserve"> </w:t>
      </w:r>
      <w:r w:rsidR="00D443AD" w:rsidRPr="00657F8B">
        <w:rPr>
          <w:sz w:val="24"/>
          <w:lang w:val="ro-RO"/>
        </w:rPr>
        <w:tab/>
      </w:r>
      <w:r w:rsidRPr="00657F8B">
        <w:rPr>
          <w:sz w:val="24"/>
          <w:lang w:val="ro-RO"/>
        </w:rPr>
        <w:t>JO L 319, 4.12.2015, p. 1.</w:t>
      </w:r>
    </w:p>
  </w:footnote>
  <w:footnote w:id="10">
    <w:p w:rsidR="0091796D" w:rsidRPr="00657F8B" w:rsidRDefault="0091796D" w:rsidP="00D443AD">
      <w:pPr>
        <w:pStyle w:val="FootnoteText"/>
        <w:ind w:left="567" w:hanging="567"/>
        <w:rPr>
          <w:sz w:val="24"/>
          <w:szCs w:val="24"/>
          <w:lang w:val="ro-RO"/>
        </w:rPr>
      </w:pPr>
      <w:r w:rsidRPr="00657F8B">
        <w:rPr>
          <w:rStyle w:val="FootnoteReference"/>
          <w:sz w:val="24"/>
          <w:lang w:val="ro-RO"/>
        </w:rPr>
        <w:footnoteRef/>
      </w:r>
      <w:r w:rsidR="00D443AD" w:rsidRPr="00657F8B">
        <w:rPr>
          <w:sz w:val="24"/>
          <w:lang w:val="ro-RO"/>
        </w:rPr>
        <w:t xml:space="preserve"> </w:t>
      </w:r>
      <w:r w:rsidR="00D443AD" w:rsidRPr="00657F8B">
        <w:rPr>
          <w:sz w:val="24"/>
          <w:lang w:val="ro-RO"/>
        </w:rPr>
        <w:tab/>
      </w:r>
      <w:r w:rsidRPr="00657F8B">
        <w:rPr>
          <w:sz w:val="24"/>
          <w:lang w:val="ro-RO"/>
        </w:rPr>
        <w:t>JO L 122, 10.5.2019, p. 1.</w:t>
      </w:r>
    </w:p>
  </w:footnote>
  <w:footnote w:id="11">
    <w:p w:rsidR="0091796D" w:rsidRPr="00657F8B" w:rsidRDefault="0091796D" w:rsidP="00D443AD">
      <w:pPr>
        <w:pStyle w:val="FootnoteText"/>
        <w:ind w:left="567" w:hanging="567"/>
        <w:rPr>
          <w:sz w:val="24"/>
          <w:lang w:val="ro-RO"/>
        </w:rPr>
      </w:pPr>
      <w:r w:rsidRPr="00657F8B">
        <w:rPr>
          <w:rStyle w:val="FootnoteReference"/>
          <w:sz w:val="24"/>
          <w:lang w:val="ro-RO"/>
        </w:rPr>
        <w:footnoteRef/>
      </w:r>
      <w:r w:rsidR="00D443AD" w:rsidRPr="00657F8B">
        <w:rPr>
          <w:sz w:val="24"/>
          <w:lang w:val="ro-RO"/>
        </w:rPr>
        <w:t xml:space="preserve"> </w:t>
      </w:r>
      <w:r w:rsidR="00D443AD" w:rsidRPr="00657F8B">
        <w:rPr>
          <w:sz w:val="24"/>
          <w:lang w:val="ro-RO"/>
        </w:rPr>
        <w:tab/>
      </w:r>
      <w:r w:rsidRPr="00657F8B">
        <w:rPr>
          <w:sz w:val="24"/>
          <w:lang w:val="ro-RO"/>
        </w:rPr>
        <w:t>JO C 73, 28.2.2023, p. 44.</w:t>
      </w:r>
    </w:p>
  </w:footnote>
  <w:footnote w:id="12">
    <w:p w:rsidR="0091796D" w:rsidRPr="00D443AD" w:rsidRDefault="0091796D" w:rsidP="00D443AD">
      <w:pPr>
        <w:pStyle w:val="FootnoteText"/>
        <w:ind w:left="567" w:hanging="567"/>
        <w:rPr>
          <w:sz w:val="24"/>
          <w:lang w:val="ro-RO"/>
        </w:rPr>
      </w:pPr>
      <w:r w:rsidRPr="00657F8B">
        <w:rPr>
          <w:rStyle w:val="FootnoteReference"/>
          <w:sz w:val="24"/>
          <w:lang w:val="ro-RO"/>
        </w:rPr>
        <w:footnoteRef/>
      </w:r>
      <w:r w:rsidR="00D443AD" w:rsidRPr="00657F8B">
        <w:rPr>
          <w:sz w:val="24"/>
          <w:lang w:val="ro-RO"/>
        </w:rPr>
        <w:t xml:space="preserve"> </w:t>
      </w:r>
      <w:r w:rsidR="00D443AD" w:rsidRPr="00657F8B">
        <w:rPr>
          <w:sz w:val="24"/>
          <w:lang w:val="ro-RO"/>
        </w:rPr>
        <w:tab/>
      </w:r>
      <w:r w:rsidRPr="00657F8B">
        <w:rPr>
          <w:sz w:val="24"/>
          <w:lang w:val="ro-RO"/>
        </w:rPr>
        <w:t>Texte adoptate, P9_TA(2024)</w:t>
      </w:r>
      <w:r w:rsidR="00657F8B" w:rsidRPr="00657F8B">
        <w:rPr>
          <w:sz w:val="24"/>
          <w:lang w:val="ro-RO"/>
        </w:rPr>
        <w:t>0</w:t>
      </w:r>
      <w:r w:rsidR="00657F8B" w:rsidRPr="00657F8B">
        <w:rPr>
          <w:sz w:val="24"/>
          <w:lang w:val="ro-RO"/>
        </w:rPr>
        <w:t>280</w:t>
      </w:r>
      <w:r w:rsidRPr="00657F8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3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3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3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RO"/>
    <w:docVar w:name="dvnumam" w:val="0"/>
    <w:docVar w:name="dvpe" w:val="753.510"/>
    <w:docVar w:name="dvrapporteur" w:val="Raportor: "/>
    <w:docVar w:name="dvtitre" w:val="1. Decizia Parlamentului European din 11 aprilie 2024 privind descărcarea de gestiune pentru execuția bugetului Agenției Uniunii Europene pentru Formare în Materie de Aplicare a Legii (CEPOL) aferent exercițiului financiar 2022(2023/2144(DEC))"/>
  </w:docVars>
  <w:rsids>
    <w:rsidRoot w:val="00C31AC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7F8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CA9"/>
    <w:rsid w:val="008C2AC6"/>
    <w:rsid w:val="0091796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ACD"/>
    <w:rsid w:val="00C61C0C"/>
    <w:rsid w:val="00C6352A"/>
    <w:rsid w:val="00C941CB"/>
    <w:rsid w:val="00CC2357"/>
    <w:rsid w:val="00CF071A"/>
    <w:rsid w:val="00D058B8"/>
    <w:rsid w:val="00D443A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AC54B"/>
  <w15:chartTrackingRefBased/>
  <w15:docId w15:val="{8FD1D670-E91A-4072-87E8-648BFBACE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1796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1796D"/>
    <w:pPr>
      <w:spacing w:before="480" w:after="240"/>
    </w:pPr>
  </w:style>
  <w:style w:type="paragraph" w:customStyle="1" w:styleId="PageHeading">
    <w:name w:val="PageHeading"/>
    <w:basedOn w:val="Normal"/>
    <w:rsid w:val="0091796D"/>
    <w:pPr>
      <w:keepNext/>
      <w:spacing w:after="480"/>
      <w:jc w:val="center"/>
    </w:pPr>
    <w:rPr>
      <w:rFonts w:ascii="Arial" w:hAnsi="Arial" w:cs="Arial"/>
      <w:b/>
    </w:rPr>
  </w:style>
  <w:style w:type="paragraph" w:customStyle="1" w:styleId="NormalBold">
    <w:name w:val="NormalBold"/>
    <w:basedOn w:val="Normal"/>
    <w:rsid w:val="0091796D"/>
    <w:rPr>
      <w:b/>
    </w:rPr>
  </w:style>
  <w:style w:type="paragraph" w:customStyle="1" w:styleId="NormalHanging12a">
    <w:name w:val="NormalHanging12a"/>
    <w:basedOn w:val="Normal"/>
    <w:link w:val="NormalHanging12aChar"/>
    <w:rsid w:val="0091796D"/>
    <w:pPr>
      <w:spacing w:after="240"/>
      <w:ind w:left="567" w:hanging="567"/>
    </w:pPr>
  </w:style>
  <w:style w:type="paragraph" w:customStyle="1" w:styleId="NormalCenter12a">
    <w:name w:val="NormalCenter12a"/>
    <w:basedOn w:val="Normal"/>
    <w:rsid w:val="0091796D"/>
    <w:pPr>
      <w:spacing w:after="240"/>
      <w:jc w:val="center"/>
    </w:pPr>
  </w:style>
  <w:style w:type="paragraph" w:styleId="Header">
    <w:name w:val="header"/>
    <w:basedOn w:val="Normal"/>
    <w:link w:val="HeaderChar"/>
    <w:rsid w:val="0091796D"/>
    <w:pPr>
      <w:tabs>
        <w:tab w:val="center" w:pos="4513"/>
        <w:tab w:val="right" w:pos="9026"/>
      </w:tabs>
    </w:pPr>
  </w:style>
  <w:style w:type="character" w:customStyle="1" w:styleId="HeaderChar">
    <w:name w:val="Header Char"/>
    <w:basedOn w:val="DefaultParagraphFont"/>
    <w:link w:val="Header"/>
    <w:rsid w:val="0091796D"/>
    <w:rPr>
      <w:sz w:val="24"/>
      <w:lang w:val="ro-RO"/>
    </w:rPr>
  </w:style>
  <w:style w:type="paragraph" w:customStyle="1" w:styleId="EPFooter">
    <w:name w:val="EPFooter"/>
    <w:basedOn w:val="Normal"/>
    <w:rsid w:val="0091796D"/>
    <w:pPr>
      <w:tabs>
        <w:tab w:val="center" w:pos="4535"/>
        <w:tab w:val="right" w:pos="9071"/>
      </w:tabs>
      <w:spacing w:before="240" w:after="240"/>
    </w:pPr>
    <w:rPr>
      <w:color w:val="010000"/>
      <w:sz w:val="22"/>
    </w:rPr>
  </w:style>
  <w:style w:type="paragraph" w:styleId="ListParagraph">
    <w:name w:val="List Paragraph"/>
    <w:basedOn w:val="Normal"/>
    <w:uiPriority w:val="34"/>
    <w:qFormat/>
    <w:rsid w:val="0091796D"/>
    <w:pPr>
      <w:widowControl/>
      <w:ind w:left="720"/>
      <w:contextualSpacing/>
      <w:jc w:val="both"/>
    </w:pPr>
    <w:rPr>
      <w:rFonts w:eastAsiaTheme="minorHAnsi"/>
      <w:szCs w:val="24"/>
      <w:lang w:eastAsia="en-US"/>
    </w:rPr>
  </w:style>
  <w:style w:type="paragraph" w:customStyle="1" w:styleId="Normal12a">
    <w:name w:val="Normal12a"/>
    <w:basedOn w:val="Normal"/>
    <w:rsid w:val="0091796D"/>
    <w:pPr>
      <w:spacing w:after="240"/>
    </w:pPr>
  </w:style>
  <w:style w:type="paragraph" w:customStyle="1" w:styleId="PageHeadingNotTOC">
    <w:name w:val="PageHeadingNotTOC"/>
    <w:basedOn w:val="Normal"/>
    <w:rsid w:val="0091796D"/>
    <w:pPr>
      <w:keepNext/>
      <w:spacing w:after="480"/>
      <w:jc w:val="center"/>
    </w:pPr>
    <w:rPr>
      <w:rFonts w:ascii="Arial" w:hAnsi="Arial" w:cs="Arial"/>
      <w:b/>
    </w:rPr>
  </w:style>
  <w:style w:type="paragraph" w:customStyle="1" w:styleId="RollCallSymbols14pt">
    <w:name w:val="RollCallSymbols14pt"/>
    <w:basedOn w:val="Normal"/>
    <w:rsid w:val="0091796D"/>
    <w:pPr>
      <w:spacing w:before="120" w:after="120"/>
      <w:jc w:val="center"/>
    </w:pPr>
    <w:rPr>
      <w:rFonts w:ascii="Arial" w:hAnsi="Arial"/>
      <w:b/>
      <w:bCs/>
      <w:snapToGrid w:val="0"/>
      <w:sz w:val="28"/>
      <w:lang w:eastAsia="en-US"/>
    </w:rPr>
  </w:style>
  <w:style w:type="paragraph" w:customStyle="1" w:styleId="RollCallVotes">
    <w:name w:val="RollCallVotes"/>
    <w:basedOn w:val="Normal"/>
    <w:rsid w:val="0091796D"/>
    <w:pPr>
      <w:spacing w:before="120" w:after="120"/>
      <w:jc w:val="center"/>
    </w:pPr>
    <w:rPr>
      <w:b/>
      <w:bCs/>
      <w:snapToGrid w:val="0"/>
      <w:sz w:val="16"/>
      <w:lang w:eastAsia="en-US"/>
    </w:rPr>
  </w:style>
  <w:style w:type="paragraph" w:customStyle="1" w:styleId="RollCallTable">
    <w:name w:val="RollCallTable"/>
    <w:basedOn w:val="Normal"/>
    <w:rsid w:val="0091796D"/>
    <w:pPr>
      <w:spacing w:before="120" w:after="120"/>
    </w:pPr>
    <w:rPr>
      <w:snapToGrid w:val="0"/>
      <w:sz w:val="16"/>
      <w:lang w:eastAsia="en-US"/>
    </w:rPr>
  </w:style>
  <w:style w:type="paragraph" w:customStyle="1" w:styleId="Normal24a">
    <w:name w:val="Normal24a"/>
    <w:basedOn w:val="Normal"/>
    <w:rsid w:val="0091796D"/>
    <w:pPr>
      <w:spacing w:after="480"/>
    </w:pPr>
  </w:style>
  <w:style w:type="character" w:customStyle="1" w:styleId="NormalHanging12aChar">
    <w:name w:val="NormalHanging12a Char"/>
    <w:basedOn w:val="DefaultParagraphFont"/>
    <w:link w:val="NormalHanging12a"/>
    <w:rsid w:val="0091796D"/>
    <w:rPr>
      <w:sz w:val="24"/>
      <w:lang w:val="ro-RO"/>
    </w:rPr>
  </w:style>
  <w:style w:type="paragraph" w:customStyle="1" w:styleId="RollCallTabs">
    <w:name w:val="RollCallTabs"/>
    <w:basedOn w:val="Normal"/>
    <w:qFormat/>
    <w:rsid w:val="0091796D"/>
    <w:pPr>
      <w:tabs>
        <w:tab w:val="center" w:pos="284"/>
        <w:tab w:val="left" w:pos="426"/>
      </w:tabs>
    </w:pPr>
    <w:rPr>
      <w:snapToGrid w:val="0"/>
      <w:lang w:eastAsia="en-US"/>
    </w:rPr>
  </w:style>
  <w:style w:type="character" w:customStyle="1" w:styleId="pointer">
    <w:name w:val="pointer"/>
    <w:basedOn w:val="DefaultParagraphFont"/>
    <w:rsid w:val="0091796D"/>
  </w:style>
  <w:style w:type="paragraph" w:styleId="Footer">
    <w:name w:val="footer"/>
    <w:basedOn w:val="Normal"/>
    <w:link w:val="FooterChar"/>
    <w:rsid w:val="008B7CA9"/>
    <w:pPr>
      <w:tabs>
        <w:tab w:val="center" w:pos="4513"/>
        <w:tab w:val="right" w:pos="9026"/>
      </w:tabs>
    </w:pPr>
  </w:style>
  <w:style w:type="character" w:customStyle="1" w:styleId="FooterChar">
    <w:name w:val="Footer Char"/>
    <w:basedOn w:val="DefaultParagraphFont"/>
    <w:link w:val="Footer"/>
    <w:rsid w:val="008B7CA9"/>
    <w:rPr>
      <w:sz w:val="24"/>
      <w:lang w:val="ro-RO"/>
    </w:rPr>
  </w:style>
  <w:style w:type="paragraph" w:styleId="BalloonText">
    <w:name w:val="Balloon Text"/>
    <w:basedOn w:val="Normal"/>
    <w:link w:val="BalloonTextChar"/>
    <w:rsid w:val="00C6352A"/>
    <w:rPr>
      <w:rFonts w:ascii="Segoe UI" w:hAnsi="Segoe UI" w:cs="Segoe UI"/>
      <w:sz w:val="18"/>
      <w:szCs w:val="18"/>
    </w:rPr>
  </w:style>
  <w:style w:type="character" w:customStyle="1" w:styleId="BalloonTextChar">
    <w:name w:val="Balloon Text Char"/>
    <w:basedOn w:val="DefaultParagraphFont"/>
    <w:link w:val="BalloonText"/>
    <w:rsid w:val="00C6352A"/>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9F43A-D4EF-4C8B-825D-C9DB0ED92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4826</Words>
  <Characters>27964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2024-04-11T13:39:00Z</dcterms:created>
  <dcterms:modified xsi:type="dcterms:W3CDTF">2024-04-11T13:39:00Z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A9-0098/2024</vt:lpwstr>
  </property>
  <property fmtid="{D5CDD505-2E9C-101B-9397-08002B2CF9AE}" pid="4" name="&lt;Type&gt;">
    <vt:lpwstr>RR</vt:lpwstr>
  </property>
</Properties>
</file>