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259C" w:rsidRPr="00AA7A2A">
        <w:trPr>
          <w:trHeight w:hRule="exact" w:val="1418"/>
        </w:trPr>
        <w:tc>
          <w:tcPr>
            <w:tcW w:w="6804" w:type="dxa"/>
            <w:shd w:val="clear" w:color="auto" w:fill="auto"/>
            <w:vAlign w:val="center"/>
          </w:tcPr>
          <w:p w:rsidR="0041259C" w:rsidRPr="00AA7A2A" w:rsidRDefault="00AA7A2A">
            <w:pPr>
              <w:pStyle w:val="EPName"/>
            </w:pPr>
            <w:r w:rsidRPr="00AA7A2A">
              <w:t>Európsky parlament</w:t>
            </w:r>
          </w:p>
          <w:p w:rsidR="0041259C" w:rsidRPr="00AA7A2A" w:rsidRDefault="00AA7A2A">
            <w:pPr>
              <w:pStyle w:val="EPTerm"/>
              <w:rPr>
                <w:rStyle w:val="HideTWBExt"/>
                <w:noProof w:val="0"/>
                <w:vanish w:val="0"/>
                <w:color w:val="auto"/>
              </w:rPr>
            </w:pPr>
            <w:r w:rsidRPr="00AA7A2A">
              <w:t>2019-2024</w:t>
            </w:r>
          </w:p>
        </w:tc>
        <w:tc>
          <w:tcPr>
            <w:tcW w:w="2268" w:type="dxa"/>
            <w:shd w:val="clear" w:color="auto" w:fill="auto"/>
          </w:tcPr>
          <w:p w:rsidR="0041259C" w:rsidRPr="00AA7A2A" w:rsidRDefault="00AA7A2A">
            <w:pPr>
              <w:pStyle w:val="EPLogo"/>
            </w:pPr>
            <w:r w:rsidRPr="00AA7A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1259C" w:rsidRPr="00AA7A2A" w:rsidRDefault="0041259C">
      <w:pPr>
        <w:pStyle w:val="LineTop"/>
      </w:pPr>
    </w:p>
    <w:p w:rsidR="0041259C" w:rsidRPr="00AA7A2A" w:rsidRDefault="00AA7A2A">
      <w:pPr>
        <w:pStyle w:val="EPBodyTA1"/>
      </w:pPr>
      <w:r w:rsidRPr="00AA7A2A">
        <w:t>PRIJATÉ TEXTY</w:t>
      </w:r>
    </w:p>
    <w:p w:rsidR="0041259C" w:rsidRPr="00AA7A2A" w:rsidRDefault="0041259C">
      <w:pPr>
        <w:pStyle w:val="LineBottom"/>
      </w:pPr>
    </w:p>
    <w:p w:rsidR="0041259C" w:rsidRPr="00AA7A2A" w:rsidRDefault="00AA7A2A">
      <w:pPr>
        <w:pStyle w:val="ATHeading1"/>
      </w:pPr>
      <w:bookmarkStart w:id="0" w:name="TANumber"/>
      <w:r w:rsidRPr="00AA7A2A">
        <w:t>P9_TA(2024)0</w:t>
      </w:r>
      <w:r w:rsidR="00EE0133" w:rsidRPr="00AA7A2A">
        <w:t>254</w:t>
      </w:r>
      <w:bookmarkEnd w:id="0"/>
    </w:p>
    <w:p w:rsidR="0041259C" w:rsidRPr="00AA7A2A" w:rsidRDefault="00AA7A2A">
      <w:pPr>
        <w:pStyle w:val="ATHeading2"/>
      </w:pPr>
      <w:bookmarkStart w:id="1" w:name="title"/>
      <w:r w:rsidRPr="00AA7A2A">
        <w:t>Absolutórium za rok 2022: Agentúra Európskej únie pre odbornú prípravu v oblasti presadzovania práva (CEPOL)</w:t>
      </w:r>
      <w:bookmarkEnd w:id="1"/>
    </w:p>
    <w:p w:rsidR="0041259C" w:rsidRPr="00AA7A2A" w:rsidRDefault="00AA7A2A">
      <w:pPr>
        <w:rPr>
          <w:i/>
          <w:vanish/>
        </w:rPr>
      </w:pPr>
      <w:r w:rsidRPr="00AA7A2A">
        <w:rPr>
          <w:i/>
        </w:rPr>
        <w:fldChar w:fldCharType="begin"/>
      </w:r>
      <w:r w:rsidRPr="00AA7A2A">
        <w:rPr>
          <w:i/>
        </w:rPr>
        <w:instrText xml:space="preserve"> TC"(</w:instrText>
      </w:r>
      <w:bookmarkStart w:id="2" w:name="DocNumber"/>
      <w:r w:rsidRPr="00AA7A2A">
        <w:rPr>
          <w:i/>
        </w:rPr>
        <w:instrText>A9-0098/2024</w:instrText>
      </w:r>
      <w:bookmarkEnd w:id="2"/>
      <w:r w:rsidRPr="00AA7A2A">
        <w:rPr>
          <w:i/>
        </w:rPr>
        <w:instrText xml:space="preserve"> - Spravodajca: </w:instrText>
      </w:r>
      <w:proofErr w:type="spellStart"/>
      <w:r w:rsidRPr="00AA7A2A">
        <w:rPr>
          <w:i/>
        </w:rPr>
        <w:instrText>Petri</w:instrText>
      </w:r>
      <w:proofErr w:type="spellEnd"/>
      <w:r w:rsidRPr="00AA7A2A">
        <w:rPr>
          <w:i/>
        </w:rPr>
        <w:instrText xml:space="preserve"> </w:instrText>
      </w:r>
      <w:proofErr w:type="spellStart"/>
      <w:r w:rsidRPr="00AA7A2A">
        <w:rPr>
          <w:i/>
        </w:rPr>
        <w:instrText>Sarvamaa</w:instrText>
      </w:r>
      <w:proofErr w:type="spellEnd"/>
      <w:r w:rsidRPr="00AA7A2A">
        <w:rPr>
          <w:i/>
        </w:rPr>
        <w:instrText xml:space="preserve">)"\l3 \n&gt; \* MERGEFORMAT </w:instrText>
      </w:r>
      <w:r w:rsidRPr="00AA7A2A">
        <w:rPr>
          <w:i/>
        </w:rPr>
        <w:fldChar w:fldCharType="end"/>
      </w:r>
    </w:p>
    <w:p w:rsidR="0041259C" w:rsidRPr="00AA7A2A" w:rsidRDefault="00AA7A2A">
      <w:pPr>
        <w:rPr>
          <w:vanish/>
        </w:rPr>
      </w:pPr>
      <w:bookmarkStart w:id="3" w:name="Commission"/>
      <w:r w:rsidRPr="00AA7A2A">
        <w:rPr>
          <w:vanish/>
        </w:rPr>
        <w:t>Výbor pre kontrolu rozpočtu</w:t>
      </w:r>
      <w:bookmarkEnd w:id="3"/>
    </w:p>
    <w:p w:rsidR="0041259C" w:rsidRPr="00AA7A2A" w:rsidRDefault="00AA7A2A">
      <w:pPr>
        <w:rPr>
          <w:vanish/>
        </w:rPr>
      </w:pPr>
      <w:bookmarkStart w:id="4" w:name="PE"/>
      <w:r w:rsidRPr="00AA7A2A">
        <w:rPr>
          <w:vanish/>
        </w:rPr>
        <w:t>PE753.510</w:t>
      </w:r>
      <w:bookmarkEnd w:id="4"/>
    </w:p>
    <w:p w:rsidR="0041259C" w:rsidRPr="00AA7A2A" w:rsidRDefault="00AA7A2A">
      <w:pPr>
        <w:pStyle w:val="ATHeading3"/>
      </w:pPr>
      <w:bookmarkStart w:id="5" w:name="Sujet"/>
      <w:r w:rsidRPr="00AA7A2A">
        <w:t>1. Rozhodnutie Európskeho parlamentu z 11. apríla 2024 o absolutóriu za plnenie rozpočtu Agentúry Európskej únie pre odbornú prípravu v oblasti presadzovania práva (CEPOL) za rozpočtový rok 2022</w:t>
      </w:r>
      <w:bookmarkEnd w:id="5"/>
      <w:r w:rsidRPr="00AA7A2A">
        <w:t xml:space="preserve"> </w:t>
      </w:r>
      <w:bookmarkStart w:id="6" w:name="References"/>
      <w:r w:rsidRPr="00AA7A2A">
        <w:t>(2023/2144(DEC))</w:t>
      </w:r>
      <w:bookmarkEnd w:id="6"/>
    </w:p>
    <w:p w:rsidR="0041259C" w:rsidRPr="00AA7A2A" w:rsidRDefault="00AA7A2A">
      <w:pPr>
        <w:pStyle w:val="EPComma"/>
      </w:pPr>
      <w:bookmarkStart w:id="7" w:name="TextBodyBegin"/>
      <w:bookmarkEnd w:id="7"/>
      <w:r w:rsidRPr="00AA7A2A">
        <w:rPr>
          <w:i/>
          <w:iCs/>
        </w:rPr>
        <w:t>Európsky parlament</w:t>
      </w:r>
      <w:r w:rsidRPr="00AA7A2A">
        <w:t>,</w:t>
      </w:r>
    </w:p>
    <w:p w:rsidR="0041259C" w:rsidRPr="00AA7A2A" w:rsidRDefault="00AA7A2A">
      <w:pPr>
        <w:pStyle w:val="NormalHanging12a"/>
      </w:pPr>
      <w:r w:rsidRPr="00AA7A2A">
        <w:t>–</w:t>
      </w:r>
      <w:r w:rsidRPr="00AA7A2A">
        <w:tab/>
        <w:t>so zreteľom na konečnú ročnú účtovnú závierku Agentúry Európskej únie pre odbornú prípravu v oblasti presadzovania práva (CEPOL) za rozpočtový rok 2022,</w:t>
      </w:r>
    </w:p>
    <w:p w:rsidR="0041259C" w:rsidRPr="00AA7A2A" w:rsidRDefault="00AA7A2A">
      <w:pPr>
        <w:pStyle w:val="NormalHanging12a"/>
      </w:pPr>
      <w:r w:rsidRPr="00AA7A2A">
        <w:t>–</w:t>
      </w:r>
      <w:r w:rsidRPr="00AA7A2A">
        <w:tab/>
        <w:t>so zreteľom na výročnú správu Dvora audítorov o agentúrach EÚ za rozpočtový rok 2022 spolu s odpoveďami agentúr</w:t>
      </w:r>
      <w:r w:rsidRPr="00AA7A2A">
        <w:rPr>
          <w:rStyle w:val="FootnoteReference"/>
        </w:rPr>
        <w:footnoteReference w:id="1"/>
      </w:r>
      <w:r w:rsidRPr="00AA7A2A">
        <w:t>,</w:t>
      </w:r>
    </w:p>
    <w:p w:rsidR="0041259C" w:rsidRPr="00AA7A2A" w:rsidRDefault="00AA7A2A">
      <w:pPr>
        <w:pStyle w:val="NormalHanging12a"/>
      </w:pPr>
      <w:r w:rsidRPr="00AA7A2A">
        <w:t>–</w:t>
      </w:r>
      <w:r w:rsidRPr="00AA7A2A">
        <w:tab/>
        <w:t>so zreteľom na vyhlásenie o vierohodnosti</w:t>
      </w:r>
      <w:r w:rsidRPr="00AA7A2A">
        <w:rPr>
          <w:rStyle w:val="FootnoteReference"/>
        </w:rPr>
        <w:footnoteReference w:id="2"/>
      </w:r>
      <w:r w:rsidRPr="00AA7A2A">
        <w:t xml:space="preserve"> vedenia účtov a zákonnosti a správnosti príslušných operácií, ktoré poskytol Dvor audítorov za rozpočtový rok 2022 v súlade s článkom 287 Zmluvy o fungovaní Európskej únie,</w:t>
      </w:r>
    </w:p>
    <w:p w:rsidR="0041259C" w:rsidRPr="00AA7A2A" w:rsidRDefault="00AA7A2A">
      <w:pPr>
        <w:pStyle w:val="NormalHanging12a"/>
      </w:pPr>
      <w:r w:rsidRPr="00AA7A2A">
        <w:t>–</w:t>
      </w:r>
      <w:r w:rsidRPr="00AA7A2A">
        <w:tab/>
        <w:t>so zreteľom na odporúčanie Rady z 22. februára 2024 o udelení absolutória agentúre za plnenie rozpočtu za rozpočtový rok 2022 (06180/2024 – C9</w:t>
      </w:r>
      <w:r w:rsidRPr="00AA7A2A">
        <w:noBreakHyphen/>
        <w:t>0082/2024),</w:t>
      </w:r>
    </w:p>
    <w:p w:rsidR="0041259C" w:rsidRPr="00AA7A2A" w:rsidRDefault="00AA7A2A">
      <w:pPr>
        <w:pStyle w:val="NormalHanging12a"/>
      </w:pPr>
      <w:r w:rsidRPr="00AA7A2A">
        <w:t>–</w:t>
      </w:r>
      <w:r w:rsidRPr="00AA7A2A">
        <w:tab/>
        <w:t>so zreteľom na článok 319 Zmluvy o fungovaní Európskej únie,</w:t>
      </w:r>
    </w:p>
    <w:p w:rsidR="0041259C" w:rsidRPr="00AA7A2A" w:rsidRDefault="00AA7A2A">
      <w:pPr>
        <w:pStyle w:val="NormalHanging12a"/>
      </w:pPr>
      <w:r w:rsidRPr="00AA7A2A">
        <w:t>–</w:t>
      </w:r>
      <w:r w:rsidRPr="00AA7A2A">
        <w:tab/>
        <w:t xml:space="preserve">so zreteľom na nariadenie Európskeho parlamentu a Rady (EÚ, </w:t>
      </w:r>
      <w:proofErr w:type="spellStart"/>
      <w:r w:rsidRPr="00AA7A2A">
        <w:t>Euratom</w:t>
      </w:r>
      <w:proofErr w:type="spellEnd"/>
      <w:r w:rsidRPr="00AA7A2A">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A7A2A">
        <w:t>Euratom</w:t>
      </w:r>
      <w:proofErr w:type="spellEnd"/>
      <w:r w:rsidRPr="00AA7A2A">
        <w:t>) č. 966/2012</w:t>
      </w:r>
      <w:r w:rsidRPr="00AA7A2A">
        <w:rPr>
          <w:rStyle w:val="FootnoteReference"/>
        </w:rPr>
        <w:footnoteReference w:id="3"/>
      </w:r>
      <w:r w:rsidRPr="00AA7A2A">
        <w:t>, a najmä na jeho článok 70,</w:t>
      </w:r>
    </w:p>
    <w:p w:rsidR="0041259C" w:rsidRPr="00AA7A2A" w:rsidRDefault="00AA7A2A">
      <w:pPr>
        <w:pStyle w:val="NormalHanging12a"/>
      </w:pPr>
      <w:r w:rsidRPr="00AA7A2A">
        <w:t>–</w:t>
      </w:r>
      <w:r w:rsidRPr="00AA7A2A">
        <w:tab/>
        <w:t xml:space="preserve">so zreteľom na nariadenie Európskeho parlamentu a Rady (EÚ) 2015/2219 z 25. novembra 2015, ktorým sa zriaďuje Agentúra Európskej únie pre odbornú </w:t>
      </w:r>
      <w:r w:rsidRPr="00AA7A2A">
        <w:lastRenderedPageBreak/>
        <w:t>prípravu v oblasti presadzovania práva (CEPOL) a zrušuje rozhodnutie Rady 2005/681/SVV</w:t>
      </w:r>
      <w:r w:rsidRPr="00AA7A2A">
        <w:rPr>
          <w:rStyle w:val="FootnoteReference"/>
        </w:rPr>
        <w:footnoteReference w:id="4"/>
      </w:r>
      <w:r w:rsidRPr="00AA7A2A">
        <w:t>, a najmä na jeho článok 20,</w:t>
      </w:r>
    </w:p>
    <w:p w:rsidR="0041259C" w:rsidRPr="00AA7A2A" w:rsidRDefault="00AA7A2A">
      <w:pPr>
        <w:pStyle w:val="NormalHanging12a"/>
      </w:pPr>
      <w:r w:rsidRPr="00AA7A2A">
        <w:t>–</w:t>
      </w:r>
      <w:r w:rsidRPr="00AA7A2A">
        <w:tab/>
        <w:t>so zreteľom na delegované nariadenie Komisie (EÚ) 2019/715 z 18. decembra 2018 o rámcovom nariadení o rozpočtových pravidlách pre subjekty zriadené podľa ZFEÚ a Zmluvy o </w:t>
      </w:r>
      <w:proofErr w:type="spellStart"/>
      <w:r w:rsidRPr="00AA7A2A">
        <w:t>Euratome</w:t>
      </w:r>
      <w:proofErr w:type="spellEnd"/>
      <w:r w:rsidRPr="00AA7A2A">
        <w:t xml:space="preserve"> a uvedené v článku 70 nariadenia Európskeho parlamentu a Rady (EÚ, </w:t>
      </w:r>
      <w:proofErr w:type="spellStart"/>
      <w:r w:rsidRPr="00AA7A2A">
        <w:t>Euratom</w:t>
      </w:r>
      <w:proofErr w:type="spellEnd"/>
      <w:r w:rsidRPr="00AA7A2A">
        <w:t>) 2018/1046</w:t>
      </w:r>
      <w:r w:rsidRPr="00AA7A2A">
        <w:rPr>
          <w:rStyle w:val="FootnoteReference"/>
        </w:rPr>
        <w:footnoteReference w:id="5"/>
      </w:r>
      <w:r w:rsidRPr="00AA7A2A">
        <w:t>, a najmä na jeho článok 105,</w:t>
      </w:r>
    </w:p>
    <w:p w:rsidR="0041259C" w:rsidRPr="00AA7A2A" w:rsidRDefault="00AA7A2A">
      <w:pPr>
        <w:pStyle w:val="NormalHanging12a"/>
      </w:pPr>
      <w:r w:rsidRPr="00AA7A2A">
        <w:t>–</w:t>
      </w:r>
      <w:r w:rsidRPr="00AA7A2A">
        <w:tab/>
        <w:t>so zreteľom na článok 100 a prílohu V k rokovaciemu poriadku,</w:t>
      </w:r>
    </w:p>
    <w:p w:rsidR="0041259C" w:rsidRPr="00AA7A2A" w:rsidRDefault="00AA7A2A">
      <w:pPr>
        <w:pStyle w:val="NormalHanging12a"/>
      </w:pPr>
      <w:r w:rsidRPr="00AA7A2A">
        <w:t>–</w:t>
      </w:r>
      <w:r w:rsidRPr="00AA7A2A">
        <w:tab/>
        <w:t>so zreteľom na stanovisko Výboru pre občianske slobody, spravodlivosť a vnútorné veci,</w:t>
      </w:r>
    </w:p>
    <w:p w:rsidR="0041259C" w:rsidRPr="00AA7A2A" w:rsidRDefault="00AA7A2A">
      <w:pPr>
        <w:pStyle w:val="NormalHanging12a"/>
      </w:pPr>
      <w:r w:rsidRPr="00AA7A2A">
        <w:t>–</w:t>
      </w:r>
      <w:r w:rsidRPr="00AA7A2A">
        <w:tab/>
        <w:t>so zreteľom na správu Výboru pre kontrolu rozpočtu (A9-0098/2024),</w:t>
      </w:r>
    </w:p>
    <w:p w:rsidR="0041259C" w:rsidRPr="00AA7A2A" w:rsidRDefault="00AA7A2A">
      <w:pPr>
        <w:pStyle w:val="NormalHanging12a"/>
      </w:pPr>
      <w:r w:rsidRPr="00AA7A2A">
        <w:t>1.</w:t>
      </w:r>
      <w:r w:rsidRPr="00AA7A2A">
        <w:tab/>
        <w:t>udeľuje výkonnej riaditeľke Agentúry Európskej únie pre odbornú prípravu v oblasti presadzovania práva (CEPOL) absolutórium za plnenie rozpočtu agentúry za rozpočtový rok 2022;</w:t>
      </w:r>
    </w:p>
    <w:p w:rsidR="0041259C" w:rsidRPr="00AA7A2A" w:rsidRDefault="00AA7A2A">
      <w:pPr>
        <w:pStyle w:val="NormalHanging12a"/>
      </w:pPr>
      <w:r w:rsidRPr="00AA7A2A">
        <w:t>2.</w:t>
      </w:r>
      <w:r w:rsidRPr="00AA7A2A">
        <w:tab/>
        <w:t>uvádza svoje poznámky v priloženom uznesení;</w:t>
      </w:r>
    </w:p>
    <w:p w:rsidR="0041259C" w:rsidRPr="00AA7A2A" w:rsidRDefault="00AA7A2A">
      <w:pPr>
        <w:pStyle w:val="NormalHanging12a"/>
      </w:pPr>
      <w:r w:rsidRPr="00AA7A2A">
        <w:t>3.</w:t>
      </w:r>
      <w:r w:rsidRPr="00AA7A2A">
        <w:tab/>
        <w:t>poveruje svoju predsedníčku, aby postúpila toto rozhodnutie a uznesenie, ktoré je jeho neoddeliteľnou súčasťou, výkonnej riaditeľke Agentúry Európskej únie pre odbornú prípravu v oblasti presadzovania práva (CEPOL), Rade, Komisii a Dvoru audítorov a aby zabezpečila ich uverejnenie v </w:t>
      </w:r>
      <w:r w:rsidRPr="00AA7A2A">
        <w:rPr>
          <w:i/>
          <w:iCs/>
        </w:rPr>
        <w:t>Úradnom vestníku Európskej únie</w:t>
      </w:r>
      <w:r w:rsidRPr="00AA7A2A">
        <w:t xml:space="preserve"> (v sérii L).</w:t>
      </w:r>
    </w:p>
    <w:p w:rsidR="0041259C" w:rsidRPr="00AA7A2A" w:rsidRDefault="0041259C"/>
    <w:p w:rsidR="0041259C" w:rsidRPr="00AA7A2A" w:rsidRDefault="0041259C">
      <w:pPr>
        <w:widowControl/>
        <w:rPr>
          <w:rFonts w:ascii="Arial" w:hAnsi="Arial" w:cs="Arial"/>
          <w:b/>
        </w:rPr>
        <w:sectPr w:rsidR="0041259C" w:rsidRPr="00AA7A2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1259C" w:rsidRPr="00AA7A2A" w:rsidRDefault="00AA7A2A">
      <w:pPr>
        <w:pStyle w:val="NormalBold"/>
      </w:pPr>
      <w:r w:rsidRPr="00AA7A2A">
        <w:lastRenderedPageBreak/>
        <w:t>2. Rozhodnutie Európskeho parlamentu z 11. apríla 2024 o účtovnej závierke Agentúry Európskej únie pre odbornú prípravu v oblasti presadzovania práva (CEPOL) za rozpočtový rok 2022 (2023/2144(DEC))</w:t>
      </w:r>
    </w:p>
    <w:p w:rsidR="0041259C" w:rsidRPr="00AA7A2A" w:rsidRDefault="00AA7A2A">
      <w:pPr>
        <w:pStyle w:val="EPComma"/>
      </w:pPr>
      <w:r w:rsidRPr="00AA7A2A">
        <w:rPr>
          <w:i/>
          <w:iCs/>
        </w:rPr>
        <w:t>Európsky parlament</w:t>
      </w:r>
      <w:r w:rsidRPr="00AA7A2A">
        <w:t>,</w:t>
      </w:r>
    </w:p>
    <w:p w:rsidR="0041259C" w:rsidRPr="00AA7A2A" w:rsidRDefault="00AA7A2A">
      <w:pPr>
        <w:pStyle w:val="NormalHanging12a"/>
      </w:pPr>
      <w:r w:rsidRPr="00AA7A2A">
        <w:t>–</w:t>
      </w:r>
      <w:r w:rsidRPr="00AA7A2A">
        <w:tab/>
        <w:t>so zreteľom na konečnú ročnú účtovnú závierku Agentúry Európskej únie pre odbornú prípravu v oblasti presadzovania práva (CEPOL) za rozpočtový rok 2022,</w:t>
      </w:r>
    </w:p>
    <w:p w:rsidR="0041259C" w:rsidRPr="00AA7A2A" w:rsidRDefault="00AA7A2A">
      <w:pPr>
        <w:pStyle w:val="NormalHanging12a"/>
      </w:pPr>
      <w:r w:rsidRPr="00AA7A2A">
        <w:t>–</w:t>
      </w:r>
      <w:r w:rsidRPr="00AA7A2A">
        <w:tab/>
        <w:t>so zreteľom na výročnú správu Dvora audítorov o agentúrach EÚ za rozpočtový rok 2022 spolu s odpoveďami agentúr</w:t>
      </w:r>
      <w:r w:rsidRPr="00AA7A2A">
        <w:rPr>
          <w:rStyle w:val="FootnoteReference"/>
        </w:rPr>
        <w:footnoteReference w:id="6"/>
      </w:r>
      <w:r w:rsidRPr="00AA7A2A">
        <w:t>,</w:t>
      </w:r>
    </w:p>
    <w:p w:rsidR="0041259C" w:rsidRPr="00AA7A2A" w:rsidRDefault="00AA7A2A">
      <w:pPr>
        <w:pStyle w:val="NormalHanging12a"/>
      </w:pPr>
      <w:r w:rsidRPr="00AA7A2A">
        <w:t>–</w:t>
      </w:r>
      <w:r w:rsidRPr="00AA7A2A">
        <w:tab/>
        <w:t>so zreteľom na vyhlásenie o vierohodnosti</w:t>
      </w:r>
      <w:r w:rsidRPr="00AA7A2A">
        <w:rPr>
          <w:rStyle w:val="FootnoteReference"/>
        </w:rPr>
        <w:footnoteReference w:id="7"/>
      </w:r>
      <w:r w:rsidRPr="00AA7A2A">
        <w:t xml:space="preserve"> vedenia účtov a zákonnosti a správnosti príslušných operácií, ktoré poskytol Dvor audítorov za rozpočtový rok 2022 v súlade s článkom 287 Zmluvy o fungovaní Európskej únie,</w:t>
      </w:r>
    </w:p>
    <w:p w:rsidR="0041259C" w:rsidRPr="00AA7A2A" w:rsidRDefault="00AA7A2A">
      <w:pPr>
        <w:pStyle w:val="NormalHanging12a"/>
      </w:pPr>
      <w:r w:rsidRPr="00AA7A2A">
        <w:t>–</w:t>
      </w:r>
      <w:r w:rsidRPr="00AA7A2A">
        <w:tab/>
        <w:t>so zreteľom na odporúčanie Rady z 22. februára 2024 o udelení absolutória agentúre za plnenie rozpočtu za rozpočtový rok 2022 (06180/2024 – C9</w:t>
      </w:r>
      <w:r w:rsidRPr="00AA7A2A">
        <w:noBreakHyphen/>
        <w:t>0082/2024),</w:t>
      </w:r>
    </w:p>
    <w:p w:rsidR="0041259C" w:rsidRPr="00AA7A2A" w:rsidRDefault="00AA7A2A">
      <w:pPr>
        <w:pStyle w:val="NormalHanging12a"/>
      </w:pPr>
      <w:r w:rsidRPr="00AA7A2A">
        <w:t>–</w:t>
      </w:r>
      <w:r w:rsidRPr="00AA7A2A">
        <w:tab/>
        <w:t>so zreteľom na článok 319 Zmluvy o fungovaní Európskej únie,</w:t>
      </w:r>
    </w:p>
    <w:p w:rsidR="0041259C" w:rsidRPr="00AA7A2A" w:rsidRDefault="00AA7A2A">
      <w:pPr>
        <w:pStyle w:val="NormalHanging12a"/>
      </w:pPr>
      <w:r w:rsidRPr="00AA7A2A">
        <w:t>–</w:t>
      </w:r>
      <w:r w:rsidRPr="00AA7A2A">
        <w:tab/>
        <w:t xml:space="preserve">so zreteľom na nariadenie Európskeho parlamentu a Rady (EÚ, </w:t>
      </w:r>
      <w:proofErr w:type="spellStart"/>
      <w:r w:rsidRPr="00AA7A2A">
        <w:t>Euratom</w:t>
      </w:r>
      <w:proofErr w:type="spellEnd"/>
      <w:r w:rsidRPr="00AA7A2A">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A7A2A">
        <w:t>Euratom</w:t>
      </w:r>
      <w:proofErr w:type="spellEnd"/>
      <w:r w:rsidRPr="00AA7A2A">
        <w:t>) č. 966/2012</w:t>
      </w:r>
      <w:r w:rsidRPr="00AA7A2A">
        <w:rPr>
          <w:rStyle w:val="FootnoteReference"/>
        </w:rPr>
        <w:footnoteReference w:id="8"/>
      </w:r>
      <w:r w:rsidRPr="00AA7A2A">
        <w:t>, a najmä na jeho článok 70,</w:t>
      </w:r>
    </w:p>
    <w:p w:rsidR="0041259C" w:rsidRPr="00AA7A2A" w:rsidRDefault="00AA7A2A">
      <w:pPr>
        <w:pStyle w:val="NormalHanging12a"/>
      </w:pPr>
      <w:r w:rsidRPr="00AA7A2A">
        <w:t>–</w:t>
      </w:r>
      <w:r w:rsidRPr="00AA7A2A">
        <w:tab/>
        <w:t>so zreteľom na nariadenie Európskeho parlamentu a Rady (EÚ) 2015/2219 z 25. novembra 2015, ktorým sa zriaďuje Agentúra Európskej únie pre odbornú prípravu v oblasti presadzovania práva (CEPOL) a zrušuje rozhodnutie Rady 2005/681/SVV</w:t>
      </w:r>
      <w:r w:rsidRPr="00AA7A2A">
        <w:rPr>
          <w:rStyle w:val="FootnoteReference"/>
        </w:rPr>
        <w:footnoteReference w:id="9"/>
      </w:r>
      <w:r w:rsidRPr="00AA7A2A">
        <w:t>, a najmä na jeho článok 20,</w:t>
      </w:r>
    </w:p>
    <w:p w:rsidR="0041259C" w:rsidRPr="00AA7A2A" w:rsidRDefault="00AA7A2A">
      <w:pPr>
        <w:pStyle w:val="NormalHanging12a"/>
      </w:pPr>
      <w:r w:rsidRPr="00AA7A2A">
        <w:t>–</w:t>
      </w:r>
      <w:r w:rsidRPr="00AA7A2A">
        <w:tab/>
        <w:t>so zreteľom na delegované nariadenie Komisie (EÚ) 2019/715 z 18. decembra 2018 o rámcovom nariadení o rozpočtových pravidlách pre subjekty zriadené podľa ZFEÚ a Zmluvy o </w:t>
      </w:r>
      <w:proofErr w:type="spellStart"/>
      <w:r w:rsidRPr="00AA7A2A">
        <w:t>Euratome</w:t>
      </w:r>
      <w:proofErr w:type="spellEnd"/>
      <w:r w:rsidRPr="00AA7A2A">
        <w:t xml:space="preserve"> a uvedené v článku 70 nariadenia Európskeho parlamentu a Rady (EÚ, </w:t>
      </w:r>
      <w:proofErr w:type="spellStart"/>
      <w:r w:rsidRPr="00AA7A2A">
        <w:t>Euratom</w:t>
      </w:r>
      <w:proofErr w:type="spellEnd"/>
      <w:r w:rsidRPr="00AA7A2A">
        <w:t xml:space="preserve">) </w:t>
      </w:r>
      <w:bookmarkStart w:id="8" w:name="_GoBack"/>
      <w:bookmarkEnd w:id="8"/>
      <w:r w:rsidRPr="00AA7A2A">
        <w:t>2018/1046</w:t>
      </w:r>
      <w:r w:rsidRPr="00AA7A2A">
        <w:rPr>
          <w:rStyle w:val="FootnoteReference"/>
        </w:rPr>
        <w:footnoteReference w:id="10"/>
      </w:r>
      <w:r w:rsidRPr="00AA7A2A">
        <w:t>, a najmä na jeho článok 105,</w:t>
      </w:r>
    </w:p>
    <w:p w:rsidR="0041259C" w:rsidRPr="00AA7A2A" w:rsidRDefault="00AA7A2A">
      <w:pPr>
        <w:pStyle w:val="NormalHanging12a"/>
      </w:pPr>
      <w:r w:rsidRPr="00AA7A2A">
        <w:t>–</w:t>
      </w:r>
      <w:r w:rsidRPr="00AA7A2A">
        <w:tab/>
        <w:t>so zreteľom na článok 100 a prílohu V k rokovaciemu poriadku,</w:t>
      </w:r>
    </w:p>
    <w:p w:rsidR="0041259C" w:rsidRPr="00AA7A2A" w:rsidRDefault="00AA7A2A">
      <w:pPr>
        <w:pStyle w:val="NormalHanging12a"/>
      </w:pPr>
      <w:r w:rsidRPr="00AA7A2A">
        <w:t>–</w:t>
      </w:r>
      <w:r w:rsidRPr="00AA7A2A">
        <w:tab/>
        <w:t>so zreteľom na stanovisko Výboru pre občianske slobody, spravodlivosť a vnútorné veci,</w:t>
      </w:r>
    </w:p>
    <w:p w:rsidR="0041259C" w:rsidRPr="00AA7A2A" w:rsidRDefault="00AA7A2A">
      <w:pPr>
        <w:pStyle w:val="NormalHanging12a"/>
      </w:pPr>
      <w:r w:rsidRPr="00AA7A2A">
        <w:t>–</w:t>
      </w:r>
      <w:r w:rsidRPr="00AA7A2A">
        <w:tab/>
        <w:t>so zreteľom na správu Výboru pre kontrolu rozpočtu (A9-0098/2024),</w:t>
      </w:r>
    </w:p>
    <w:p w:rsidR="0041259C" w:rsidRPr="00AA7A2A" w:rsidRDefault="00AA7A2A">
      <w:pPr>
        <w:pStyle w:val="NormalHanging12a"/>
      </w:pPr>
      <w:r w:rsidRPr="00AA7A2A">
        <w:t>1.</w:t>
      </w:r>
      <w:r w:rsidRPr="00AA7A2A">
        <w:tab/>
        <w:t xml:space="preserve">schvaľuje účtovnú závierku Agentúry Európskej únie pre odbornú prípravu v oblasti </w:t>
      </w:r>
      <w:r w:rsidRPr="00AA7A2A">
        <w:lastRenderedPageBreak/>
        <w:t>presadzovania práva (CEPOL) za rozpočtový rok 2022;</w:t>
      </w:r>
    </w:p>
    <w:p w:rsidR="0041259C" w:rsidRPr="00AA7A2A" w:rsidRDefault="00AA7A2A">
      <w:pPr>
        <w:pStyle w:val="NormalHanging12a"/>
      </w:pPr>
      <w:r w:rsidRPr="00AA7A2A">
        <w:t>2.</w:t>
      </w:r>
      <w:r w:rsidRPr="00AA7A2A">
        <w:tab/>
        <w:t>poveruje svoju predsedníčku, aby postúpila toto rozhodnutie výkonnej riaditeľke Agentúry Európskej únie pre odbornú prípravu v oblasti presadzovania práva (CEPOL), Rade, Komisii a Dvoru audítorov a aby zabezpečila jeho uverejnenie v </w:t>
      </w:r>
      <w:r w:rsidRPr="00AA7A2A">
        <w:rPr>
          <w:i/>
          <w:iCs/>
        </w:rPr>
        <w:t>Úradnom vestníku Európskej únie</w:t>
      </w:r>
      <w:r w:rsidRPr="00AA7A2A">
        <w:t xml:space="preserve"> (v sérii L).</w:t>
      </w:r>
    </w:p>
    <w:p w:rsidR="0041259C" w:rsidRPr="00AA7A2A" w:rsidRDefault="0041259C"/>
    <w:p w:rsidR="0041259C" w:rsidRPr="00AA7A2A" w:rsidRDefault="0041259C">
      <w:pPr>
        <w:widowControl/>
        <w:rPr>
          <w:rFonts w:ascii="Arial" w:hAnsi="Arial" w:cs="Arial"/>
          <w:b/>
        </w:rPr>
        <w:sectPr w:rsidR="0041259C" w:rsidRPr="00AA7A2A">
          <w:footnotePr>
            <w:numRestart w:val="eachPage"/>
          </w:footnotePr>
          <w:endnotePr>
            <w:numFmt w:val="decimal"/>
          </w:endnotePr>
          <w:pgSz w:w="11906" w:h="16838"/>
          <w:pgMar w:top="1134" w:right="1418" w:bottom="1418" w:left="1418" w:header="567" w:footer="567" w:gutter="0"/>
          <w:cols w:space="720"/>
          <w:docGrid w:linePitch="326"/>
        </w:sectPr>
      </w:pPr>
    </w:p>
    <w:p w:rsidR="0041259C" w:rsidRPr="00AA7A2A" w:rsidRDefault="00AA7A2A">
      <w:pPr>
        <w:pStyle w:val="NormalBold"/>
      </w:pPr>
      <w:r w:rsidRPr="00AA7A2A">
        <w:lastRenderedPageBreak/>
        <w:t>3. Uznesenie Európskeho parlamentu z 11. apríla 2024 s poznámkami, ktoré je neoddeliteľnou súčasťou rozhodnutia o absolutóriu za plnenie rozpočtu Agentúry Európskej únie pre odbornú prípravu v oblasti presadzovania práva (CEPOL) za rozpočtový rok 2022 (2023/2144(DEC))</w:t>
      </w:r>
    </w:p>
    <w:p w:rsidR="0041259C" w:rsidRPr="00AA7A2A" w:rsidRDefault="00AA7A2A">
      <w:pPr>
        <w:pStyle w:val="EPComma"/>
      </w:pPr>
      <w:r w:rsidRPr="00AA7A2A">
        <w:rPr>
          <w:i/>
          <w:iCs/>
        </w:rPr>
        <w:t>Európsky parlament</w:t>
      </w:r>
      <w:r w:rsidRPr="00AA7A2A">
        <w:t>,</w:t>
      </w:r>
    </w:p>
    <w:p w:rsidR="0041259C" w:rsidRPr="00AA7A2A" w:rsidRDefault="00AA7A2A">
      <w:pPr>
        <w:pStyle w:val="NormalHanging12a"/>
      </w:pPr>
      <w:r w:rsidRPr="00AA7A2A">
        <w:t>–</w:t>
      </w:r>
      <w:r w:rsidRPr="00AA7A2A">
        <w:tab/>
        <w:t>so zreteľom na svoje rozhodnutie o absolutóriu za plnenie rozpočtu Agentúry Európskej únie pre odbornú prípravu v oblasti presadzovania práva (CEPOL) za rozpočtový rok 2022,</w:t>
      </w:r>
    </w:p>
    <w:p w:rsidR="0041259C" w:rsidRPr="00AA7A2A" w:rsidRDefault="00AA7A2A">
      <w:pPr>
        <w:pStyle w:val="NormalHanging12a"/>
      </w:pPr>
      <w:r w:rsidRPr="00AA7A2A">
        <w:t>–</w:t>
      </w:r>
      <w:r w:rsidRPr="00AA7A2A">
        <w:tab/>
        <w:t>so zreteľom na článok 100 a prílohu V k rokovaciemu poriadku,</w:t>
      </w:r>
    </w:p>
    <w:p w:rsidR="0041259C" w:rsidRPr="00AA7A2A" w:rsidRDefault="00AA7A2A">
      <w:pPr>
        <w:pStyle w:val="NormalHanging12a"/>
      </w:pPr>
      <w:r w:rsidRPr="00AA7A2A">
        <w:t>–</w:t>
      </w:r>
      <w:r w:rsidRPr="00AA7A2A">
        <w:tab/>
        <w:t>so zreteľom na stanovisko Výboru pre občianske slobody, spravodlivosť a vnútorné veci,</w:t>
      </w:r>
    </w:p>
    <w:p w:rsidR="0041259C" w:rsidRPr="00AA7A2A" w:rsidRDefault="00AA7A2A">
      <w:pPr>
        <w:pStyle w:val="NormalHanging12a"/>
      </w:pPr>
      <w:r w:rsidRPr="00AA7A2A">
        <w:t>–</w:t>
      </w:r>
      <w:r w:rsidRPr="00AA7A2A">
        <w:tab/>
        <w:t>so zreteľom na správu Výboru pre kontrolu rozpočtu (A9-0098/2024),</w:t>
      </w:r>
    </w:p>
    <w:p w:rsidR="0041259C" w:rsidRPr="00AA7A2A" w:rsidRDefault="00AA7A2A">
      <w:pPr>
        <w:pStyle w:val="ListParagraph"/>
        <w:widowControl w:val="0"/>
        <w:spacing w:after="240"/>
        <w:ind w:left="567" w:hanging="567"/>
        <w:contextualSpacing w:val="0"/>
        <w:jc w:val="left"/>
        <w:rPr>
          <w:rFonts w:eastAsia="Times New Roman"/>
        </w:rPr>
      </w:pPr>
      <w:r w:rsidRPr="00AA7A2A">
        <w:t>A.</w:t>
      </w:r>
      <w:r w:rsidRPr="00AA7A2A">
        <w:tab/>
        <w:t>keďže podľa výkazu príjmov a výdavkov</w:t>
      </w:r>
      <w:r w:rsidRPr="00AA7A2A">
        <w:rPr>
          <w:rStyle w:val="FootnoteReference"/>
          <w:rFonts w:eastAsia="Times New Roman"/>
          <w:lang w:eastAsia="en-GB"/>
        </w:rPr>
        <w:footnoteReference w:id="11"/>
      </w:r>
      <w:r w:rsidRPr="00AA7A2A">
        <w:t xml:space="preserve"> predstavoval konečný rozpočet Agentúry Európskej únie pre odbornú prípravu v oblasti presadzovania práva (ďalej len „agentúra CEPOL“) za rozpočtový rok 2022 sumu 28 295 362 EUR, čo v porovnaní s rokom 2021 predstavuje pokles o 5,82 %; keďže agentúra je financovaná z príspevku Únie a vonkajších pripísaných príjmov na konkrétne projekty;</w:t>
      </w:r>
    </w:p>
    <w:p w:rsidR="0041259C" w:rsidRPr="00AA7A2A" w:rsidRDefault="00AA7A2A">
      <w:pPr>
        <w:spacing w:after="240"/>
        <w:ind w:left="567" w:hanging="567"/>
        <w:rPr>
          <w:szCs w:val="24"/>
        </w:rPr>
      </w:pPr>
      <w:r w:rsidRPr="00AA7A2A">
        <w:t>B.</w:t>
      </w:r>
      <w:r w:rsidRPr="00AA7A2A">
        <w:tab/>
        <w:t>keďže Dvor audítorov vo svojej správe o overení ročnej účtovnej závierky agentúry za rozpočtový rok 2022 (ďalej len „správa Dvora audítorov“) uvádza, že získal primeranú istotu o tom, že ročná účtovná závierka agentúry je spoľahlivá a že príslušné operácie, pokiaľ ide o príjmy, sú zákonné a správne vo všetkých významných aspektoch; keďže Dvor audítorov zistil neoprávnené platby v celkovej výške 4,2 milióna EUR, z toho 4,1 milióna EUR v súvislosti s 359 platbami vykonanými na základe dvoch rámcových zmlúv, ktoré boli realizované prostredníctvom žiadostí o poskytnutie služieb zaslaných zamestnancami, ktorí nemali oprávnenie prijímať právne záväzky v mene agentúry, a 152 655 EUR ako platby vykonané v roku 2022 na základe rámcovej zmluvy, v súvislosti s ktorou nebolo možné zosúladiť niektoré vyplatené sumy s poskytnutými službami, čo predstavuje celkovo 13,5 % platobných rozpočtových prostriedkov dostupných v roku 2022, čím sa prekročila hranica významnosti stanovená pre audit, a preto bolo vydané stanovisko s výhradami k zákonnosti a správnosti platieb súvisiacich s účtovnou závierkou; keďže s výnimkou týchto nevyhovujúcich platieb Dvor audítorov dospel k záveru, že príslušné operácie, pokiaľ ide o platby za rok končiaci sa 31. decembra 2022, sú zo všetkých významných hľadísk zákonné a správne;</w:t>
      </w:r>
    </w:p>
    <w:p w:rsidR="0041259C" w:rsidRPr="00AA7A2A" w:rsidRDefault="00AA7A2A">
      <w:pPr>
        <w:spacing w:after="240"/>
        <w:ind w:left="567" w:hanging="567"/>
        <w:rPr>
          <w:b/>
          <w:i/>
          <w:szCs w:val="24"/>
        </w:rPr>
      </w:pPr>
      <w:r w:rsidRPr="00AA7A2A">
        <w:rPr>
          <w:b/>
          <w:i/>
        </w:rPr>
        <w:t>Rozpočtové a finančné riadenie</w:t>
      </w:r>
    </w:p>
    <w:p w:rsidR="0041259C" w:rsidRPr="00AA7A2A" w:rsidRDefault="00AA7A2A">
      <w:pPr>
        <w:spacing w:after="240"/>
        <w:ind w:left="567" w:hanging="567"/>
        <w:rPr>
          <w:szCs w:val="24"/>
        </w:rPr>
      </w:pPr>
      <w:r w:rsidRPr="00AA7A2A">
        <w:t>1.</w:t>
      </w:r>
      <w:r w:rsidRPr="00AA7A2A">
        <w:rPr>
          <w:color w:val="FFFFFF" w:themeColor="background1"/>
        </w:rPr>
        <w:tab/>
      </w:r>
      <w:r w:rsidRPr="00AA7A2A">
        <w:t xml:space="preserve">s uznaním konštatuje, že úsilie o monitorovanie rozpočtu v priebehu rozpočtového roka 2022 prinieslo mieru plnenia rozpočtu na úrovni 100 %, čo v porovnaní s rokom 2021 predstavuje zvýšenie o 3,21 %; konštatuje, že miera plnenia platobných rozpočtových prostriedkov bola 84,66 %, čo v porovnaní s rokom 2021 predstavuje zvýšenie o 12,93 %; ďalej poznamenáva, že 1,6 milióna EUR, čo predstavuje 15 % záväzkov v roku 2022, bolo prenesených do roku 2023; konštatuje, že miera plnenia rozpočtu </w:t>
      </w:r>
      <w:r w:rsidRPr="00AA7A2A">
        <w:lastRenderedPageBreak/>
        <w:t>v súvislosti s prostriedkami vonkajšej pomoci Únie určenými na pomoc tretím krajinám pri budovaní ich kapacít v príslušných oblastiach politiky presadzovania práva dosiahla 48,5 % do konca roka 2022;</w:t>
      </w:r>
    </w:p>
    <w:p w:rsidR="0041259C" w:rsidRPr="00AA7A2A" w:rsidRDefault="00AA7A2A">
      <w:pPr>
        <w:spacing w:after="240"/>
        <w:ind w:left="567" w:hanging="567"/>
        <w:rPr>
          <w:b/>
          <w:i/>
          <w:szCs w:val="24"/>
        </w:rPr>
      </w:pPr>
      <w:r w:rsidRPr="00AA7A2A">
        <w:rPr>
          <w:b/>
          <w:i/>
        </w:rPr>
        <w:t>Výkonnosť</w:t>
      </w:r>
    </w:p>
    <w:p w:rsidR="0041259C" w:rsidRPr="00AA7A2A" w:rsidRDefault="00AA7A2A">
      <w:pPr>
        <w:spacing w:after="240"/>
        <w:ind w:left="567" w:hanging="567"/>
        <w:rPr>
          <w:szCs w:val="24"/>
        </w:rPr>
      </w:pPr>
      <w:r w:rsidRPr="00AA7A2A">
        <w:t>2.</w:t>
      </w:r>
      <w:r w:rsidRPr="00AA7A2A">
        <w:tab/>
        <w:t>vyjadruje agentúre uznanie za 100 % mieru realizácie pracovného programu na rok 2022, a to na základe skutočnosti, že sa uskutočnilo 418 činností odbornej prípravy oproti 417 plánovaným činnostiam; konštatuje, že v roku 2022 agentúra pokračovala v poskytovaní odbornej prípravy pre komunitu orgánov presadzovania práva tým, že sa v maximálnej možnej miere vrátila k online prostrediu; s uznaním berie na vedomie, že miera spokojnosti zákazníkov zostala v roku 2022 vysoká, keď 97 % účastníkov činností odbornej prípravy agentúry vyhlásilo, že sú spokojní alebo veľmi spokojní;</w:t>
      </w:r>
    </w:p>
    <w:p w:rsidR="0041259C" w:rsidRPr="00AA7A2A" w:rsidRDefault="00AA7A2A">
      <w:pPr>
        <w:spacing w:after="240"/>
        <w:ind w:left="567" w:hanging="567"/>
        <w:rPr>
          <w:szCs w:val="24"/>
        </w:rPr>
      </w:pPr>
      <w:r w:rsidRPr="00AA7A2A">
        <w:t>3.</w:t>
      </w:r>
      <w:r w:rsidRPr="00AA7A2A">
        <w:tab/>
        <w:t>s uspokojením konštatuje, že agentúra používa určité opatrenia, ako sú kľúčové ukazovatele výkonnosti, s cieľom posúdiť pridanú hodnotu, ktorú poskytujú jej činnosti a ďalšie opatrenia, aby mohla zlepšiť svoje rozpočtové riadenie; konštatuje, že v roku 2022 boli dosiahnuté takmer všetky kľúčové ukazovatele výkonnosti a len jeden zostal v plnení s termínom do konca roka 2023, a to kľúčový ukazovateľ výkonnosti týkajúci sa percentuálneho podielu odporúčaní z auditu uzavretých v súlade s dohodnutým akčným plánom;</w:t>
      </w:r>
    </w:p>
    <w:p w:rsidR="0041259C" w:rsidRPr="00AA7A2A" w:rsidRDefault="00AA7A2A">
      <w:pPr>
        <w:spacing w:after="240"/>
        <w:ind w:left="567" w:hanging="567"/>
        <w:rPr>
          <w:szCs w:val="24"/>
        </w:rPr>
      </w:pPr>
      <w:r w:rsidRPr="00AA7A2A">
        <w:t>4.</w:t>
      </w:r>
      <w:r w:rsidRPr="00AA7A2A">
        <w:tab/>
        <w:t>s uznaním konštatuje, že v roku 2022 sa na odbornej príprave agentúry zúčastnilo 43 838 účastníkov, čo predstavuje značný dosah v porovnaní s plánovaným počtom 27 800 účastníkov; vyjadruje agentúre uznanie za zverejnenie druhého strategického hodnotenia potrieb EÚ v oblasti odbornej prípravy, v ktorom sa identifikujú strategické potreby a potreby v oblasti odbornej prípravy príslušníkov orgánov presadzovania práva pre nasledujúci cyklus Európskej multidisciplinárnej platformy proti hrozbám trestnej činnosti na roky 2022 – 2025, a za začatie jeho realizácie; ďalej berie na vedomie, že novovymenovaná výkonná riaditeľka agentúry iniciovala v roku 2022 vypracovanie novej stratégie, v ktorej sa stanoví smerovanie agentúry na obdobie rokov 2023 – 2027; ďalej oceňuje strategický dokument expertnej skupiny pre základné práva, ktorého cieľom je zahrnúť základné aspekty do všetkých činností odbornej prípravy; s uspokojením konštatuje, že v roku 2022 sa uskutočnil ad hoc kurz odbornej prípravy zameraný na ochranu investigatívnych novinárov; víta osobitné opatrenia odbornej prípravy na témy trestných činov z nenávisti, ktorými sa šíria poznatky o účinných riešeniach týkajúcich sa podpory obetí;</w:t>
      </w:r>
    </w:p>
    <w:p w:rsidR="0041259C" w:rsidRPr="00AA7A2A" w:rsidRDefault="00AA7A2A">
      <w:pPr>
        <w:pStyle w:val="NormalHanging12a"/>
      </w:pPr>
      <w:r w:rsidRPr="00AA7A2A">
        <w:t>5.</w:t>
      </w:r>
      <w:r w:rsidRPr="00AA7A2A">
        <w:tab/>
        <w:t>oceňuje rýchlu reakciu agentúry na neodôvodnenú vojnu na Ukrajine a skutočnosť, že v spolupráci s Radou Európy pripravila pre ukrajinskú generálnu prokuratúru na mieru šitý kurz spravodajských informácií z otvorených zdrojov;</w:t>
      </w:r>
    </w:p>
    <w:p w:rsidR="0041259C" w:rsidRPr="00AA7A2A" w:rsidRDefault="00AA7A2A">
      <w:pPr>
        <w:spacing w:after="240"/>
        <w:ind w:left="567" w:hanging="567"/>
        <w:rPr>
          <w:szCs w:val="24"/>
        </w:rPr>
      </w:pPr>
      <w:r w:rsidRPr="00AA7A2A">
        <w:t>6.</w:t>
      </w:r>
      <w:r w:rsidRPr="00AA7A2A">
        <w:tab/>
        <w:t>v konsolidovanej výročnej správe o činnosti agentúry za rok 2022 sa uvádza, že exponenciálny nárast počtu ponúkanej odbornej prípravy v posledných rokoch (z 18 000 v roku 2016 na takmer 44 000 v roku 2022) odráža rastúci dopyt po činnostiach odbornej prípravy, ktoré agentúra musí poskytovať; v tejto súvislosti konštatuje, že v roku 2022 by sa táto požiadavka kvôli nedostatočným zdrojom mohla realizovať len zvýšením online zložky vzdelávania, čo úplne neuspokojuje potreby zainteresovaných strán; podporuje cieľ agentúry pokračovať v poskytovaní multidisciplinárnych aktivít, ktoré priťahujú účastníkov z radov polície, colníkov aj pohraničníkov;</w:t>
      </w:r>
    </w:p>
    <w:p w:rsidR="0041259C" w:rsidRPr="00AA7A2A" w:rsidRDefault="00AA7A2A">
      <w:pPr>
        <w:spacing w:after="240"/>
        <w:ind w:left="567" w:hanging="567"/>
        <w:rPr>
          <w:szCs w:val="24"/>
        </w:rPr>
      </w:pPr>
      <w:r w:rsidRPr="00AA7A2A">
        <w:lastRenderedPageBreak/>
        <w:t>7.</w:t>
      </w:r>
      <w:r w:rsidRPr="00AA7A2A">
        <w:tab/>
        <w:t>konštatuje, že v roku 2022 agentúra naďalej úspešne realizovala štyri projekty budovania kapacít v tretích krajinách, ktoré priamo prispievajú k posilneniu vnútornej bezpečnosti Únie, ako aj činnosti odbornej prípravy pod záštitou znalostného centra CEPOL pre boj proti terorizmu a znalostného centra CEPOL pre spoluprácu v oblasti presadzovania práva, výmenu informácií a </w:t>
      </w:r>
      <w:proofErr w:type="spellStart"/>
      <w:r w:rsidRPr="00AA7A2A">
        <w:t>interoperabilitu</w:t>
      </w:r>
      <w:proofErr w:type="spellEnd"/>
      <w:r w:rsidRPr="00AA7A2A">
        <w:t xml:space="preserve">; víta úspešnú realizáciu konferencie CEPOL </w:t>
      </w:r>
      <w:proofErr w:type="spellStart"/>
      <w:r w:rsidRPr="00AA7A2A">
        <w:t>Research</w:t>
      </w:r>
      <w:proofErr w:type="spellEnd"/>
      <w:r w:rsidRPr="00AA7A2A">
        <w:t xml:space="preserve"> &amp; </w:t>
      </w:r>
      <w:proofErr w:type="spellStart"/>
      <w:r w:rsidRPr="00AA7A2A">
        <w:t>Science</w:t>
      </w:r>
      <w:proofErr w:type="spellEnd"/>
      <w:r w:rsidRPr="00AA7A2A">
        <w:t xml:space="preserve"> v spolupráci s </w:t>
      </w:r>
      <w:proofErr w:type="spellStart"/>
      <w:r w:rsidRPr="00AA7A2A">
        <w:t>Mykolas</w:t>
      </w:r>
      <w:proofErr w:type="spellEnd"/>
      <w:r w:rsidRPr="00AA7A2A">
        <w:t xml:space="preserve"> </w:t>
      </w:r>
      <w:proofErr w:type="spellStart"/>
      <w:r w:rsidRPr="00AA7A2A">
        <w:t>Romeris</w:t>
      </w:r>
      <w:proofErr w:type="spellEnd"/>
      <w:r w:rsidRPr="00AA7A2A">
        <w:t xml:space="preserve"> </w:t>
      </w:r>
      <w:proofErr w:type="spellStart"/>
      <w:r w:rsidRPr="00AA7A2A">
        <w:t>University</w:t>
      </w:r>
      <w:proofErr w:type="spellEnd"/>
      <w:r w:rsidRPr="00AA7A2A">
        <w:t xml:space="preserve"> vo Vilniuse v Litve, ktorá posilnila spoluprácu medzi sektormi presadzovania práva a výskumu a na ktorej sa zúčastnilo takmer 200 účastníkov;</w:t>
      </w:r>
    </w:p>
    <w:p w:rsidR="0041259C" w:rsidRPr="00AA7A2A" w:rsidRDefault="00AA7A2A">
      <w:pPr>
        <w:pStyle w:val="NormalHanging12a"/>
      </w:pPr>
      <w:r w:rsidRPr="00AA7A2A">
        <w:t>8.</w:t>
      </w:r>
      <w:r w:rsidRPr="00AA7A2A">
        <w:tab/>
        <w:t xml:space="preserve">pripomína, že odborná príprava v oblasti presadzovania práva na úrovni Únie musí zohľadňovať priority Únie v súlade s potrebami členských štátov v oblasti odbornej prípravy a podporovať reakciu Únie na závažnú a organizovanú trestnú činnosť a iné hrozby pre vnútornú bezpečnosť a že ochrana základných práv by tiež mala byť ústredným pilierom činností odbornej prípravy agentúry; berie na vedomie činnosti odbornej prípravy v oblasti boja proti terorizmu vrátane oblasti financovania terorizmu, terorizmu a strelných zbraní, zahraničných teroristických bojovníkov a činností zameraných proti extrémizmu a </w:t>
      </w:r>
      <w:proofErr w:type="spellStart"/>
      <w:r w:rsidRPr="00AA7A2A">
        <w:t>radikalizácii</w:t>
      </w:r>
      <w:proofErr w:type="spellEnd"/>
      <w:r w:rsidRPr="00AA7A2A">
        <w:t xml:space="preserve">; požaduje viac kurzov odbornej prípravy v oblasti počítačovej kriminality, počítačovej </w:t>
      </w:r>
      <w:proofErr w:type="spellStart"/>
      <w:r w:rsidRPr="00AA7A2A">
        <w:t>forenznej</w:t>
      </w:r>
      <w:proofErr w:type="spellEnd"/>
      <w:r w:rsidRPr="00AA7A2A">
        <w:t xml:space="preserve"> analýzy, umelej inteligencie, ochrany údajov, základných práv a boja proti rasizmu na úrovni Únie; vyzýva agentúru, aby pri všetkých svojich činnostiach, najmä činnostiach s tretími krajinami, zabezpečila plnú transparentnosť a úplné dodržiavanie základných práv;</w:t>
      </w:r>
    </w:p>
    <w:p w:rsidR="0041259C" w:rsidRPr="00AA7A2A" w:rsidRDefault="00AA7A2A">
      <w:pPr>
        <w:spacing w:after="240"/>
        <w:ind w:left="567" w:hanging="567"/>
        <w:rPr>
          <w:szCs w:val="24"/>
        </w:rPr>
      </w:pPr>
      <w:r w:rsidRPr="00AA7A2A">
        <w:t>9.</w:t>
      </w:r>
      <w:r w:rsidRPr="00AA7A2A">
        <w:tab/>
        <w:t>konštatuje, že agentúra úspešne udržala certifikáciu podľa normy ISO 9001:2015 s názvom Systém manažérstva kvality a uskutočnila prípravy na ďalšie rozšírenie používania normy ISO 29993:2017 pre vzdelávacie služby, čo naďalej dokazuje, že agentúra zabezpečuje efektívne fungovanie systému kvality;</w:t>
      </w:r>
    </w:p>
    <w:p w:rsidR="0041259C" w:rsidRPr="00AA7A2A" w:rsidRDefault="00AA7A2A">
      <w:pPr>
        <w:widowControl/>
        <w:spacing w:after="240"/>
        <w:ind w:left="567" w:hanging="567"/>
        <w:rPr>
          <w:b/>
          <w:i/>
          <w:szCs w:val="24"/>
        </w:rPr>
      </w:pPr>
      <w:r w:rsidRPr="00AA7A2A">
        <w:rPr>
          <w:b/>
          <w:i/>
        </w:rPr>
        <w:t>Efektívnosť a prínos</w:t>
      </w:r>
    </w:p>
    <w:p w:rsidR="0041259C" w:rsidRPr="00AA7A2A" w:rsidRDefault="00AA7A2A">
      <w:pPr>
        <w:spacing w:after="240"/>
        <w:ind w:left="567" w:hanging="567"/>
        <w:rPr>
          <w:szCs w:val="24"/>
        </w:rPr>
      </w:pPr>
      <w:r w:rsidRPr="00AA7A2A">
        <w:t>10.</w:t>
      </w:r>
      <w:r w:rsidRPr="00AA7A2A">
        <w:tab/>
        <w:t xml:space="preserve">konštatuje, že agentúra naďalej úzko spolupracuje so sieťou agentúr pre spravodlivosť a vnútorné veci a s agentúrami, ktoré ju tvoria, najmä s </w:t>
      </w:r>
      <w:r w:rsidRPr="00AA7A2A">
        <w:rPr>
          <w:rStyle w:val="pointer"/>
        </w:rPr>
        <w:t>Agentúrou Európskej únie pre spoluprácu v oblasti presadzovania práva</w:t>
      </w:r>
      <w:r w:rsidRPr="00AA7A2A">
        <w:t> (</w:t>
      </w:r>
      <w:proofErr w:type="spellStart"/>
      <w:r w:rsidRPr="00AA7A2A">
        <w:t>Europol</w:t>
      </w:r>
      <w:proofErr w:type="spellEnd"/>
      <w:r w:rsidRPr="00AA7A2A">
        <w:t xml:space="preserve">) a Európskou agentúrou pre pohraničnú a pobrežnú stráž, a to prostredníctvom spoločných činností v oblasti odbornej prípravy a organizovania spoločných kurzov; v tejto súvislosti poznamenáva, že agentúra v roku 2022 predsedala sieti agentúr pre spravodlivosť a vnútorné veci; ďalej berie na vedomie, že agentúra má od roku 2023 uzavretú dohodu s Európskym monitorovacím centrom pre drogy a drogovú závislosť (EMCDDA) o poskytovaní nájomného v rámci vzdelávacej platformy </w:t>
      </w:r>
      <w:proofErr w:type="spellStart"/>
      <w:r w:rsidRPr="00AA7A2A">
        <w:t>LEEd</w:t>
      </w:r>
      <w:proofErr w:type="spellEnd"/>
      <w:r w:rsidRPr="00AA7A2A">
        <w:t xml:space="preserve"> agentúry, čím EMCDDA bezplatne poskytuje modernú vzdelávaciu platformu pre jeho komunitu; vyzýva agentúru, aby pokračovala v spolupráci s ostatnými agentúrami, aby sa mohli využiť všetky dostupné zdroje;</w:t>
      </w:r>
    </w:p>
    <w:p w:rsidR="0041259C" w:rsidRPr="00AA7A2A" w:rsidRDefault="00AA7A2A">
      <w:pPr>
        <w:spacing w:after="240"/>
        <w:ind w:left="567" w:hanging="567"/>
        <w:rPr>
          <w:szCs w:val="24"/>
        </w:rPr>
      </w:pPr>
      <w:r w:rsidRPr="00AA7A2A">
        <w:t>11.</w:t>
      </w:r>
      <w:r w:rsidRPr="00AA7A2A">
        <w:tab/>
        <w:t>vyjadruje agentúre pochvalu za dosiahnutie pomerne vysokej úrovne digitalizácie prostredníctvom mnohých procesov, ktoré boli prevedené na bezpapierové/elektronické, napríklad elektronický systém predkladania ponúk pre otvorené konania a elektronické verejné obstarávanie, elektronický nábor zamestnancov, elektronické riadenie ľudských zdrojov (SYSPER), elektronická fakturácia, elektronické rezervácie cestovných lístkov, často v úzkej spolupráci s Generálnym riaditeľstvom Komisie pre digitálne služby;</w:t>
      </w:r>
    </w:p>
    <w:p w:rsidR="0041259C" w:rsidRPr="00AA7A2A" w:rsidRDefault="00AA7A2A">
      <w:pPr>
        <w:spacing w:after="240"/>
        <w:ind w:left="567" w:hanging="567"/>
        <w:rPr>
          <w:szCs w:val="24"/>
        </w:rPr>
      </w:pPr>
      <w:r w:rsidRPr="00AA7A2A">
        <w:t>12.</w:t>
      </w:r>
      <w:r w:rsidRPr="00AA7A2A">
        <w:tab/>
        <w:t xml:space="preserve">konštatuje, že agentúra má vnútorné pravidlá, podľa ktorých by zamestnanci (a účastníci odbornej prípravy) mali pri krátkych vzdialenostiach namiesto leteckej dopravy </w:t>
      </w:r>
      <w:r w:rsidRPr="00AA7A2A">
        <w:lastRenderedPageBreak/>
        <w:t>využívať alternatívne možnosti prepravy, ako sú vlak alebo autobus; s uznaním konštatuje, že od roku 2022 agentúra ponúka svojim zamestnancom preplácanie nákladov na využívanie verejnej dopravy; ďalej poznamenáva, že mnohé zasadnutia expertných skupín, ktoré sa predtým konali na mieste, sa teraz konajú online; vyjadruje poľutovanie nad tým, že agentúra nemá zavedený systém na objektívne a podrobné monitorovanie vývoja ziskov a úspor v jednotlivých rokoch, a vyzýva agentúru, aby takýto systém zaviedla;</w:t>
      </w:r>
    </w:p>
    <w:p w:rsidR="0041259C" w:rsidRPr="00AA7A2A" w:rsidRDefault="00AA7A2A">
      <w:pPr>
        <w:spacing w:after="240"/>
        <w:ind w:left="567" w:hanging="567"/>
        <w:rPr>
          <w:szCs w:val="24"/>
        </w:rPr>
      </w:pPr>
      <w:r w:rsidRPr="00AA7A2A">
        <w:t>13.</w:t>
      </w:r>
      <w:r w:rsidRPr="00AA7A2A">
        <w:tab/>
        <w:t>na základe správy Dvora audítorov konštatuje, že agentúra nemá organizačný plán na zlepšenie energetickej efektívnosti a klimatickej neutrality svojich operácií; vyjadruje poľutovanie nad tým, že agentúra ešte nezačala proces certifikácie v rámci schémy environmentálneho manažérstva a auditu (ďalej len „EMAS“); poznamenáva však, že v požiadavkách na novú budovu svojho sídla agentúra uviedla, že v blízkej budúcnosti prejde na certifikáciu EMAS; v tej istej súvislosti konštatuje, že agentúra sa riadi usmerneniami Komisie, podľa ktorých sú vo väčšine postupov verejného obstarávania zahrnuté aj kritériá na vyhodnotenie ponúk týkajúce sa environmentálnych aspektov; vyzýva agentúru, aby nasledovala príklady v oblasti zeleného obstarávania od iných partnerských agentúr;</w:t>
      </w:r>
    </w:p>
    <w:p w:rsidR="0041259C" w:rsidRPr="00AA7A2A" w:rsidRDefault="00AA7A2A">
      <w:pPr>
        <w:spacing w:after="240"/>
        <w:ind w:left="567" w:hanging="567"/>
        <w:rPr>
          <w:b/>
          <w:i/>
          <w:szCs w:val="24"/>
        </w:rPr>
      </w:pPr>
      <w:r w:rsidRPr="00AA7A2A">
        <w:rPr>
          <w:b/>
          <w:i/>
        </w:rPr>
        <w:t>Personálna politika</w:t>
      </w:r>
    </w:p>
    <w:p w:rsidR="0041259C" w:rsidRPr="00AA7A2A" w:rsidRDefault="00AA7A2A">
      <w:pPr>
        <w:spacing w:after="240"/>
        <w:ind w:left="567" w:hanging="567"/>
        <w:rPr>
          <w:szCs w:val="24"/>
        </w:rPr>
      </w:pPr>
      <w:r w:rsidRPr="00AA7A2A">
        <w:t>14.</w:t>
      </w:r>
      <w:r w:rsidRPr="00AA7A2A">
        <w:tab/>
        <w:t>konštatuje, že k 31. decembru 2022 bol plán pracovných miest naplnený na 79 %, pričom z 33 dočasných zamestnancov schválených v rámci rozpočtu Únie bolo vymenovaných 26 (rovnaký počet schválených miest ako v roku 2021); konštatuje, že okrem toho v roku 2022 pracovalo pre agentúru 59 zmluvných zamestnancov (z toho 20 na pravidelné činnosti a 39 na projekty budovania kapacít financované z externých zdrojov) a šesť vyslaných národných expertov; okrem toho konštatuje, že k 31. decembru 2022 bolo zamestnaných 24 dočasných zamestnancov, ktorí plnili úlohy súvisiace s hlavnou činnosťou, ako je elektronické vzdelávanie, informačné a komunikačné technológie, právna podpora a podpora riadenia;</w:t>
      </w:r>
    </w:p>
    <w:p w:rsidR="0041259C" w:rsidRPr="00AA7A2A" w:rsidRDefault="00AA7A2A">
      <w:pPr>
        <w:tabs>
          <w:tab w:val="left" w:pos="720"/>
          <w:tab w:val="left" w:pos="1665"/>
        </w:tabs>
        <w:spacing w:after="240"/>
        <w:ind w:left="567" w:hanging="567"/>
        <w:rPr>
          <w:szCs w:val="24"/>
        </w:rPr>
      </w:pPr>
      <w:r w:rsidRPr="00AA7A2A">
        <w:t>15.</w:t>
      </w:r>
      <w:r w:rsidRPr="00AA7A2A">
        <w:tab/>
        <w:t>konštatuje, že fluktuácia zamestnancov bola v roku 2022 naďalej pomerne vysoká a mala na agentúru značný vplyv; v tejto súvislosti konštatuje, že v roku 2022 došlo k štyrom odchodom z dôvodu nových pracovných príležitostí v agentúre a mimo nej, k trom odchodom z dôvodu odchodu do dôchodku a k 31. decembru 2022 si štyria zamestnanci zobrali neplatené voľno;</w:t>
      </w:r>
    </w:p>
    <w:p w:rsidR="0041259C" w:rsidRPr="00AA7A2A" w:rsidRDefault="00AA7A2A">
      <w:pPr>
        <w:tabs>
          <w:tab w:val="left" w:pos="720"/>
          <w:tab w:val="left" w:pos="1665"/>
        </w:tabs>
        <w:spacing w:after="240"/>
        <w:ind w:left="567" w:hanging="567"/>
        <w:rPr>
          <w:szCs w:val="24"/>
        </w:rPr>
      </w:pPr>
      <w:r w:rsidRPr="00AA7A2A">
        <w:t>16.</w:t>
      </w:r>
      <w:r w:rsidRPr="00AA7A2A">
        <w:tab/>
        <w:t>opätovne vyjadruje podporu zvýšeniu počtu zamestnancov agentúry, ktoré zodpovedá úlohám a ambíciám stanoveným v súčasnom mandáte agentúry; na základe správy agentúry o následných opatreniach s názvom „Akčný plán agentúry CEPOL v reakcii na rozhodnutie Európskeho parlamentu o udelení absolutória za rozpočtový rok 2021“ (ďalej len „správa agentúry o následných opatreniach“) s uspokojením konštatuje, že výkonná riaditeľka agentúry zriadila pracovnú skupinu, ktorej úlohou je systematicky dokumentovať a zdôvodňovať potreby dodatočných rozpočtových a ľudských zdrojov v kontexte novej stratégie na roky 2023 – 2027;</w:t>
      </w:r>
    </w:p>
    <w:p w:rsidR="0041259C" w:rsidRPr="00AA7A2A" w:rsidRDefault="00AA7A2A">
      <w:pPr>
        <w:spacing w:after="240"/>
        <w:ind w:left="567" w:hanging="567"/>
        <w:rPr>
          <w:szCs w:val="24"/>
        </w:rPr>
      </w:pPr>
      <w:r w:rsidRPr="00AA7A2A">
        <w:t>17.</w:t>
      </w:r>
      <w:r w:rsidRPr="00AA7A2A">
        <w:tab/>
        <w:t xml:space="preserve">konštatuje, že miera fluktuácie zamestnancov zostala v roku 2022 vysoká, a to 11,8 %, čo malo významný vplyv na organizáciu; zo správy agentúry o následných opatreniach poznamenáva, že miera fluktuácie je mimo kontroly agentúry, pretože hlavným spúšťačom je nízky korekčný koeficient krajiny a relatívne nízko zaradené pozície pre kľúčové podporné funkcie v agentúre; konštatuje, že v roku 2022 agentúra pokračovala </w:t>
      </w:r>
      <w:r w:rsidRPr="00AA7A2A">
        <w:lastRenderedPageBreak/>
        <w:t>vo vykonávaní opatrení na udržanie zamestnancov a zabezpečenie kontinuity činnosti, pričom využívala niekoľko dočasných zamestnancov a vyslaných národných expertov na zastupovanie v prípade neprítomnosti zamestnancov, kým sa neukončil nábor štatutárnych zamestnancov, a pokračovala v preklasifikovaní zamestnancov a funkcií, zachovávala sociálne opatrenia (napr. školskú dochádzku detí zamestnancov), prácu na diaľku a opatrenia týkajúce sa pružného pracovného času; pripomína svoju výzvu Komisii, aby upravila korekčný koeficient, aby lepšie zodpovedal ekonomickej realite, ktorú prináša presťahovanie sa do mesta, v ktorom agentúra sídli, a život v ňom;</w:t>
      </w:r>
    </w:p>
    <w:p w:rsidR="0041259C" w:rsidRPr="00AA7A2A" w:rsidRDefault="00AA7A2A">
      <w:pPr>
        <w:spacing w:after="240"/>
        <w:ind w:left="567" w:hanging="567"/>
        <w:rPr>
          <w:szCs w:val="24"/>
        </w:rPr>
      </w:pPr>
      <w:r w:rsidRPr="00AA7A2A">
        <w:t>18.</w:t>
      </w:r>
      <w:r w:rsidRPr="00AA7A2A">
        <w:tab/>
        <w:t>v súvislosti s nástrojom SYSPER s uznaním konštatuje, že agentúra zaviedla moduly ako REPORTING, ETHICS a STAGE a pracuje na zavedení ďalších modulov SYSPER (napr. EVAL/PROMO);</w:t>
      </w:r>
    </w:p>
    <w:p w:rsidR="0041259C" w:rsidRPr="00AA7A2A" w:rsidRDefault="00AA7A2A">
      <w:pPr>
        <w:pStyle w:val="ListParagraph"/>
        <w:spacing w:after="240"/>
        <w:ind w:left="567" w:hanging="567"/>
        <w:contextualSpacing w:val="0"/>
        <w:jc w:val="left"/>
      </w:pPr>
      <w:r w:rsidRPr="00AA7A2A">
        <w:t>19.</w:t>
      </w:r>
      <w:r w:rsidRPr="00AA7A2A">
        <w:tab/>
        <w:t>víta údaje agentúry o rodovom rozčlenení za rok 2022: traja muži a tri ženy v riadiacich funkciách (jeden vyšší riadiaci pracovník a päť stredných riadiacich pracovníkov), 15 mužov (56 %) a 12 žien (44 %) v správnej rade a 37 mužov (44 %) a 48 žien (56 %) medzi zamestnancami; vyjadruje agentúre uznanie za rodovú rovnováhu dosiahnutú v roku 2022;</w:t>
      </w:r>
    </w:p>
    <w:p w:rsidR="0041259C" w:rsidRPr="00AA7A2A" w:rsidRDefault="00AA7A2A">
      <w:pPr>
        <w:pStyle w:val="NormalHanging12a"/>
      </w:pPr>
      <w:r w:rsidRPr="00AA7A2A">
        <w:t>20.</w:t>
      </w:r>
      <w:r w:rsidRPr="00AA7A2A">
        <w:tab/>
        <w:t>na základe konsolidovanej výročnej správy o činnosti agentúry za rok 2022 konštatuje, že v roku 2022 bolo medzi zamestnancami agentúry zastúpených 17 členských štátov; konštatuje, že 39 % jej zamestnancov sú štátni príslušníci členského štátu, v ktorom má agentúra sídlo; pripomína význam geografickej rovnováhy a vyzýva agentúru, aby prijala potrebné opatrenia na zaistenie vyváženého a spravodlivého geografického zastúpenia;</w:t>
      </w:r>
    </w:p>
    <w:p w:rsidR="0041259C" w:rsidRPr="00AA7A2A" w:rsidRDefault="00AA7A2A">
      <w:pPr>
        <w:pStyle w:val="ListParagraph"/>
        <w:spacing w:after="240"/>
        <w:ind w:left="567" w:hanging="567"/>
        <w:contextualSpacing w:val="0"/>
        <w:jc w:val="left"/>
      </w:pPr>
      <w:r w:rsidRPr="00AA7A2A">
        <w:t>21.</w:t>
      </w:r>
      <w:r w:rsidRPr="00AA7A2A">
        <w:tab/>
        <w:t>víta, že v roku 2022 agentúra prijala nové rozhodnutie založené na zásadách riadenia založeného na cieľoch a výsledkoch a na kultúre dôvery; konštatuje, že týmto rozhodnutím sa zaviedla väčšia flexibilita pre zamestnancov, pokiaľ ide o pracovný čas aj prácu na diaľku, a to udelením práva na odpojenie a jasným určením obdobia odpojenia, ktoré by malo prispieť k lepšej rovnováhe medzi pracovným a súkromným životom a chrániť zamestnancov pred digitálnym pracovným preťažením;</w:t>
      </w:r>
    </w:p>
    <w:p w:rsidR="0041259C" w:rsidRPr="00AA7A2A" w:rsidRDefault="00AA7A2A">
      <w:pPr>
        <w:spacing w:after="240"/>
        <w:ind w:left="567" w:hanging="567"/>
        <w:rPr>
          <w:color w:val="000000"/>
          <w:szCs w:val="24"/>
        </w:rPr>
      </w:pPr>
      <w:r w:rsidRPr="00AA7A2A">
        <w:rPr>
          <w:color w:val="000000"/>
        </w:rPr>
        <w:t>22.</w:t>
      </w:r>
      <w:r w:rsidRPr="00AA7A2A">
        <w:rPr>
          <w:color w:val="000000"/>
        </w:rPr>
        <w:tab/>
        <w:t>v súvislosti s pripomienkou týkajúcou sa zamestnancov pracujúcich na postupoch súvisiacich s verejným obstarávaním víta na základe správy agentúry o následných opatreniach, že v pláne pracovných miest na rok 2023 sa predpokladá transformácia príslušného pracovného miesta AST-5 (náborový stupeň AST-3) na pracovné miesto AD-5;</w:t>
      </w:r>
    </w:p>
    <w:p w:rsidR="0041259C" w:rsidRPr="00AA7A2A" w:rsidRDefault="00AA7A2A">
      <w:pPr>
        <w:spacing w:after="240"/>
        <w:ind w:left="567" w:hanging="567"/>
        <w:rPr>
          <w:rFonts w:eastAsiaTheme="minorHAnsi"/>
          <w:b/>
          <w:i/>
          <w:szCs w:val="24"/>
        </w:rPr>
      </w:pPr>
      <w:r w:rsidRPr="00AA7A2A">
        <w:rPr>
          <w:b/>
          <w:i/>
        </w:rPr>
        <w:t>Verejné obstarávanie</w:t>
      </w:r>
    </w:p>
    <w:p w:rsidR="0041259C" w:rsidRPr="00AA7A2A" w:rsidRDefault="00AA7A2A">
      <w:pPr>
        <w:pStyle w:val="NormalHanging12a"/>
      </w:pPr>
      <w:r w:rsidRPr="00AA7A2A">
        <w:t>23.</w:t>
      </w:r>
      <w:r w:rsidRPr="00AA7A2A">
        <w:tab/>
        <w:t xml:space="preserve">na základe správy Dvora audítorov so znepokojením konštatuje, že od rozpočtového roka 2020 vydáva Dvor audítorov každý rok nové pripomienky týkajúce sa verejného obstarávania agentúry; zdôrazňuje pripomienku zo správy Dvora audítorov, ktorá predstavuje základ pre stanovisko Dvora audítorov s výhradami k zákonnosti a správnosti 359 platieb v celkovej hodnote 4,1 milióna EUR uskutočnených v roku 2022 na základe dvoch rámcových zmlúv realizovaných priamo prostredníctvom objednávkových formulárov (žiadostí o služby), ktoré zaslali zamestnanci agentúry, ktorí nemali delegovanú právomoc prijímať právne záväzky v mene agentúry, alebo dočasní zamestnanci, ktorí takúto delegovanú právomoc nemohli mať zo zákona z dôvodu svojho dočasného postavenia; berie na vedomie odpoveď agentúry na </w:t>
      </w:r>
      <w:r w:rsidRPr="00AA7A2A">
        <w:lastRenderedPageBreak/>
        <w:t>pripomienku Dvora audítorov, že aj keď došlo k nedostatkom vo formalizácii právneho záväzku, služby boli objednané v súlade s potrebami agentúry a kontroly boli uplatnené v plnom rozsahu, aby sa zabezpečilo, že finančné prostriedky boli použité na zamýšľaný účel a nevznikla žiadna skutočná strata; z odpovedí agentúry na písomné otázky Európskeho parlamentu vyplýva, že tieto zmluvy neboli ovplyvnené inými nezrovnalosťami a agentúra prijala opatrenia na riešenie pripomienky Dvora audítorov zmenou interných postupov agentúry, aby sa zabezpečilo, že objednávky budú cestovnej kancelárii oznamovať len štatutárni zamestnanci, ktorí boli poverení povoľujúcim úradníkom, aby sa zapojili do právneho záväzku; berie na vedomie odpoveď agentúry, podľa ktorej agentúra okamžite zaviedla nápravné opatrenia, a to ešte pred ukončením procesu auditu; vyzýva agentúru, aby sa uvedenými pripomienkami v plnej miere zaoberala a zlepšila svoje postupy verejného obstarávania s cieľom zabrániť podobným situáciám v budúcnosti;</w:t>
      </w:r>
    </w:p>
    <w:p w:rsidR="0041259C" w:rsidRPr="00AA7A2A" w:rsidRDefault="00AA7A2A">
      <w:pPr>
        <w:pStyle w:val="NormalHanging12a"/>
      </w:pPr>
      <w:r w:rsidRPr="00AA7A2A">
        <w:t>24.</w:t>
      </w:r>
      <w:r w:rsidRPr="00AA7A2A">
        <w:tab/>
        <w:t>ďalej zdôrazňuje zo správy Dvora audítorov stanovisko s výhradami, podľa ktorého všetky sumy vyplatené v roku 2022 (152 655 EUR) za plnenie rámcovej zmluvy (za vzdelávacie redakčné služby) nebolo možné zosúladiť s poskytnutými službami a niektoré kategórie úloh neodrážali povahu skutočne vykonaných prác a v prípade niektorých kategórií suma vyplatených prác nezodpovedala skutočne vykonaným prácam, čím sa tieto sumy stali neoprávnenými; berie na vedomie vysvetlenie agentúry, že počet objednaných, dodaných a zaplatených strán sa úplne nezhoduje, pretože vzhľadom na povahu práce, konkrétne na tvorbu redakčného a vzdelávacieho obsahu, to nebolo vždy vopred presne vyčísliteľné; ďalej konštatuje, že podľa odpovede agentúry boli vykonané kontroly výstupov a kategórie úloh vychádzali z úloh uvedených v predchádzajúcej zmluve s Úradom pre publikácie; vyzýva agentúru, aby zaviedla opatrenia, ktoré jej umožnia vopred lepšie vyčísliť výstupy a zabrániť takýmto situáciám v budúcnosti;</w:t>
      </w:r>
    </w:p>
    <w:p w:rsidR="0041259C" w:rsidRPr="00AA7A2A" w:rsidRDefault="00AA7A2A">
      <w:pPr>
        <w:spacing w:after="240"/>
        <w:ind w:left="567" w:hanging="567"/>
        <w:rPr>
          <w:color w:val="000000"/>
          <w:szCs w:val="24"/>
        </w:rPr>
      </w:pPr>
      <w:r w:rsidRPr="00AA7A2A">
        <w:rPr>
          <w:color w:val="000000"/>
        </w:rPr>
        <w:t>25.</w:t>
      </w:r>
      <w:r w:rsidRPr="00AA7A2A">
        <w:rPr>
          <w:color w:val="000000"/>
        </w:rPr>
        <w:tab/>
        <w:t>zo správy Dvora audítorov za rozpočtový rok 2021 vyplýva, že jedna pripomienka zostala otvorená, a to v súvislosti s procesom hodnotenia postupu verejného obstarávania, v ktorom agentúra kládla dôraz na kritérium, ktoré nebolo jasne uvedené v súťažných podkladoch, čím vzniklo riziko nerovnakého zaobchádzania s uchádzačmi; berie na vedomie, že zmluva bola platná do septembra 2023 a v čase, keď Dvor audítorov preskúmaval stav tejto pripomienky, agentúra nemala v úmysle predĺžiť zmluvu o ďalších 12 mesiacov;</w:t>
      </w:r>
    </w:p>
    <w:p w:rsidR="0041259C" w:rsidRPr="00AA7A2A" w:rsidRDefault="00AA7A2A">
      <w:pPr>
        <w:spacing w:after="240"/>
        <w:ind w:left="567" w:hanging="567"/>
        <w:rPr>
          <w:color w:val="000000"/>
          <w:szCs w:val="24"/>
        </w:rPr>
      </w:pPr>
      <w:r w:rsidRPr="00AA7A2A">
        <w:rPr>
          <w:color w:val="000000"/>
        </w:rPr>
        <w:t>26.</w:t>
      </w:r>
      <w:r w:rsidRPr="00AA7A2A">
        <w:rPr>
          <w:color w:val="000000"/>
        </w:rPr>
        <w:tab/>
        <w:t>chváli agentúru za zavedenie nástroja na riadenie verejného obstarávania, ktorý sa od októbra 2022 používa na všetky typy postupov verejného obstarávania; vyzýva agentúru, aby urýchlila prijatie a zavedenie nástrojov, ktoré umožňujú používanie elektronického podpisu na získavanie súhlasov a podpisov od interných aj externých protistrán v dokumentoch týkajúcich sa obstarávania a zmluvných dokumentov;</w:t>
      </w:r>
    </w:p>
    <w:p w:rsidR="0041259C" w:rsidRPr="00AA7A2A" w:rsidRDefault="00AA7A2A">
      <w:pPr>
        <w:pStyle w:val="ListParagraph"/>
        <w:widowControl w:val="0"/>
        <w:spacing w:after="240"/>
        <w:ind w:left="567" w:hanging="567"/>
        <w:contextualSpacing w:val="0"/>
        <w:jc w:val="left"/>
        <w:rPr>
          <w:rFonts w:eastAsia="Times New Roman"/>
        </w:rPr>
      </w:pPr>
      <w:r w:rsidRPr="00AA7A2A">
        <w:rPr>
          <w:b/>
          <w:i/>
        </w:rPr>
        <w:t>Prevencia, riešenie konfliktov záujmov a transparentnosť</w:t>
      </w:r>
    </w:p>
    <w:p w:rsidR="0041259C" w:rsidRPr="00AA7A2A" w:rsidRDefault="00AA7A2A">
      <w:pPr>
        <w:spacing w:after="240"/>
        <w:ind w:left="567" w:hanging="567"/>
        <w:rPr>
          <w:szCs w:val="24"/>
        </w:rPr>
      </w:pPr>
      <w:r w:rsidRPr="00AA7A2A">
        <w:t>27.</w:t>
      </w:r>
      <w:r w:rsidRPr="00AA7A2A">
        <w:tab/>
        <w:t xml:space="preserve">s uspokojením berie na vedomie aktuálne opatrenia agentúry a prebiehajúce úsilie o zabezpečenie transparentnosti a prevencie a riešenia konfliktov záujmov; s uspokojením berie na vedomie, že vyhlásenia o záujmoch a životopisy členov správnej rady a vyššieho manažmentu sú uverejnené na webovom sídle agentúry a že formát vyhlásení umožňuje uviesť profesijné, finančné, osobné a iné záujmy, ktoré by mohli súvisieť s činnosťou agentúry; na základe správy agentúry o následných opatreniach v súvislosti s pripomienkou orgánu udeľujúceho absolutórium, že vyhlásenia o konflikte </w:t>
      </w:r>
      <w:r w:rsidRPr="00AA7A2A">
        <w:lastRenderedPageBreak/>
        <w:t>záujmov a dôvernosti informácií pre odmeňovaných expertov sa nezverejňujú na webovom sídle agentúry, konštatuje, že agentúra vyhodnotila, že z dôvodu ochrany údajov by zverejnenie prihlášok/životopisov expertov viedlo k výraznému zníženiu počtu žiadostí o prijatie experta vzhľadom na to, že väčšina expertov pracujúcich pre agentúru má skúsenosti z oblasti presadzovania práva;</w:t>
      </w:r>
    </w:p>
    <w:p w:rsidR="0041259C" w:rsidRPr="00AA7A2A" w:rsidRDefault="00AA7A2A">
      <w:pPr>
        <w:spacing w:after="240"/>
        <w:ind w:left="567" w:hanging="567"/>
        <w:rPr>
          <w:szCs w:val="24"/>
        </w:rPr>
      </w:pPr>
      <w:r w:rsidRPr="00AA7A2A">
        <w:t>28.</w:t>
      </w:r>
      <w:r w:rsidRPr="00AA7A2A">
        <w:tab/>
        <w:t>s uznaním berie na vedomie správu agentúry o následných opatreniach, že so spustením nového webového sídla v roku 2022 agentúra zlepšila svoj verejný register dokumentov a zavedené technické zmeny umožňujú občanom vyhľadávať úradné dokumenty agentúry podľa kategórií alebo požiadať o prístup k dokumentu prostredníctvom webového formulára, ak nie je umožnený priamy prístup prostredníctvom verejného registra dokumentov; konštatuje, že v roku 2022 agentúra dostala päť žiadostí o prístup verejnosti k dokumentom a vybavila 920 verených otázok od občanov;</w:t>
      </w:r>
    </w:p>
    <w:p w:rsidR="0041259C" w:rsidRPr="00AA7A2A" w:rsidRDefault="00AA7A2A">
      <w:pPr>
        <w:spacing w:after="240"/>
        <w:ind w:left="567" w:hanging="567"/>
        <w:rPr>
          <w:b/>
          <w:i/>
          <w:szCs w:val="24"/>
        </w:rPr>
      </w:pPr>
      <w:r w:rsidRPr="00AA7A2A">
        <w:rPr>
          <w:b/>
          <w:i/>
        </w:rPr>
        <w:t>Vnútorná kontrola</w:t>
      </w:r>
    </w:p>
    <w:p w:rsidR="0041259C" w:rsidRPr="00AA7A2A" w:rsidRDefault="00AA7A2A">
      <w:pPr>
        <w:spacing w:after="240"/>
        <w:ind w:left="567" w:hanging="567"/>
        <w:rPr>
          <w:szCs w:val="24"/>
        </w:rPr>
      </w:pPr>
      <w:r w:rsidRPr="00AA7A2A">
        <w:t>29.</w:t>
      </w:r>
      <w:r w:rsidRPr="00AA7A2A">
        <w:tab/>
        <w:t>na základe správy agentúry o následných opatreniach konštatuje, že v súvislosti s viacerými nedostatkami v systéme vnútornej kontroly agentúry, najmä pokiaľ ide o postupy verejného obstarávania a riadenie rozpočtových záväzkov, agentúra prijala opatrenia vrátane odbornej prípravy a seminárov na zvýšenie informovanosti a zníženie výskytu administratívnych chýb; v tejto súvislosti berie na vedomie správu Dvora audítorov, že stav jeho pripomienok (za rozpočtový rok 2021) zodpovedajúcich týmto nedostatkom je uzavretý;</w:t>
      </w:r>
    </w:p>
    <w:p w:rsidR="0041259C" w:rsidRPr="00AA7A2A" w:rsidRDefault="00AA7A2A">
      <w:pPr>
        <w:spacing w:after="240"/>
        <w:ind w:left="567" w:hanging="567"/>
        <w:rPr>
          <w:szCs w:val="24"/>
        </w:rPr>
      </w:pPr>
      <w:r w:rsidRPr="00AA7A2A">
        <w:t>30.</w:t>
      </w:r>
      <w:r w:rsidRPr="00AA7A2A">
        <w:tab/>
        <w:t>berie na vedomie hodnotenie agentúry týkajúce sa jej systému vnútornej kontroly v roku 2022 a jej závery, že je účinný, prítomný a dobre fungujúci a že sú potrebné len menšie zlepšenia; vyzýva agentúru, aby riešila nedostatky zistené v súvislosti so zložkami vnútornej kontroly „Kontrolné činnosti“ a „Informácie a komunikácia“, a aby informovala orgán udeľujúci absolutórium o pokroku v tejto veci; na základe správy agentúry o následných opatreniach s uznaním konštatuje, že pri hodnotení zložky „Monitorovacie činnosti“ sa v zásade 17 „posúdiť a oznámiť nedostatky“ zohľadnili príslušné pripomienky Dvora audítorov z predchádzajúcich rokov; vyzýva agentúru, aby pokračovala v riešení všetkých pripomienok z auditu „Riadenie ľudských zdrojov a etika v agentúre CEPOL“, ktorý v roku 2021 vykonal útvar vnútorného auditu;</w:t>
      </w:r>
    </w:p>
    <w:p w:rsidR="0041259C" w:rsidRPr="00AA7A2A" w:rsidRDefault="00AA7A2A">
      <w:pPr>
        <w:spacing w:after="240"/>
        <w:ind w:left="567" w:hanging="567"/>
        <w:rPr>
          <w:szCs w:val="24"/>
        </w:rPr>
      </w:pPr>
      <w:r w:rsidRPr="00AA7A2A">
        <w:t>31.</w:t>
      </w:r>
      <w:r w:rsidRPr="00AA7A2A">
        <w:tab/>
        <w:t>berie na vedomie, že agentúra uplatňuje proces registrácie a povoľovania výnimiek, ktoré sa analyzujú s cieľom identifikovať konkrétne problémové oblasti a príslušné opatrenia na zlepšenie; konštatuje, že správa o výnimkách za rok 2022 potvrdzuje, že systém vnútornej kontroly agentúry dobre funguje a prípady nedodržiavania predpisov sa odhaľujú a zmierňujú nápravnými a preventívnymi opatreniami; ďalej konštatuje, že v roku 2022 bolo vznesených celkovo 46 výnimiek (v porovnaní s 27 výnimkami v roku 2021) v hodnote 51 697 EUR (v porovnaní s 257 825 EUR v roku 2021), pričom 13 z týchto výnimiek malo finančný vplyv vyšší ako 1 000 EUR (od 1 053 EUR do 12 240 EUR);</w:t>
      </w:r>
    </w:p>
    <w:p w:rsidR="0041259C" w:rsidRPr="00AA7A2A" w:rsidRDefault="00AA7A2A">
      <w:pPr>
        <w:spacing w:after="240"/>
        <w:ind w:left="567" w:hanging="567"/>
        <w:rPr>
          <w:b/>
          <w:i/>
          <w:szCs w:val="24"/>
        </w:rPr>
      </w:pPr>
      <w:r w:rsidRPr="00AA7A2A">
        <w:rPr>
          <w:b/>
          <w:i/>
        </w:rPr>
        <w:t>Ďalšie pripomienky</w:t>
      </w:r>
    </w:p>
    <w:p w:rsidR="0041259C" w:rsidRPr="00AA7A2A" w:rsidRDefault="00AA7A2A">
      <w:pPr>
        <w:spacing w:after="240"/>
        <w:ind w:left="567" w:hanging="567"/>
        <w:rPr>
          <w:szCs w:val="24"/>
        </w:rPr>
      </w:pPr>
      <w:r w:rsidRPr="00AA7A2A">
        <w:t>32.</w:t>
      </w:r>
      <w:r w:rsidRPr="00AA7A2A">
        <w:tab/>
        <w:t>berie na vedomie správu agentúry o následných opatreniach týkajúcu sa problému, že agentúra nemá dostatok kancelárskych priestorov a plochy na prevádzkové činnosti, a že maďarská vláda sa zaviazala zabezpečiť kontinuitu a poskytnúť agentúre primerané priestory prijatím rozhodnutia o zabezpečení nového sídla (6 000 m</w:t>
      </w:r>
      <w:r w:rsidRPr="00AA7A2A">
        <w:rPr>
          <w:vertAlign w:val="superscript"/>
        </w:rPr>
        <w:t>2</w:t>
      </w:r>
      <w:r w:rsidRPr="00AA7A2A">
        <w:t xml:space="preserve">) formou prenájmu; </w:t>
      </w:r>
      <w:r w:rsidRPr="00AA7A2A">
        <w:lastRenderedPageBreak/>
        <w:t>ďalej poznamenáva, že sťahovanie do nových priestorov sa môže uskutočniť do konca roka 2024, a to súčasne s podpisom dohody o novom sídle;</w:t>
      </w:r>
    </w:p>
    <w:p w:rsidR="0041259C" w:rsidRPr="00AA7A2A" w:rsidRDefault="00AA7A2A">
      <w:pPr>
        <w:pStyle w:val="NormalHanging12a"/>
      </w:pPr>
      <w:r w:rsidRPr="00AA7A2A">
        <w:t>33.</w:t>
      </w:r>
      <w:r w:rsidRPr="00AA7A2A">
        <w:tab/>
        <w:t xml:space="preserve">chváli agentúru za jej úsilie o zviditeľnenie na verejnosti a prítomnosť na internete; v tejto súvislosti víta spustenie nového webového sídla agentúry v roku 2022, ktoré zahŕňa kľúčové vylepšenia, ako je jasnejšia prezentácia a štruktúra, lepší vzhľad a schopnosť reagovať na webové stránky; ďalej konštatuje, že v roku 2022 bola aktivita agentúry v sociálnych médiách značná, keď bolo nahraných 1 590 obsahov, čo predstavuje o 54 % viac príspevkov ako v predchádzajúcom roku; v tejto súvislosti berie na vedomie stúpajúci trend, pokiaľ ide o používateľov webovej stránky agentúry, ktorá zaznamenala viac ako 200 000 návštev, a </w:t>
      </w:r>
      <w:proofErr w:type="spellStart"/>
      <w:r w:rsidRPr="00AA7A2A">
        <w:t>fanúšikovskú</w:t>
      </w:r>
      <w:proofErr w:type="spellEnd"/>
      <w:r w:rsidRPr="00AA7A2A">
        <w:t xml:space="preserve"> základňu na sociálnych médiách, ktorú tvorí 38 500 </w:t>
      </w:r>
      <w:proofErr w:type="spellStart"/>
      <w:r w:rsidRPr="00AA7A2A">
        <w:t>sledovateľov</w:t>
      </w:r>
      <w:proofErr w:type="spellEnd"/>
      <w:r w:rsidRPr="00AA7A2A">
        <w:t xml:space="preserve"> na LinkedIn, X (predtým Twitter) a Facebooku;</w:t>
      </w:r>
    </w:p>
    <w:p w:rsidR="0041259C" w:rsidRPr="00AA7A2A" w:rsidRDefault="00AA7A2A">
      <w:pPr>
        <w:pStyle w:val="NormalCenter12a"/>
      </w:pPr>
      <w:r w:rsidRPr="00AA7A2A">
        <w:t>°</w:t>
      </w:r>
    </w:p>
    <w:p w:rsidR="0041259C" w:rsidRPr="00AA7A2A" w:rsidRDefault="00AA7A2A">
      <w:pPr>
        <w:pStyle w:val="NormalCenter12a"/>
      </w:pPr>
      <w:r w:rsidRPr="00AA7A2A">
        <w:t>°</w:t>
      </w:r>
      <w:r w:rsidRPr="00AA7A2A">
        <w:tab/>
        <w:t>°</w:t>
      </w:r>
    </w:p>
    <w:p w:rsidR="0041259C" w:rsidRPr="00AA7A2A" w:rsidRDefault="00AA7A2A">
      <w:pPr>
        <w:pStyle w:val="NormalHanging12a"/>
      </w:pPr>
      <w:r w:rsidRPr="00AA7A2A">
        <w:t>34.</w:t>
      </w:r>
      <w:r w:rsidRPr="00AA7A2A">
        <w:tab/>
        <w:t>pokiaľ ide o ďalšie poznámky prierezovej povahy, ktoré sú súčasťou rozhodnutia o absolutóriu, odvoláva sa na svoje uznesenie z 11. apríla 2024</w:t>
      </w:r>
      <w:r w:rsidRPr="00AA7A2A">
        <w:rPr>
          <w:rStyle w:val="FootnoteReference"/>
        </w:rPr>
        <w:footnoteReference w:id="12"/>
      </w:r>
      <w:r w:rsidRPr="00AA7A2A">
        <w:t xml:space="preserve"> o výkonnosti, finančnom hospodárení a kontrole agentúr.</w:t>
      </w:r>
    </w:p>
    <w:p w:rsidR="0041259C" w:rsidRPr="00AA7A2A" w:rsidRDefault="0041259C"/>
    <w:p w:rsidR="0041259C" w:rsidRPr="00AA7A2A" w:rsidRDefault="0041259C">
      <w:bookmarkStart w:id="9" w:name="TextBodyEnd"/>
      <w:bookmarkEnd w:id="9"/>
    </w:p>
    <w:sectPr w:rsidR="0041259C" w:rsidRPr="00AA7A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59C" w:rsidRDefault="00AA7A2A">
      <w:r>
        <w:separator/>
      </w:r>
    </w:p>
  </w:endnote>
  <w:endnote w:type="continuationSeparator" w:id="0">
    <w:p w:rsidR="0041259C" w:rsidRDefault="00AA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AA7A2A">
    <w:pPr>
      <w:pStyle w:val="EPFooter"/>
    </w:pPr>
    <w:r>
      <w:t>PE</w:t>
    </w:r>
    <w:r>
      <w:rPr>
        <w:rStyle w:val="HideTWBExt"/>
      </w:rPr>
      <w:t>&lt;</w:t>
    </w:r>
    <w:proofErr w:type="spellStart"/>
    <w:r>
      <w:rPr>
        <w:rStyle w:val="HideTWBExt"/>
      </w:rPr>
      <w:t>NoPE</w:t>
    </w:r>
    <w:proofErr w:type="spellEnd"/>
    <w:r>
      <w:rPr>
        <w:rStyle w:val="HideTWBExt"/>
      </w:rPr>
      <w:t>&gt;</w:t>
    </w:r>
    <w:r>
      <w:t>753.510</w:t>
    </w:r>
    <w:r>
      <w:rPr>
        <w:rStyle w:val="HideTWBExt"/>
      </w:rPr>
      <w:t>&lt;/</w:t>
    </w:r>
    <w:proofErr w:type="spellStart"/>
    <w:r>
      <w:rPr>
        <w:rStyle w:val="HideTWBExt"/>
      </w:rPr>
      <w:t>NoPE</w:t>
    </w:r>
    <w:proofErr w:type="spellEnd"/>
    <w:r>
      <w:rPr>
        <w:rStyle w:val="HideTWBExt"/>
      </w:rPr>
      <w:t>&gt;&lt;Version&gt;</w:t>
    </w:r>
    <w:r>
      <w:t>v02-00</w:t>
    </w:r>
    <w:r>
      <w:rPr>
        <w:rStyle w:val="HideTWBExt"/>
      </w:rPr>
      <w:t>&lt;/</w:t>
    </w:r>
    <w:proofErr w:type="spellStart"/>
    <w:r>
      <w:rPr>
        <w:rStyle w:val="HideTWBExt"/>
      </w:rPr>
      <w:t>Version</w:t>
    </w:r>
    <w:proofErr w:type="spellEnd"/>
    <w:r>
      <w:rPr>
        <w:rStyle w:val="HideTWBExt"/>
      </w:rPr>
      <w:t>&gt;</w:t>
    </w:r>
    <w:r>
      <w:tab/>
    </w:r>
    <w:r>
      <w:fldChar w:fldCharType="begin"/>
    </w:r>
    <w:r>
      <w:instrText xml:space="preserve"> PAGE  \* MERGEFORMAT </w:instrText>
    </w:r>
    <w:r>
      <w:fldChar w:fldCharType="separate"/>
    </w:r>
    <w:r>
      <w:rPr>
        <w:noProof/>
      </w:rPr>
      <w:t>4</w:t>
    </w:r>
    <w:r>
      <w:fldChar w:fldCharType="end"/>
    </w:r>
    <w:r>
      <w:t>/</w:t>
    </w:r>
    <w:r w:rsidR="005906B2">
      <w:fldChar w:fldCharType="begin"/>
    </w:r>
    <w:r w:rsidR="005906B2">
      <w:instrText xml:space="preserve"> NUMPAGES  \* MERGEFORMAT </w:instrText>
    </w:r>
    <w:r w:rsidR="005906B2">
      <w:fldChar w:fldCharType="separate"/>
    </w:r>
    <w:r>
      <w:rPr>
        <w:noProof/>
      </w:rPr>
      <w:t>4</w:t>
    </w:r>
    <w:r w:rsidR="005906B2">
      <w:rPr>
        <w:noProof/>
      </w:rPr>
      <w:fldChar w:fldCharType="end"/>
    </w:r>
    <w:r>
      <w:tab/>
    </w:r>
    <w:r>
      <w:rPr>
        <w:rStyle w:val="HideTWBExt"/>
      </w:rPr>
      <w:t>&lt;PathFdR&gt;</w:t>
    </w:r>
    <w:r>
      <w:t>RR\1298754SK.docx</w:t>
    </w:r>
    <w:r>
      <w:rPr>
        <w:rStyle w:val="HideTWBExt"/>
      </w:rPr>
      <w:t>&lt;/</w:t>
    </w:r>
    <w:proofErr w:type="spellStart"/>
    <w:r>
      <w:rPr>
        <w:rStyle w:val="HideTWBExt"/>
      </w:rPr>
      <w:t>PathFdR</w:t>
    </w:r>
    <w:proofErr w:type="spellEnd"/>
    <w:r>
      <w:rPr>
        <w:rStyle w:val="HideTWBExt"/>
      </w:rPr>
      <w:t>&gt;</w:t>
    </w:r>
  </w:p>
  <w:p w:rsidR="0041259C" w:rsidRDefault="00AA7A2A">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AA7A2A">
    <w:pPr>
      <w:pStyle w:val="EPFooter"/>
    </w:pPr>
    <w:r>
      <w:rPr>
        <w:rStyle w:val="HideTWBExt"/>
      </w:rPr>
      <w:t>&lt;PathFdR&gt;</w:t>
    </w:r>
    <w:r>
      <w:t>RR\1298754SK.docx</w:t>
    </w:r>
    <w:r>
      <w:rPr>
        <w:rStyle w:val="HideTWBExt"/>
      </w:rPr>
      <w:t>&lt;/</w:t>
    </w:r>
    <w:proofErr w:type="spellStart"/>
    <w:r>
      <w:rPr>
        <w:rStyle w:val="HideTWBExt"/>
      </w:rPr>
      <w:t>PathFdR</w:t>
    </w:r>
    <w:proofErr w:type="spellEnd"/>
    <w:r>
      <w:rPr>
        <w:rStyle w:val="HideTWBExt"/>
      </w:rPr>
      <w:t>&gt;</w:t>
    </w:r>
    <w:r>
      <w:tab/>
    </w:r>
    <w:r>
      <w:tab/>
      <w:t>PE</w:t>
    </w:r>
    <w:r>
      <w:rPr>
        <w:rStyle w:val="HideTWBExt"/>
      </w:rPr>
      <w:t>&lt;</w:t>
    </w:r>
    <w:proofErr w:type="spellStart"/>
    <w:r>
      <w:rPr>
        <w:rStyle w:val="HideTWBExt"/>
      </w:rPr>
      <w:t>NoPE</w:t>
    </w:r>
    <w:proofErr w:type="spellEnd"/>
    <w:r>
      <w:rPr>
        <w:rStyle w:val="HideTWBExt"/>
      </w:rPr>
      <w:t>&gt;</w:t>
    </w:r>
    <w:r>
      <w:t>753.510</w:t>
    </w:r>
    <w:r>
      <w:rPr>
        <w:rStyle w:val="HideTWBExt"/>
      </w:rPr>
      <w:t>&lt;/</w:t>
    </w:r>
    <w:proofErr w:type="spellStart"/>
    <w:r>
      <w:rPr>
        <w:rStyle w:val="HideTWBExt"/>
      </w:rPr>
      <w:t>NoPE</w:t>
    </w:r>
    <w:proofErr w:type="spellEnd"/>
    <w:r>
      <w:rPr>
        <w:rStyle w:val="HideTWBExt"/>
      </w:rPr>
      <w:t>&gt;&lt;Version&gt;</w:t>
    </w:r>
    <w:r>
      <w:t>v02-00</w:t>
    </w:r>
    <w:r>
      <w:rPr>
        <w:rStyle w:val="HideTWBExt"/>
      </w:rPr>
      <w:t>&lt;/</w:t>
    </w:r>
    <w:proofErr w:type="spellStart"/>
    <w:r>
      <w:rPr>
        <w:rStyle w:val="HideTWBExt"/>
      </w:rPr>
      <w:t>Version</w:t>
    </w:r>
    <w:proofErr w:type="spellEnd"/>
    <w:r>
      <w:rPr>
        <w:rStyle w:val="HideTWBExt"/>
      </w:rPr>
      <w:t>&gt;</w:t>
    </w:r>
  </w:p>
  <w:p w:rsidR="0041259C" w:rsidRDefault="00AA7A2A">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59C" w:rsidRDefault="00AA7A2A">
      <w:r>
        <w:separator/>
      </w:r>
    </w:p>
  </w:footnote>
  <w:footnote w:type="continuationSeparator" w:id="0">
    <w:p w:rsidR="0041259C" w:rsidRDefault="00AA7A2A">
      <w:r>
        <w:continuationSeparator/>
      </w:r>
    </w:p>
  </w:footnote>
  <w:footnote w:id="1">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w:t>
      </w:r>
      <w:r w:rsidR="00E351AE">
        <w:rPr>
          <w:sz w:val="24"/>
          <w:lang w:val="sk-SK"/>
        </w:rPr>
        <w:t xml:space="preserve">C, </w:t>
      </w:r>
      <w:r>
        <w:rPr>
          <w:sz w:val="24"/>
          <w:lang w:val="sk-SK"/>
        </w:rPr>
        <w:t>C/2023/594, 27.10.2023.</w:t>
      </w:r>
    </w:p>
  </w:footnote>
  <w:footnote w:id="2">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E351AE">
        <w:rPr>
          <w:sz w:val="24"/>
          <w:lang w:val="sk-SK"/>
        </w:rPr>
        <w:t xml:space="preserve">C, </w:t>
      </w:r>
      <w:r>
        <w:rPr>
          <w:sz w:val="24"/>
          <w:lang w:val="sk-SK"/>
        </w:rPr>
        <w:t>C/2023/112, 12.10.2023.</w:t>
      </w:r>
    </w:p>
  </w:footnote>
  <w:footnote w:id="3">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193, 30.7.2018, s. 1.</w:t>
      </w:r>
    </w:p>
  </w:footnote>
  <w:footnote w:id="4">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319, 4.12.2015, s. 1.</w:t>
      </w:r>
    </w:p>
  </w:footnote>
  <w:footnote w:id="5">
    <w:p w:rsidR="0041259C" w:rsidRDefault="00AA7A2A">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122, 10.5.2019, s. 1.</w:t>
      </w:r>
    </w:p>
  </w:footnote>
  <w:footnote w:id="6">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B33218">
        <w:rPr>
          <w:sz w:val="24"/>
          <w:lang w:val="sk-SK"/>
        </w:rPr>
        <w:t xml:space="preserve">C, </w:t>
      </w:r>
      <w:r>
        <w:rPr>
          <w:sz w:val="24"/>
          <w:lang w:val="sk-SK"/>
        </w:rPr>
        <w:t>C/2023/594, 27.10.2023.</w:t>
      </w:r>
    </w:p>
  </w:footnote>
  <w:footnote w:id="7">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B33218">
        <w:rPr>
          <w:sz w:val="24"/>
          <w:lang w:val="sk-SK"/>
        </w:rPr>
        <w:t xml:space="preserve">C, </w:t>
      </w:r>
      <w:r>
        <w:rPr>
          <w:sz w:val="24"/>
          <w:lang w:val="sk-SK"/>
        </w:rPr>
        <w:t>C/2023/112, 12.10.2023.</w:t>
      </w:r>
    </w:p>
  </w:footnote>
  <w:footnote w:id="8">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193, 30.7.2018, s. 1.</w:t>
      </w:r>
    </w:p>
  </w:footnote>
  <w:footnote w:id="9">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319, 4.12.2015, s. 1.</w:t>
      </w:r>
    </w:p>
  </w:footnote>
  <w:footnote w:id="10">
    <w:p w:rsidR="0041259C" w:rsidRDefault="00AA7A2A">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122, 10.5.2019, s. 1.</w:t>
      </w:r>
    </w:p>
  </w:footnote>
  <w:footnote w:id="11">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C 73, 28.2.2023, s. 44.</w:t>
      </w:r>
    </w:p>
  </w:footnote>
  <w:footnote w:id="12">
    <w:p w:rsidR="0041259C" w:rsidRDefault="00AA7A2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Prijaté texty, P9_TA(2024)0</w:t>
      </w:r>
      <w:r w:rsidR="00EE0133">
        <w:rPr>
          <w:sz w:val="24"/>
          <w:lang w:val="sk-SK"/>
        </w:rPr>
        <w:t>280</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59C" w:rsidRDefault="0041259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SK"/>
    <w:docVar w:name="dvnumam" w:val="0"/>
    <w:docVar w:name="dvpe" w:val="753.510"/>
    <w:docVar w:name="dvrapporteur" w:val="Spravodajca: "/>
    <w:docVar w:name="dvtitre" w:val="1. Rozhodnutie Európskeho parlamentu z 11. apríla 2024 o absolutóriu za plnenie rozpočtu Agentúry Európskej únie pre odbornú prípravu v oblasti presadzovania práva (CEPOL) za rozpočtový rok 2022(2023/2144(DEC))"/>
  </w:docVars>
  <w:rsids>
    <w:rsidRoot w:val="0041259C"/>
    <w:rsid w:val="0041259C"/>
    <w:rsid w:val="005906B2"/>
    <w:rsid w:val="00900FBE"/>
    <w:rsid w:val="00AA7A2A"/>
    <w:rsid w:val="00B33218"/>
    <w:rsid w:val="00E351AE"/>
    <w:rsid w:val="00EE01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93A046-F8F9-4DC8-A858-72D3BB3D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paragraph" w:styleId="ListParagraph">
    <w:name w:val="List Paragraph"/>
    <w:basedOn w:val="Normal"/>
    <w:uiPriority w:val="34"/>
    <w:qFormat/>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Pr>
      <w:sz w:val="24"/>
      <w:lang w:val="sk-SK"/>
    </w:rPr>
  </w:style>
  <w:style w:type="character" w:customStyle="1" w:styleId="pointer">
    <w:name w:val="pointer"/>
    <w:basedOn w:val="DefaultParagraphFont"/>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DC572-DEF1-4224-84A9-504FB3E32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4270</Words>
  <Characters>25811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2024-05-15T11:50:00Z</dcterms:created>
  <dcterms:modified xsi:type="dcterms:W3CDTF">2024-05-15T11:50:00Z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P9_TA(2024)0254_</vt:lpwstr>
  </property>
  <property fmtid="{D5CDD505-2E9C-101B-9397-08002B2CF9AE}" pid="4" name="&lt;Type&gt;">
    <vt:lpwstr>RR</vt:lpwstr>
  </property>
</Properties>
</file>