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53FB" w:rsidTr="0010095E">
        <w:trPr>
          <w:trHeight w:hRule="exact" w:val="1418"/>
        </w:trPr>
        <w:tc>
          <w:tcPr>
            <w:tcW w:w="6804" w:type="dxa"/>
            <w:shd w:val="clear" w:color="auto" w:fill="auto"/>
            <w:vAlign w:val="center"/>
          </w:tcPr>
          <w:p w:rsidR="00751A4A" w:rsidRPr="004C53FB" w:rsidRDefault="0097499E" w:rsidP="0010095E">
            <w:pPr>
              <w:pStyle w:val="EPName"/>
            </w:pPr>
            <w:r w:rsidRPr="004C53FB">
              <w:t>Evropski parlament</w:t>
            </w:r>
          </w:p>
          <w:p w:rsidR="00751A4A" w:rsidRPr="004C53FB" w:rsidRDefault="00817416" w:rsidP="00756632">
            <w:pPr>
              <w:pStyle w:val="EPTerm"/>
              <w:rPr>
                <w:rStyle w:val="HideTWBExt"/>
                <w:noProof w:val="0"/>
                <w:vanish w:val="0"/>
                <w:color w:val="auto"/>
              </w:rPr>
            </w:pPr>
            <w:r w:rsidRPr="004C53FB">
              <w:t>2019-2024</w:t>
            </w:r>
          </w:p>
        </w:tc>
        <w:tc>
          <w:tcPr>
            <w:tcW w:w="2268" w:type="dxa"/>
            <w:shd w:val="clear" w:color="auto" w:fill="auto"/>
          </w:tcPr>
          <w:p w:rsidR="00751A4A" w:rsidRPr="004C53FB" w:rsidRDefault="00187494" w:rsidP="0010095E">
            <w:pPr>
              <w:pStyle w:val="EPLogo"/>
            </w:pPr>
            <w:r w:rsidRPr="004C53F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C53FB" w:rsidRDefault="00D058B8" w:rsidP="004C5D52">
      <w:pPr>
        <w:pStyle w:val="LineTop"/>
      </w:pPr>
    </w:p>
    <w:p w:rsidR="00680577" w:rsidRPr="004C53FB" w:rsidRDefault="0097499E" w:rsidP="00680577">
      <w:pPr>
        <w:pStyle w:val="EPBodyTA1"/>
      </w:pPr>
      <w:r w:rsidRPr="004C53FB">
        <w:t>SPREJETA BESEDILA</w:t>
      </w:r>
    </w:p>
    <w:p w:rsidR="00D058B8" w:rsidRPr="004C53FB" w:rsidRDefault="00D058B8" w:rsidP="00D058B8">
      <w:pPr>
        <w:pStyle w:val="LineBottom"/>
      </w:pPr>
    </w:p>
    <w:p w:rsidR="0097499E" w:rsidRPr="004C53FB" w:rsidRDefault="0097499E" w:rsidP="0097499E">
      <w:pPr>
        <w:pStyle w:val="ATHeading1"/>
      </w:pPr>
      <w:bookmarkStart w:id="0" w:name="TANumber"/>
      <w:r w:rsidRPr="004C53FB">
        <w:t>P9_TA(2024)</w:t>
      </w:r>
      <w:bookmarkEnd w:id="0"/>
      <w:r w:rsidR="004C53FB" w:rsidRPr="004C53FB">
        <w:t>0254</w:t>
      </w:r>
    </w:p>
    <w:p w:rsidR="0097499E" w:rsidRPr="004C53FB" w:rsidRDefault="0097499E" w:rsidP="0097499E">
      <w:pPr>
        <w:pStyle w:val="ATHeading2"/>
      </w:pPr>
      <w:bookmarkStart w:id="1" w:name="title"/>
      <w:r w:rsidRPr="004C53FB">
        <w:t>Razrešnica za leto 2022: Agencija Evropske unije za usposabljanje na področju preprečevanja, odkrivanja in preiskovanja kaznivih dejanj (CEPOL)</w:t>
      </w:r>
      <w:bookmarkEnd w:id="1"/>
    </w:p>
    <w:p w:rsidR="0097499E" w:rsidRPr="004C53FB" w:rsidRDefault="0097499E" w:rsidP="0097499E">
      <w:pPr>
        <w:rPr>
          <w:i/>
          <w:vanish/>
        </w:rPr>
      </w:pPr>
      <w:r w:rsidRPr="004C53FB">
        <w:rPr>
          <w:i/>
        </w:rPr>
        <w:fldChar w:fldCharType="begin"/>
      </w:r>
      <w:r w:rsidRPr="004C53FB">
        <w:rPr>
          <w:i/>
        </w:rPr>
        <w:instrText xml:space="preserve"> TC"(</w:instrText>
      </w:r>
      <w:bookmarkStart w:id="2" w:name="DocNumber"/>
      <w:r w:rsidRPr="004C53FB">
        <w:rPr>
          <w:i/>
        </w:rPr>
        <w:instrText>A9-0098/2024</w:instrText>
      </w:r>
      <w:bookmarkEnd w:id="2"/>
      <w:r w:rsidRPr="004C53FB">
        <w:rPr>
          <w:i/>
        </w:rPr>
        <w:instrText xml:space="preserve"> - Poročevalec: Petri </w:instrText>
      </w:r>
      <w:proofErr w:type="spellStart"/>
      <w:r w:rsidRPr="004C53FB">
        <w:rPr>
          <w:i/>
        </w:rPr>
        <w:instrText>Sarvamaa</w:instrText>
      </w:r>
      <w:proofErr w:type="spellEnd"/>
      <w:r w:rsidRPr="004C53FB">
        <w:rPr>
          <w:i/>
        </w:rPr>
        <w:instrText xml:space="preserve">)"\l3 \n&gt; \* MERGEFORMAT </w:instrText>
      </w:r>
      <w:r w:rsidRPr="004C53FB">
        <w:rPr>
          <w:i/>
        </w:rPr>
        <w:fldChar w:fldCharType="end"/>
      </w:r>
    </w:p>
    <w:p w:rsidR="0097499E" w:rsidRPr="004C53FB" w:rsidRDefault="0097499E" w:rsidP="0097499E">
      <w:pPr>
        <w:rPr>
          <w:vanish/>
        </w:rPr>
      </w:pPr>
      <w:bookmarkStart w:id="3" w:name="Commission"/>
      <w:r w:rsidRPr="004C53FB">
        <w:rPr>
          <w:vanish/>
        </w:rPr>
        <w:t>Odbor za proračunski nadzor</w:t>
      </w:r>
      <w:bookmarkEnd w:id="3"/>
    </w:p>
    <w:p w:rsidR="0097499E" w:rsidRPr="004C53FB" w:rsidRDefault="0097499E" w:rsidP="0097499E">
      <w:pPr>
        <w:rPr>
          <w:vanish/>
        </w:rPr>
      </w:pPr>
      <w:bookmarkStart w:id="4" w:name="PE"/>
      <w:r w:rsidRPr="004C53FB">
        <w:rPr>
          <w:vanish/>
        </w:rPr>
        <w:t>PE753.510</w:t>
      </w:r>
      <w:bookmarkEnd w:id="4"/>
    </w:p>
    <w:p w:rsidR="0097499E" w:rsidRPr="004C53FB" w:rsidRDefault="006C4F21" w:rsidP="0097499E">
      <w:pPr>
        <w:pStyle w:val="ATHeading3"/>
      </w:pPr>
      <w:bookmarkStart w:id="5" w:name="Sujet"/>
      <w:r w:rsidRPr="004C53FB">
        <w:t xml:space="preserve">1. </w:t>
      </w:r>
      <w:r w:rsidR="0097499E" w:rsidRPr="004C53FB">
        <w:t xml:space="preserve">Sklep Evropskega parlamenta z dne </w:t>
      </w:r>
      <w:r w:rsidR="004C53FB" w:rsidRPr="004C53FB">
        <w:t>11. aprila</w:t>
      </w:r>
      <w:r w:rsidR="0097499E" w:rsidRPr="004C53FB">
        <w:t xml:space="preserve"> 2024 o razrešnici glede izvrševanja proračuna Agencije Evropske unije za usposabljanje na področju preprečevanja, odkrivanja in preiskovanja kaznivih dejanj (CEPOL) za proračunsko leto 2022</w:t>
      </w:r>
      <w:bookmarkEnd w:id="5"/>
      <w:r w:rsidR="0097499E" w:rsidRPr="004C53FB">
        <w:t xml:space="preserve"> </w:t>
      </w:r>
      <w:bookmarkStart w:id="6" w:name="References"/>
      <w:r w:rsidR="0097499E" w:rsidRPr="004C53FB">
        <w:t>(2023/2144(DEC))</w:t>
      </w:r>
      <w:bookmarkEnd w:id="6"/>
    </w:p>
    <w:p w:rsidR="00025CE3" w:rsidRPr="004C53FB" w:rsidRDefault="00025CE3" w:rsidP="00025CE3">
      <w:pPr>
        <w:pStyle w:val="EPComma"/>
      </w:pPr>
      <w:bookmarkStart w:id="7" w:name="TextBodyBegin"/>
      <w:bookmarkEnd w:id="7"/>
      <w:r w:rsidRPr="004C53FB">
        <w:rPr>
          <w:i/>
        </w:rPr>
        <w:t>Evropski parlament</w:t>
      </w:r>
      <w:r w:rsidRPr="004C53FB">
        <w:t>,</w:t>
      </w:r>
    </w:p>
    <w:p w:rsidR="00025CE3" w:rsidRPr="004C53FB" w:rsidRDefault="00025CE3" w:rsidP="00025CE3">
      <w:pPr>
        <w:pStyle w:val="NormalHanging12a"/>
      </w:pPr>
      <w:r w:rsidRPr="004C53FB">
        <w:t>–</w:t>
      </w:r>
      <w:r w:rsidRPr="004C53FB">
        <w:tab/>
        <w:t>ob upoštevanju končnega zaključnega računa Agencije Evropske unije za usposabljanje na področju preprečevanja, odkrivanja in preiskovanja kaznivih dejanj (CEPOL) za proračunsko leto 2022,</w:t>
      </w:r>
    </w:p>
    <w:p w:rsidR="00025CE3" w:rsidRPr="004C53FB" w:rsidRDefault="00025CE3" w:rsidP="00025CE3">
      <w:pPr>
        <w:pStyle w:val="NormalHanging12a"/>
      </w:pPr>
      <w:r w:rsidRPr="004C53FB">
        <w:t>–</w:t>
      </w:r>
      <w:r w:rsidRPr="004C53FB">
        <w:tab/>
        <w:t>ob upoštevanju letnega poročila Računskega sodišča o agencijah EU za proračunsko leto 2022 skupaj z odgovori agencij</w:t>
      </w:r>
      <w:r w:rsidRPr="004C53FB">
        <w:rPr>
          <w:rStyle w:val="FootnoteReference"/>
        </w:rPr>
        <w:footnoteReference w:id="1"/>
      </w:r>
      <w:r w:rsidRPr="004C53FB">
        <w:t>,</w:t>
      </w:r>
    </w:p>
    <w:p w:rsidR="00025CE3" w:rsidRPr="004C53FB" w:rsidRDefault="00025CE3" w:rsidP="00025CE3">
      <w:pPr>
        <w:pStyle w:val="NormalHanging12a"/>
      </w:pPr>
      <w:r w:rsidRPr="004C53FB">
        <w:t>–</w:t>
      </w:r>
      <w:r w:rsidRPr="004C53FB">
        <w:tab/>
        <w:t>ob upoštevanju izjave o zanesljivosti</w:t>
      </w:r>
      <w:r w:rsidRPr="004C53FB">
        <w:rPr>
          <w:rStyle w:val="FootnoteReference"/>
        </w:rPr>
        <w:footnoteReference w:id="2"/>
      </w:r>
      <w:r w:rsidRPr="004C53FB">
        <w:t xml:space="preserve"> računovodskih izkazov ter zakonitosti in pravilnosti z njimi povezanih transakcij, ki jo je za proračunsko leto 2022 v skladu s členom 287 Pogodbe o delovanju Evropske unije pripravilo Računsko sodišče,</w:t>
      </w:r>
    </w:p>
    <w:p w:rsidR="00025CE3" w:rsidRPr="004C53FB" w:rsidRDefault="00025CE3" w:rsidP="00025CE3">
      <w:pPr>
        <w:pStyle w:val="NormalHanging12a"/>
      </w:pPr>
      <w:r w:rsidRPr="004C53FB">
        <w:t>–</w:t>
      </w:r>
      <w:r w:rsidRPr="004C53FB">
        <w:tab/>
        <w:t>ob upoštevanju priporočila Sveta z dne 22. februarja 2024 o podelitvi razrešnice agenciji glede izvrševanja proračuna za proračunsko leto 2022 (</w:t>
      </w:r>
      <w:r w:rsidR="00E1121B" w:rsidRPr="004C53FB">
        <w:t>06180</w:t>
      </w:r>
      <w:r w:rsidRPr="004C53FB">
        <w:t>/2024 – C9</w:t>
      </w:r>
      <w:r w:rsidRPr="004C53FB">
        <w:noBreakHyphen/>
      </w:r>
      <w:r w:rsidR="00E1121B" w:rsidRPr="004C53FB">
        <w:t>0082</w:t>
      </w:r>
      <w:r w:rsidRPr="004C53FB">
        <w:t>/2024),</w:t>
      </w:r>
    </w:p>
    <w:p w:rsidR="00025CE3" w:rsidRPr="004C53FB" w:rsidRDefault="00025CE3" w:rsidP="00025CE3">
      <w:pPr>
        <w:pStyle w:val="NormalHanging12a"/>
      </w:pPr>
      <w:r w:rsidRPr="004C53FB">
        <w:t>–</w:t>
      </w:r>
      <w:r w:rsidRPr="004C53FB">
        <w:tab/>
        <w:t>ob upoštevanju člena 319 Pogodbe o delovanju Evropske unije,</w:t>
      </w:r>
    </w:p>
    <w:p w:rsidR="00025CE3" w:rsidRPr="004C53FB" w:rsidRDefault="00025CE3" w:rsidP="00025CE3">
      <w:pPr>
        <w:pStyle w:val="NormalHanging12a"/>
      </w:pPr>
      <w:r w:rsidRPr="004C53FB">
        <w:t>–</w:t>
      </w:r>
      <w:r w:rsidRPr="004C53FB">
        <w:tab/>
        <w:t xml:space="preserve">ob upoštevanju Uredbe (EU, </w:t>
      </w:r>
      <w:proofErr w:type="spellStart"/>
      <w:r w:rsidRPr="004C53FB">
        <w:t>Euratom</w:t>
      </w:r>
      <w:proofErr w:type="spellEnd"/>
      <w:r w:rsidRPr="004C53FB">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4C53FB">
        <w:t>Euratom</w:t>
      </w:r>
      <w:proofErr w:type="spellEnd"/>
      <w:r w:rsidRPr="004C53FB">
        <w:t xml:space="preserve">) št. </w:t>
      </w:r>
      <w:r w:rsidRPr="004C53FB">
        <w:lastRenderedPageBreak/>
        <w:t>966/2012</w:t>
      </w:r>
      <w:r w:rsidRPr="004C53FB">
        <w:rPr>
          <w:rStyle w:val="FootnoteReference"/>
        </w:rPr>
        <w:footnoteReference w:id="3"/>
      </w:r>
      <w:r w:rsidRPr="004C53FB">
        <w:t xml:space="preserve"> in zlasti člena 70,</w:t>
      </w:r>
    </w:p>
    <w:p w:rsidR="00025CE3" w:rsidRPr="004C53FB" w:rsidRDefault="00025CE3" w:rsidP="00025CE3">
      <w:pPr>
        <w:pStyle w:val="NormalHanging12a"/>
      </w:pPr>
      <w:r w:rsidRPr="004C53FB">
        <w:t>–</w:t>
      </w:r>
      <w:r w:rsidRPr="004C53FB">
        <w:tab/>
        <w:t>ob upoštevanju Uredbe (EU) 2015/2219 Evropskega parlamenta in Sveta z dne 25. novembra 2015 o Agenciji Evropske unije za usposabljanje na področju preprečevanja, odkrivanja in preiskovanja kaznivih dejanj (CEPOL) ter nadomestitvi in razveljavitvi Sklepa Sveta 2005/681/PNZ</w:t>
      </w:r>
      <w:r w:rsidRPr="004C53FB">
        <w:rPr>
          <w:rStyle w:val="FootnoteReference"/>
        </w:rPr>
        <w:footnoteReference w:id="4"/>
      </w:r>
      <w:r w:rsidRPr="004C53FB">
        <w:t xml:space="preserve"> in zlasti člena 20,</w:t>
      </w:r>
    </w:p>
    <w:p w:rsidR="00025CE3" w:rsidRPr="004C53FB" w:rsidRDefault="00025CE3" w:rsidP="00025CE3">
      <w:pPr>
        <w:pStyle w:val="NormalHanging12a"/>
      </w:pPr>
      <w:r w:rsidRPr="004C53FB">
        <w:t>–</w:t>
      </w:r>
      <w:r w:rsidRPr="004C53FB">
        <w:tab/>
        <w:t xml:space="preserve">ob upoštevanju Delegirane uredbe Komisije (EU) 2019/715 z dne 18. decembra 2018 o okvirni finančni uredbi za organe, ustanovljene na podlagi PDEU in Pogodbe </w:t>
      </w:r>
      <w:proofErr w:type="spellStart"/>
      <w:r w:rsidRPr="004C53FB">
        <w:t>Euratom</w:t>
      </w:r>
      <w:proofErr w:type="spellEnd"/>
      <w:r w:rsidRPr="004C53FB">
        <w:t xml:space="preserve">, iz člena 70 Uredbe (EU, </w:t>
      </w:r>
      <w:proofErr w:type="spellStart"/>
      <w:r w:rsidRPr="004C53FB">
        <w:t>Euratom</w:t>
      </w:r>
      <w:proofErr w:type="spellEnd"/>
      <w:r w:rsidRPr="004C53FB">
        <w:t>) 2018/1046 Evropskega parlamenta in Sveta</w:t>
      </w:r>
      <w:r w:rsidRPr="004C53FB">
        <w:rPr>
          <w:rStyle w:val="FootnoteReference"/>
        </w:rPr>
        <w:footnoteReference w:id="5"/>
      </w:r>
      <w:r w:rsidRPr="004C53FB">
        <w:t xml:space="preserve"> in zlasti člena 105,</w:t>
      </w:r>
    </w:p>
    <w:p w:rsidR="00025CE3" w:rsidRPr="004C53FB" w:rsidRDefault="00025CE3" w:rsidP="00025CE3">
      <w:pPr>
        <w:pStyle w:val="NormalHanging12a"/>
      </w:pPr>
      <w:r w:rsidRPr="004C53FB">
        <w:t>–</w:t>
      </w:r>
      <w:r w:rsidRPr="004C53FB">
        <w:tab/>
        <w:t>ob upoštevanju člena 100 in Priloge V Poslovnika,</w:t>
      </w:r>
    </w:p>
    <w:p w:rsidR="00025CE3" w:rsidRPr="004C53FB" w:rsidRDefault="00025CE3" w:rsidP="00025CE3">
      <w:pPr>
        <w:pStyle w:val="NormalHanging12a"/>
      </w:pPr>
      <w:r w:rsidRPr="004C53FB">
        <w:t>–</w:t>
      </w:r>
      <w:r w:rsidRPr="004C53FB">
        <w:tab/>
        <w:t>ob upoštevanju mnenja Odbora za državljanske svoboščine, pravosodje in notranje zadeve,</w:t>
      </w:r>
    </w:p>
    <w:p w:rsidR="00025CE3" w:rsidRPr="004C53FB" w:rsidRDefault="00025CE3" w:rsidP="00025CE3">
      <w:pPr>
        <w:pStyle w:val="NormalHanging12a"/>
      </w:pPr>
      <w:r w:rsidRPr="004C53FB">
        <w:t>–</w:t>
      </w:r>
      <w:r w:rsidRPr="004C53FB">
        <w:tab/>
        <w:t>ob upoštevanju poročila Odbora za proračunski nadzor (A9</w:t>
      </w:r>
      <w:r w:rsidR="00E1121B" w:rsidRPr="004C53FB">
        <w:t>-</w:t>
      </w:r>
      <w:r w:rsidRPr="004C53FB">
        <w:t>0098/2024),</w:t>
      </w:r>
    </w:p>
    <w:p w:rsidR="00025CE3" w:rsidRPr="004C53FB" w:rsidRDefault="00025CE3" w:rsidP="00025CE3">
      <w:pPr>
        <w:pStyle w:val="NormalHanging12a"/>
      </w:pPr>
      <w:r w:rsidRPr="004C53FB">
        <w:t>1.</w:t>
      </w:r>
      <w:r w:rsidRPr="004C53FB">
        <w:tab/>
        <w:t>podeli razrešnico izvršni direktorici Agencije Evropske unije za usposabljanje na področju preprečevanja, odkrivanja in preiskovanja kaznivih dejanj (CEPOL) glede izvrševanja proračuna agencije za proračunsko leto 2022;</w:t>
      </w:r>
    </w:p>
    <w:p w:rsidR="00025CE3" w:rsidRPr="004C53FB" w:rsidRDefault="00025CE3" w:rsidP="00025CE3">
      <w:pPr>
        <w:pStyle w:val="NormalHanging12a"/>
      </w:pPr>
      <w:r w:rsidRPr="004C53FB">
        <w:t>2.</w:t>
      </w:r>
      <w:r w:rsidRPr="004C53FB">
        <w:tab/>
        <w:t>navaja svoje pripombe v spodnji resoluciji;</w:t>
      </w:r>
    </w:p>
    <w:p w:rsidR="00025CE3" w:rsidRPr="004C53FB" w:rsidRDefault="00025CE3" w:rsidP="00025CE3">
      <w:pPr>
        <w:pStyle w:val="NormalHanging12a"/>
      </w:pPr>
      <w:r w:rsidRPr="004C53FB">
        <w:t>3.</w:t>
      </w:r>
      <w:r w:rsidRPr="004C53FB">
        <w:tab/>
        <w:t xml:space="preserve">naroči svoji predsednici, naj ta sklep in resolucijo, ki je del sklepa, posreduje izvršni direktorici Agencije Evropske unije za usposabljanje na področju preprečevanja, odkrivanja in preiskovanja kaznivih dejanj (CEPOL), Svetu, Komisiji in Računskemu sodišču in poskrbi za objavo v </w:t>
      </w:r>
      <w:r w:rsidRPr="004C53FB">
        <w:rPr>
          <w:i/>
        </w:rPr>
        <w:t>Uradnem listu Evropske unije</w:t>
      </w:r>
      <w:r w:rsidRPr="004C53FB">
        <w:t xml:space="preserve"> (serija L).</w:t>
      </w:r>
    </w:p>
    <w:p w:rsidR="00025CE3" w:rsidRPr="004C53FB" w:rsidRDefault="00025CE3" w:rsidP="00025CE3"/>
    <w:p w:rsidR="00025CE3" w:rsidRPr="004C53FB" w:rsidRDefault="00025CE3" w:rsidP="00025CE3">
      <w:pPr>
        <w:pStyle w:val="PageHeading"/>
        <w:sectPr w:rsidR="00025CE3" w:rsidRPr="004C53FB" w:rsidSect="005E2A2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25CE3" w:rsidRPr="004C53FB" w:rsidRDefault="00025CE3" w:rsidP="006C4F21">
      <w:pPr>
        <w:pStyle w:val="ATHeading3"/>
      </w:pPr>
      <w:bookmarkStart w:id="8" w:name="_Toc161915607"/>
      <w:r w:rsidRPr="004C53FB">
        <w:lastRenderedPageBreak/>
        <w:t xml:space="preserve">2. </w:t>
      </w:r>
      <w:bookmarkEnd w:id="8"/>
      <w:r w:rsidR="006C4F21" w:rsidRPr="004C53FB">
        <w:t xml:space="preserve">Sklep Evropskega </w:t>
      </w:r>
      <w:r w:rsidR="0023491E" w:rsidRPr="004C53FB">
        <w:t>parlamenta</w:t>
      </w:r>
      <w:r w:rsidR="006C4F21" w:rsidRPr="004C53FB">
        <w:t xml:space="preserve"> z dne 11. aprila 2024 </w:t>
      </w:r>
      <w:r w:rsidRPr="004C53FB">
        <w:t>o zaključnem računu Agencije Evropske unije za usposabljanje na področju preprečevanja, odkrivanja in preiskovanja kaznivih dejanj (CEPOL) za proračunsko leto 2022</w:t>
      </w:r>
      <w:r w:rsidR="006C4F21" w:rsidRPr="004C53FB">
        <w:t xml:space="preserve"> (2023</w:t>
      </w:r>
      <w:r w:rsidRPr="004C53FB">
        <w:t>/2144(DEC))</w:t>
      </w:r>
    </w:p>
    <w:p w:rsidR="00025CE3" w:rsidRPr="004C53FB" w:rsidRDefault="00025CE3" w:rsidP="00025CE3">
      <w:pPr>
        <w:pStyle w:val="EPComma"/>
      </w:pPr>
      <w:r w:rsidRPr="004C53FB">
        <w:rPr>
          <w:i/>
        </w:rPr>
        <w:t>Evropski parlament</w:t>
      </w:r>
      <w:r w:rsidRPr="004C53FB">
        <w:t>,</w:t>
      </w:r>
    </w:p>
    <w:p w:rsidR="00025CE3" w:rsidRPr="004C53FB" w:rsidRDefault="00025CE3" w:rsidP="00025CE3">
      <w:pPr>
        <w:pStyle w:val="NormalHanging12a"/>
      </w:pPr>
      <w:r w:rsidRPr="004C53FB">
        <w:t>–</w:t>
      </w:r>
      <w:r w:rsidRPr="004C53FB">
        <w:tab/>
        <w:t>ob upoštevanju končnega zaključnega računa Agencije Evropske unije za usposabljanje na področju preprečevanja, odkrivanja in preiskovanja kaznivih dejanj (CEPOL) za proračunsko leto 2022,</w:t>
      </w:r>
    </w:p>
    <w:p w:rsidR="00025CE3" w:rsidRPr="004C53FB" w:rsidRDefault="00025CE3" w:rsidP="00025CE3">
      <w:pPr>
        <w:pStyle w:val="NormalHanging12a"/>
      </w:pPr>
      <w:r w:rsidRPr="004C53FB">
        <w:t>–</w:t>
      </w:r>
      <w:r w:rsidRPr="004C53FB">
        <w:tab/>
        <w:t>ob upoštevanju letnega poročila Računskega sodišča o agencijah EU za proračunsko leto 2022 skupaj z odgovori agencij</w:t>
      </w:r>
      <w:r w:rsidRPr="004C53FB">
        <w:rPr>
          <w:rStyle w:val="FootnoteReference"/>
        </w:rPr>
        <w:footnoteReference w:id="6"/>
      </w:r>
      <w:r w:rsidRPr="004C53FB">
        <w:t>,</w:t>
      </w:r>
    </w:p>
    <w:p w:rsidR="00025CE3" w:rsidRPr="004C53FB" w:rsidRDefault="00025CE3" w:rsidP="00025CE3">
      <w:pPr>
        <w:pStyle w:val="NormalHanging12a"/>
      </w:pPr>
      <w:r w:rsidRPr="004C53FB">
        <w:t>–</w:t>
      </w:r>
      <w:r w:rsidRPr="004C53FB">
        <w:tab/>
        <w:t>ob upoštevanju izjave o zanesljivosti</w:t>
      </w:r>
      <w:r w:rsidRPr="004C53FB">
        <w:rPr>
          <w:rStyle w:val="FootnoteReference"/>
        </w:rPr>
        <w:footnoteReference w:id="7"/>
      </w:r>
      <w:r w:rsidRPr="004C53FB">
        <w:t xml:space="preserve"> računovodskih izkazov ter zakonitosti in pravilnosti z njimi povezanih transakcij, ki jo je za proračunsko leto 2022 v skladu s členom 287 Pogodbe o delovanju Evropske unije pripravilo Računsko sodišče,</w:t>
      </w:r>
    </w:p>
    <w:p w:rsidR="00025CE3" w:rsidRPr="004C53FB" w:rsidRDefault="00025CE3" w:rsidP="00025CE3">
      <w:pPr>
        <w:pStyle w:val="NormalHanging12a"/>
      </w:pPr>
      <w:r w:rsidRPr="004C53FB">
        <w:t>–</w:t>
      </w:r>
      <w:r w:rsidRPr="004C53FB">
        <w:tab/>
        <w:t>ob upoštevanju priporočila Sveta z dne 22. februarja 2024 o podelitvi razrešnice agenciji glede izvrševanja proračuna za proračunsko leto 2022 (</w:t>
      </w:r>
      <w:r w:rsidR="00E1121B" w:rsidRPr="004C53FB">
        <w:t>06180</w:t>
      </w:r>
      <w:r w:rsidRPr="004C53FB">
        <w:t>/2024 – C9</w:t>
      </w:r>
      <w:r w:rsidRPr="004C53FB">
        <w:noBreakHyphen/>
      </w:r>
      <w:r w:rsidR="00E1121B" w:rsidRPr="004C53FB">
        <w:t>0082</w:t>
      </w:r>
      <w:r w:rsidRPr="004C53FB">
        <w:t>/2024),</w:t>
      </w:r>
    </w:p>
    <w:p w:rsidR="00025CE3" w:rsidRPr="004C53FB" w:rsidRDefault="00025CE3" w:rsidP="00025CE3">
      <w:pPr>
        <w:pStyle w:val="NormalHanging12a"/>
      </w:pPr>
      <w:r w:rsidRPr="004C53FB">
        <w:t>–</w:t>
      </w:r>
      <w:r w:rsidRPr="004C53FB">
        <w:tab/>
        <w:t>ob upoštevanju člena 319 Pogodbe o delovanju Evropske unije,</w:t>
      </w:r>
    </w:p>
    <w:p w:rsidR="00025CE3" w:rsidRPr="004C53FB" w:rsidRDefault="00025CE3" w:rsidP="00025CE3">
      <w:pPr>
        <w:pStyle w:val="NormalHanging12a"/>
      </w:pPr>
      <w:r w:rsidRPr="004C53FB">
        <w:t>–</w:t>
      </w:r>
      <w:r w:rsidRPr="004C53FB">
        <w:tab/>
        <w:t xml:space="preserve">ob upoštevanju Uredbe (EU, </w:t>
      </w:r>
      <w:proofErr w:type="spellStart"/>
      <w:r w:rsidRPr="004C53FB">
        <w:t>Euratom</w:t>
      </w:r>
      <w:proofErr w:type="spellEnd"/>
      <w:r w:rsidRPr="004C53FB">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4C53FB">
        <w:t>Euratom</w:t>
      </w:r>
      <w:proofErr w:type="spellEnd"/>
      <w:r w:rsidRPr="004C53FB">
        <w:t>) št. 966/2012</w:t>
      </w:r>
      <w:r w:rsidRPr="004C53FB">
        <w:rPr>
          <w:rStyle w:val="FootnoteReference"/>
        </w:rPr>
        <w:footnoteReference w:id="8"/>
      </w:r>
      <w:r w:rsidRPr="004C53FB">
        <w:t xml:space="preserve"> in zlasti člena 70,</w:t>
      </w:r>
    </w:p>
    <w:p w:rsidR="00025CE3" w:rsidRPr="004C53FB" w:rsidRDefault="00025CE3" w:rsidP="00025CE3">
      <w:pPr>
        <w:pStyle w:val="NormalHanging12a"/>
      </w:pPr>
      <w:r w:rsidRPr="004C53FB">
        <w:t>–</w:t>
      </w:r>
      <w:r w:rsidRPr="004C53FB">
        <w:tab/>
        <w:t>ob upoštevanju Uredbe (EU) 2015/2219 Evropskega parlamenta in Sveta z dne 25. novembra 2015 o Agenciji Evropske unije za usposabljanje na področju preprečevanja, odkrivanja in preiskovanja kaznivih dejanj (CEPOL) ter nadomestitvi in razveljavitvi Sklepa Sveta 2005/681/PNZ</w:t>
      </w:r>
      <w:r w:rsidRPr="004C53FB">
        <w:rPr>
          <w:rStyle w:val="FootnoteReference"/>
        </w:rPr>
        <w:footnoteReference w:id="9"/>
      </w:r>
      <w:r w:rsidRPr="004C53FB">
        <w:t xml:space="preserve"> in zlasti člena 20,</w:t>
      </w:r>
    </w:p>
    <w:p w:rsidR="00025CE3" w:rsidRPr="004C53FB" w:rsidRDefault="00025CE3" w:rsidP="00025CE3">
      <w:pPr>
        <w:pStyle w:val="NormalHanging12a"/>
      </w:pPr>
      <w:r w:rsidRPr="004C53FB">
        <w:t>–</w:t>
      </w:r>
      <w:r w:rsidRPr="004C53FB">
        <w:tab/>
        <w:t xml:space="preserve">ob upoštevanju Delegirane uredbe Komisije (EU) 2019/715 z dne 18. decembra 2018 o okvirni finančni uredbi za organe, ustanovljene na podlagi PDEU in Pogodbe </w:t>
      </w:r>
      <w:proofErr w:type="spellStart"/>
      <w:r w:rsidRPr="004C53FB">
        <w:t>Euratom</w:t>
      </w:r>
      <w:proofErr w:type="spellEnd"/>
      <w:r w:rsidRPr="004C53FB">
        <w:t xml:space="preserve">, iz člena 70 Uredbe (EU, </w:t>
      </w:r>
      <w:proofErr w:type="spellStart"/>
      <w:r w:rsidRPr="004C53FB">
        <w:t>Euratom</w:t>
      </w:r>
      <w:proofErr w:type="spellEnd"/>
      <w:r w:rsidRPr="004C53FB">
        <w:t>) 2018/1046 Evropskega parlamenta in Sveta</w:t>
      </w:r>
      <w:r w:rsidRPr="004C53FB">
        <w:rPr>
          <w:rStyle w:val="FootnoteReference"/>
        </w:rPr>
        <w:footnoteReference w:id="10"/>
      </w:r>
      <w:r w:rsidRPr="004C53FB">
        <w:t xml:space="preserve"> in zlasti člena 105,</w:t>
      </w:r>
    </w:p>
    <w:p w:rsidR="00025CE3" w:rsidRPr="004C53FB" w:rsidRDefault="00025CE3" w:rsidP="00025CE3">
      <w:pPr>
        <w:pStyle w:val="NormalHanging12a"/>
      </w:pPr>
      <w:r w:rsidRPr="004C53FB">
        <w:t>–</w:t>
      </w:r>
      <w:r w:rsidRPr="004C53FB">
        <w:tab/>
        <w:t>ob upoštevanju člena 100 in Priloge V Poslovnika,</w:t>
      </w:r>
    </w:p>
    <w:p w:rsidR="00025CE3" w:rsidRPr="004C53FB" w:rsidRDefault="00025CE3" w:rsidP="00025CE3">
      <w:pPr>
        <w:pStyle w:val="NormalHanging12a"/>
      </w:pPr>
      <w:r w:rsidRPr="004C53FB">
        <w:t>–</w:t>
      </w:r>
      <w:r w:rsidRPr="004C53FB">
        <w:tab/>
        <w:t>ob upoštevanju mnenja Odbora za državljanske svoboščine, pravosodje in notranje zadeve,</w:t>
      </w:r>
    </w:p>
    <w:p w:rsidR="00025CE3" w:rsidRPr="004C53FB" w:rsidRDefault="00025CE3" w:rsidP="00025CE3">
      <w:pPr>
        <w:pStyle w:val="NormalHanging12a"/>
      </w:pPr>
      <w:r w:rsidRPr="004C53FB">
        <w:t>–</w:t>
      </w:r>
      <w:r w:rsidRPr="004C53FB">
        <w:tab/>
        <w:t>ob upoštevanju poročila Odbora za proračunski nadzor (A9</w:t>
      </w:r>
      <w:r w:rsidRPr="004C53FB">
        <w:noBreakHyphen/>
        <w:t>0098/2024),</w:t>
      </w:r>
    </w:p>
    <w:p w:rsidR="00025CE3" w:rsidRPr="004C53FB" w:rsidRDefault="00025CE3" w:rsidP="00025CE3">
      <w:pPr>
        <w:pStyle w:val="NormalHanging12a"/>
      </w:pPr>
      <w:r w:rsidRPr="004C53FB">
        <w:t>1.</w:t>
      </w:r>
      <w:r w:rsidRPr="004C53FB">
        <w:tab/>
        <w:t>odobri zaključni račun Agencije Evropske unije za usposabljanje na področju preprečevanja, odkrivanja in preiskovanja kaznivih dejanj (CEPOL) za proračunsko leto 2022;</w:t>
      </w:r>
    </w:p>
    <w:p w:rsidR="00025CE3" w:rsidRPr="004C53FB" w:rsidRDefault="00025CE3" w:rsidP="00025CE3">
      <w:pPr>
        <w:pStyle w:val="NormalHanging12a"/>
      </w:pPr>
      <w:r w:rsidRPr="004C53FB">
        <w:t>2.</w:t>
      </w:r>
      <w:r w:rsidRPr="004C53FB">
        <w:tab/>
        <w:t xml:space="preserve">naroči svoji predsednici, naj ta sklep posreduje izvršni direktorici Agencije Evropske unije za usposabljanje na področju preprečevanja, odkrivanja in preiskovanja kaznivih dejanj (CEPOL), Svetu, Komisiji in Računskemu sodišču in poskrbi za objavo v </w:t>
      </w:r>
      <w:r w:rsidRPr="004C53FB">
        <w:rPr>
          <w:i/>
        </w:rPr>
        <w:t>Uradnem listu Evropske unije</w:t>
      </w:r>
      <w:r w:rsidRPr="004C53FB">
        <w:t xml:space="preserve"> (serija L).</w:t>
      </w:r>
    </w:p>
    <w:p w:rsidR="00025CE3" w:rsidRPr="004C53FB" w:rsidRDefault="00025CE3" w:rsidP="00025CE3"/>
    <w:p w:rsidR="00025CE3" w:rsidRPr="004C53FB" w:rsidRDefault="00025CE3" w:rsidP="00025CE3">
      <w:pPr>
        <w:pStyle w:val="PageHeading"/>
        <w:sectPr w:rsidR="00025CE3" w:rsidRPr="004C53FB" w:rsidSect="005E2A2A">
          <w:footnotePr>
            <w:numRestart w:val="eachPage"/>
          </w:footnotePr>
          <w:endnotePr>
            <w:numFmt w:val="decimal"/>
          </w:endnotePr>
          <w:pgSz w:w="11906" w:h="16838" w:code="9"/>
          <w:pgMar w:top="1134" w:right="1418" w:bottom="1418" w:left="1418" w:header="567" w:footer="567" w:gutter="0"/>
          <w:cols w:space="720"/>
          <w:noEndnote/>
          <w:docGrid w:linePitch="326"/>
        </w:sectPr>
      </w:pPr>
    </w:p>
    <w:p w:rsidR="00025CE3" w:rsidRPr="004C53FB" w:rsidRDefault="00025CE3" w:rsidP="009E7E5B">
      <w:pPr>
        <w:pStyle w:val="ATHeading3"/>
      </w:pPr>
      <w:bookmarkStart w:id="9" w:name="_Toc161915608"/>
      <w:r w:rsidRPr="004C53FB">
        <w:t xml:space="preserve">3. </w:t>
      </w:r>
      <w:r w:rsidR="009E7E5B" w:rsidRPr="004C53FB">
        <w:t>Resolucija Evropskega parlamenta</w:t>
      </w:r>
      <w:bookmarkEnd w:id="9"/>
      <w:r w:rsidR="009E7E5B" w:rsidRPr="004C53FB">
        <w:t xml:space="preserve"> z dne 11. aprila 2024 </w:t>
      </w:r>
      <w:r w:rsidRPr="004C53FB">
        <w:t>s pripombami, ki so del sklepa o razrešnici glede izvrševanja proračuna Agencije Evropske unije za usposabljanje na področju preprečevanja, odkrivanja in preiskovanja kaznivih dejanj (CEPOL) za proračunsko leto 2022</w:t>
      </w:r>
      <w:r w:rsidR="009E7E5B" w:rsidRPr="004C53FB">
        <w:t xml:space="preserve"> </w:t>
      </w:r>
      <w:r w:rsidRPr="004C53FB">
        <w:t>(2023/2144(DEC))</w:t>
      </w:r>
    </w:p>
    <w:p w:rsidR="00025CE3" w:rsidRPr="004C53FB" w:rsidRDefault="00025CE3" w:rsidP="00025CE3">
      <w:pPr>
        <w:pStyle w:val="EPComma"/>
      </w:pPr>
      <w:r w:rsidRPr="004C53FB">
        <w:rPr>
          <w:i/>
        </w:rPr>
        <w:t>Evropski parlament</w:t>
      </w:r>
      <w:r w:rsidRPr="004C53FB">
        <w:t>,</w:t>
      </w:r>
    </w:p>
    <w:p w:rsidR="00025CE3" w:rsidRPr="004C53FB" w:rsidRDefault="00025CE3" w:rsidP="00025CE3">
      <w:pPr>
        <w:pStyle w:val="NormalHanging12a"/>
      </w:pPr>
      <w:r w:rsidRPr="004C53FB">
        <w:t>–</w:t>
      </w:r>
      <w:r w:rsidRPr="004C53FB">
        <w:tab/>
        <w:t>ob upoštevanju sklepa o razrešnici glede izvrševanja proračuna Agencije Evropske unije za usposabljanje na področju preprečevanja, odkrivanja in preiskovanja kaznivih dejanj (CEPOL) za proračunsko leto 2022,</w:t>
      </w:r>
    </w:p>
    <w:p w:rsidR="00025CE3" w:rsidRPr="004C53FB" w:rsidRDefault="00025CE3" w:rsidP="00025CE3">
      <w:pPr>
        <w:pStyle w:val="NormalHanging12a"/>
      </w:pPr>
      <w:r w:rsidRPr="004C53FB">
        <w:t>–</w:t>
      </w:r>
      <w:r w:rsidRPr="004C53FB">
        <w:tab/>
        <w:t>ob upoštevanju člena 100 in Priloge V Poslovnika,</w:t>
      </w:r>
    </w:p>
    <w:p w:rsidR="00025CE3" w:rsidRPr="004C53FB" w:rsidRDefault="00025CE3" w:rsidP="00025CE3">
      <w:pPr>
        <w:pStyle w:val="NormalHanging12a"/>
      </w:pPr>
      <w:r w:rsidRPr="004C53FB">
        <w:t>–</w:t>
      </w:r>
      <w:r w:rsidRPr="004C53FB">
        <w:tab/>
        <w:t>ob upoštevanju mnenja Odbora za državljanske svoboščine, pravosodje in notranje zadeve,</w:t>
      </w:r>
    </w:p>
    <w:p w:rsidR="00025CE3" w:rsidRPr="004C53FB" w:rsidRDefault="00025CE3" w:rsidP="00025CE3">
      <w:pPr>
        <w:pStyle w:val="NormalHanging12a"/>
      </w:pPr>
      <w:r w:rsidRPr="004C53FB">
        <w:t>–</w:t>
      </w:r>
      <w:r w:rsidRPr="004C53FB">
        <w:tab/>
        <w:t>ob upoštevanju poročila Odbora za proračunski nadzor (A9</w:t>
      </w:r>
      <w:r w:rsidRPr="004C53FB">
        <w:noBreakHyphen/>
        <w:t>0098/2024),</w:t>
      </w:r>
    </w:p>
    <w:p w:rsidR="00025CE3" w:rsidRPr="004C53FB" w:rsidRDefault="00025CE3" w:rsidP="00025CE3">
      <w:pPr>
        <w:pStyle w:val="ListParagraph"/>
        <w:widowControl w:val="0"/>
        <w:spacing w:after="240"/>
        <w:ind w:left="567" w:hanging="567"/>
        <w:contextualSpacing w:val="0"/>
        <w:jc w:val="left"/>
        <w:rPr>
          <w:rFonts w:eastAsia="Times New Roman"/>
        </w:rPr>
      </w:pPr>
      <w:r w:rsidRPr="004C53FB">
        <w:t>A.</w:t>
      </w:r>
      <w:r w:rsidRPr="004C53FB">
        <w:tab/>
        <w:t>ker poročilo o prihodkih in odhodkih</w:t>
      </w:r>
      <w:r w:rsidRPr="004C53FB">
        <w:rPr>
          <w:rStyle w:val="FootnoteReference"/>
          <w:rFonts w:eastAsia="Times New Roman"/>
          <w:lang w:eastAsia="en-GB"/>
        </w:rPr>
        <w:footnoteReference w:id="11"/>
      </w:r>
      <w:r w:rsidRPr="004C53FB">
        <w:t xml:space="preserve"> Agencije Evropske unije za usposabljanje na področju preprečevanja, odkrivanja in preiskovanja kaznivih dejanj (CEPOL) (v nadaljnjem besedilu: agencija) kaže, da je njen končni proračun v proračunskem letu 2022 znašal 28.295.362 EUR, kar je 5,82 % manj kot leta 2021; ker se agencija financira s prispevkom Unije in zunanjimi namenskimi prejemki za posebne projekte;</w:t>
      </w:r>
    </w:p>
    <w:p w:rsidR="00025CE3" w:rsidRPr="004C53FB" w:rsidRDefault="00025CE3" w:rsidP="00025CE3">
      <w:pPr>
        <w:spacing w:after="240"/>
        <w:ind w:left="567" w:hanging="567"/>
        <w:rPr>
          <w:szCs w:val="24"/>
        </w:rPr>
      </w:pPr>
      <w:r w:rsidRPr="004C53FB">
        <w:t>B.</w:t>
      </w:r>
      <w:r w:rsidRPr="004C53FB">
        <w:tab/>
        <w:t>ker Računsko sodišče v poročilu o zaključnem računu agencije za proračunsko leto 2022 (v nadaljnjem besedilu: poročilo Računskega sodišča) navaja, da je prejelo razumno zagotovilo o zanesljivosti računovodskih izkazov agencije ter o zakonitosti in pravilnosti z njimi povezanih transakcij, ki se nanašajo na prihodke, v vseh pomembnih vidikih; ker je Računsko sodišče ugotovilo nepravilna plačila v skupnem znesku 4,2 milijona EUR, od tega 4,1 milijona EUR v povezavi s 359 plačili, izvršenimi na podlagi dveh okvirnih pogodb, ki sta se izvajali na podlagi zahtevkov za storitve, ki so jih v imenu agencije poslali uslužbenci, ki niso imeli pooblastil za prevzem pravnih obveznosti, in 152.655 EUR kot plačila, izvršena v letu 2022 na podlagi okvirne pogodbe, v zvezi s katero nekaterih plačanih zneskov ni bilo mogoče uskladiti z opravljenimi storitvami, kar skupaj predstavlja 13,5 % odobritev plačil, ki so bila na voljo v letu 2022, kar je preseglo prag pomembnosti, določen za revizijo, in je zato Računsko sodišče izdalo mnenje s pridržkom o zakonitosti in pravilnosti plačil, povezanih z zaključnim računom; ker je Računsko sodišče, razen za neskladna plačila, prišlo do zaključka, da so osnovne transakcije v zvezi s plačili za leto, ki se je končalo 31. decembra 2022, v vseh pomembnih pogledih zakonite in pravilne;</w:t>
      </w:r>
    </w:p>
    <w:p w:rsidR="00025CE3" w:rsidRPr="004C53FB" w:rsidRDefault="00025CE3" w:rsidP="00025CE3">
      <w:pPr>
        <w:spacing w:after="240"/>
        <w:ind w:left="567" w:hanging="567"/>
        <w:rPr>
          <w:b/>
          <w:i/>
          <w:szCs w:val="24"/>
        </w:rPr>
      </w:pPr>
      <w:r w:rsidRPr="004C53FB">
        <w:rPr>
          <w:b/>
          <w:i/>
        </w:rPr>
        <w:t xml:space="preserve">Proračunsko upravljanje in finančno </w:t>
      </w:r>
      <w:proofErr w:type="spellStart"/>
      <w:r w:rsidRPr="004C53FB">
        <w:rPr>
          <w:b/>
          <w:i/>
        </w:rPr>
        <w:t>poslovodenje</w:t>
      </w:r>
      <w:proofErr w:type="spellEnd"/>
    </w:p>
    <w:p w:rsidR="00025CE3" w:rsidRPr="004C53FB" w:rsidRDefault="00025CE3" w:rsidP="00025CE3">
      <w:pPr>
        <w:spacing w:after="240"/>
        <w:ind w:left="567" w:hanging="567"/>
        <w:rPr>
          <w:szCs w:val="24"/>
        </w:rPr>
      </w:pPr>
      <w:r w:rsidRPr="004C53FB">
        <w:t>1.</w:t>
      </w:r>
      <w:r w:rsidRPr="004C53FB">
        <w:rPr>
          <w:color w:val="FFFFFF" w:themeColor="background1"/>
        </w:rPr>
        <w:tab/>
      </w:r>
      <w:r w:rsidRPr="004C53FB">
        <w:t>z zadovoljstvom ugotavlja, da je stopnja izvrševanja proračuna zaradi proračunskega spremljanja v proračunskem letu 2022 znašala 100 %, kar je 3,21 % več kot leta 2021; ugotavlja, da je stopnja izvrševanja plačil znašala 84,66 %, kar je 12,93 % več kot leta 2021; ugotavlja tudi, da je bilo 1,6 milijona EUR, kar je 15 % obveznosti v letu 2022, prenesenih v leto 2023; ugotavlja, da je stopnja izvrševanja proračuna v zvezi s sredstvi Unije za zunanjo pomoč, namenjenimi pomoči tretjim državam pri krepitvi njihovih zmogljivosti na ustreznih področjih politike preprečevanja, odkrivanja in preiskovanja kaznivih dejanj, do konca leta 2022 dosegla 48,5 %;</w:t>
      </w:r>
    </w:p>
    <w:p w:rsidR="00025CE3" w:rsidRPr="004C53FB" w:rsidRDefault="00025CE3" w:rsidP="00025CE3">
      <w:pPr>
        <w:spacing w:after="240"/>
        <w:ind w:left="567" w:hanging="567"/>
        <w:rPr>
          <w:b/>
          <w:i/>
          <w:szCs w:val="24"/>
        </w:rPr>
      </w:pPr>
      <w:r w:rsidRPr="004C53FB">
        <w:rPr>
          <w:b/>
          <w:i/>
        </w:rPr>
        <w:t>Uspešnost</w:t>
      </w:r>
    </w:p>
    <w:p w:rsidR="00025CE3" w:rsidRPr="004C53FB" w:rsidRDefault="00025CE3" w:rsidP="00025CE3">
      <w:pPr>
        <w:spacing w:after="240"/>
        <w:ind w:left="567" w:hanging="567"/>
        <w:rPr>
          <w:szCs w:val="24"/>
        </w:rPr>
      </w:pPr>
      <w:r w:rsidRPr="004C53FB">
        <w:t>2.</w:t>
      </w:r>
      <w:r w:rsidRPr="004C53FB">
        <w:tab/>
        <w:t>izreka pohvalo agenciji za 100-odstotno izvedbo delovnega programa za leto 2022, saj je od 417 načrtovanih usposabljanj izvedla 418 usposabljanj; ugotavlja, da je agencija v letu 2022 skupnosti organov kazenskega pregona še naprej zagotavljala usposabljanje, tako da se je v največji možni meri oprla na spletno okolje; z zadovoljstvom ugotavlja, da je bila stopnja zadovoljstva strank v letu 2022 še naprej visoka, saj je 97 % udeležencev usposabljanj agencije izjavilo, da so zadovoljni ali zelo zadovoljni;</w:t>
      </w:r>
    </w:p>
    <w:p w:rsidR="00025CE3" w:rsidRPr="004C53FB" w:rsidRDefault="00025CE3" w:rsidP="00025CE3">
      <w:pPr>
        <w:spacing w:after="240"/>
        <w:ind w:left="567" w:hanging="567"/>
        <w:rPr>
          <w:szCs w:val="24"/>
        </w:rPr>
      </w:pPr>
      <w:r w:rsidRPr="004C53FB">
        <w:t>3.</w:t>
      </w:r>
      <w:r w:rsidRPr="004C53FB">
        <w:tab/>
        <w:t>z zadovoljstvom ugotavlja, da agencija nekatere ukrepe uporablja kot ključne kazalnike uspešnosti, da bi ocenila dodano vrednost, ki jo ustvarjajo njene dejavnosti, druge ukrepe pa za izboljšanje svojega upravljanja proračuna; ugotavlja, da so bili v letu 2022 doseženi skoraj vsi ključni kazalniki uspešnosti in da le eden od njih, katerega rok je do konca leta 2023, še ni bil dosežen, tj. ključni kazalnik uspešnosti, povezan z odstotkom revizijskih priporočil, zaključenih v skladu z dogovorjenim akcijskih načrtom;</w:t>
      </w:r>
    </w:p>
    <w:p w:rsidR="00025CE3" w:rsidRPr="004C53FB" w:rsidRDefault="00025CE3" w:rsidP="00025CE3">
      <w:pPr>
        <w:spacing w:after="240"/>
        <w:ind w:left="567" w:hanging="567"/>
        <w:rPr>
          <w:szCs w:val="24"/>
        </w:rPr>
      </w:pPr>
      <w:r w:rsidRPr="004C53FB">
        <w:t>4.</w:t>
      </w:r>
      <w:r w:rsidRPr="004C53FB">
        <w:tab/>
        <w:t xml:space="preserve">z zadovoljstvom ugotavlja, da se je v letu 2022 usposabljanj agencije udeležilo 43.838 udeležencev, kar je velik dosežek v primerjavi s številom načrtovanih udeležencev, tj. 27.800; izreka pohvalo agenciji za objavo druge ocene potreb po strateškem usposabljanju EU, v kateri so opredeljene strateške potrebe in potrebe po usposabljanju uradnikov organov preprečevanja, odkrivanja in preiskovanja kaznivih dejanj za naslednji cikel Evropske </w:t>
      </w:r>
      <w:proofErr w:type="spellStart"/>
      <w:r w:rsidRPr="004C53FB">
        <w:t>večdisciplinarne</w:t>
      </w:r>
      <w:proofErr w:type="spellEnd"/>
      <w:r w:rsidRPr="004C53FB">
        <w:t xml:space="preserve"> platforme proti grožnjam kriminala 2022–2025, ter za začetek njenega izvajanja; ugotavlja tudi, da je novoimenovana izvršna direktorica agencije v letu 2022 začela s pripravo nove strategije, v kateri so določene usmeritve agencije za obdobje 2023–2027; pozdravlja tudi strateški dokument, ki ga je pripravila strokovna skupina za temeljne pravice in katerega cilj je vključitev vidikov temeljnih pravic v vse dejavnosti usposabljanja; z zadovoljstvom ugotavlja, da je bilo leta 2022 organizirano ad hoc usposabljanje o zaščiti preiskovalnih novinarjev; pozdravlja posebne ukrepe usposabljanja o temah kaznivih dejanj iz sovraštva ter širjenje znanja o učinkovitih rešitvah za podporo žrtvam;</w:t>
      </w:r>
    </w:p>
    <w:p w:rsidR="00025CE3" w:rsidRPr="004C53FB" w:rsidRDefault="00025CE3" w:rsidP="00025CE3">
      <w:pPr>
        <w:pStyle w:val="NormalHanging12a"/>
      </w:pPr>
      <w:r w:rsidRPr="004C53FB">
        <w:t>5.</w:t>
      </w:r>
      <w:r w:rsidRPr="004C53FB">
        <w:tab/>
        <w:t>izreka pohvalo agenciji, ker se je hitro odzvala na neupravičeno vojno v Ukrajini in ker je v sodelovanju s Svetom Evrope za ukrajinsko generalno tožilstvo izvedla prilagojen tečaj s področja obveščevalnih podatkov iz javnih virov;</w:t>
      </w:r>
    </w:p>
    <w:p w:rsidR="00025CE3" w:rsidRPr="004C53FB" w:rsidRDefault="00025CE3" w:rsidP="00025CE3">
      <w:pPr>
        <w:spacing w:after="240"/>
        <w:ind w:left="567" w:hanging="567"/>
        <w:rPr>
          <w:szCs w:val="24"/>
        </w:rPr>
      </w:pPr>
      <w:r w:rsidRPr="004C53FB">
        <w:t>6.</w:t>
      </w:r>
      <w:r w:rsidRPr="004C53FB">
        <w:tab/>
        <w:t>na podlagi konsolidiranega letnega poročila o dejavnostih agencije za leto 2022 ugotavlja, da eksponentno povečanje števila ponujenih usposabljanj v zadnjih letih (z 18.000 v letu 2016 na skoraj 44.000 v letu 2022) odraža vse večje povpraševanje po usposabljanjih, ki jih mora agencija izvesti; v zvezi s tem ugotavlja, da bi se bilo mogoče v letu 2022 zaradi pomanjkanja virov na to povpraševanje odzvati le s povečanjem spletnega učenja, ki ne izpolnjuje v celoti potreb deležnikov; podpira cilj agencije, da še naprej zagotavlja multidisciplinarne dejavnosti, ki so privlačne za policijske, carinske in mejne uradnike;</w:t>
      </w:r>
    </w:p>
    <w:p w:rsidR="00025CE3" w:rsidRPr="004C53FB" w:rsidRDefault="00025CE3" w:rsidP="00025CE3">
      <w:pPr>
        <w:spacing w:after="240"/>
        <w:ind w:left="567" w:hanging="567"/>
        <w:rPr>
          <w:szCs w:val="24"/>
        </w:rPr>
      </w:pPr>
      <w:r w:rsidRPr="004C53FB">
        <w:t>7.</w:t>
      </w:r>
      <w:r w:rsidRPr="004C53FB">
        <w:tab/>
        <w:t>ugotavlja, da je agencija v letu 2022 še naprej uspešno izvajala štiri projekte za krepitev zmogljivosti v tretjih državah, kar je neposredno prispevalo h krepitvi notranje varnosti Unije, ter dejavnosti usposabljanja pod okriljem CEPOL-</w:t>
      </w:r>
      <w:proofErr w:type="spellStart"/>
      <w:r w:rsidRPr="004C53FB">
        <w:t>ovega</w:t>
      </w:r>
      <w:proofErr w:type="spellEnd"/>
      <w:r w:rsidRPr="004C53FB">
        <w:t xml:space="preserve"> centra znanja o boju proti terorizmu in centra znanja o sodelovanju, izmenjavi informacij in </w:t>
      </w:r>
      <w:proofErr w:type="spellStart"/>
      <w:r w:rsidRPr="004C53FB">
        <w:t>interoperabilnosti</w:t>
      </w:r>
      <w:proofErr w:type="spellEnd"/>
      <w:r w:rsidRPr="004C53FB">
        <w:t xml:space="preserve"> na področju preprečevanja, odkrivanja in preiskovanja kaznivih dejanj; pozdravlja uspešno izvedbo konference o raziskavah in znanosti v sodelovanju z litovsko Univerzo </w:t>
      </w:r>
      <w:proofErr w:type="spellStart"/>
      <w:r w:rsidRPr="004C53FB">
        <w:t>Mykolas</w:t>
      </w:r>
      <w:proofErr w:type="spellEnd"/>
      <w:r w:rsidRPr="004C53FB">
        <w:t xml:space="preserve"> </w:t>
      </w:r>
      <w:proofErr w:type="spellStart"/>
      <w:r w:rsidRPr="004C53FB">
        <w:t>Romeris</w:t>
      </w:r>
      <w:proofErr w:type="spellEnd"/>
      <w:r w:rsidRPr="004C53FB">
        <w:t xml:space="preserve"> v Vilni, ki je okrepila sodelovanje med organi kazenskega pregona in raziskovalnimi sektorji in katere se je udeležilo skoraj 200 udeležencev;</w:t>
      </w:r>
    </w:p>
    <w:p w:rsidR="00025CE3" w:rsidRPr="004C53FB" w:rsidRDefault="00025CE3" w:rsidP="00025CE3">
      <w:pPr>
        <w:pStyle w:val="NormalHanging12a"/>
        <w:jc w:val="both"/>
      </w:pPr>
      <w:r w:rsidRPr="004C53FB">
        <w:t>8.</w:t>
      </w:r>
      <w:r w:rsidRPr="004C53FB">
        <w:tab/>
        <w:t xml:space="preserve">opozarja, da mora usposabljanje na področju preprečevanja, odkrivanja in preiskovanja kaznivih dejanj na ravni Unije odražati njene prednostne naloge v skladu s potrebami držav članic po usposabljanju ter podpirati odziv Unije na huda kazniva dejanja in organizirani kriminal ter druge grožnje notranji varnosti in da bi moralo biti varstvo temeljnih pravic osrednji steber dejavnosti usposabljanja agencije; je seznanjen z dejavnostmi usposabljanja na področju boja proti terorizmu, vključno s financiranjem terorizma, terorizma in strelnega orožja, tujimi terorističnimi bojevniki ter dejavnostmi, usmerjenimi proti ekstremizmu in radikalizaciji; poziva k boljši ponudbi usposabljanja o kibernetski kriminaliteti, kibernetski </w:t>
      </w:r>
      <w:proofErr w:type="spellStart"/>
      <w:r w:rsidRPr="004C53FB">
        <w:t>forenziki</w:t>
      </w:r>
      <w:proofErr w:type="spellEnd"/>
      <w:r w:rsidRPr="004C53FB">
        <w:t>, umetni inteligenci, varstvu podatkov, temeljnih pravicah in boju proti rasizmu na ravni Unije; poziva agencijo, naj pri vseh svojih dejavnostih, zlasti pri dejavnostih s tretjimi državami, zagotovi popolno preglednost in polno spoštovanje temeljnih pravic in mednarodnega prava;</w:t>
      </w:r>
    </w:p>
    <w:p w:rsidR="00025CE3" w:rsidRPr="004C53FB" w:rsidRDefault="00025CE3" w:rsidP="00025CE3">
      <w:pPr>
        <w:spacing w:after="240"/>
        <w:ind w:left="567" w:hanging="567"/>
        <w:rPr>
          <w:szCs w:val="24"/>
        </w:rPr>
      </w:pPr>
      <w:r w:rsidRPr="004C53FB">
        <w:t>9.</w:t>
      </w:r>
      <w:r w:rsidRPr="004C53FB">
        <w:tab/>
        <w:t>ugotavlja, da je agencija uspešno ohranila certificiranje v skladu s standardom ISO 9001:2015 za sistem upravljanja kakovosti in se pripravljala na nadaljnjo razširitev uporabe standarda ISO 29993:2017 za storitve učenja, kar še naprej dokazuje, da agencija zagotavlja učinkovito delovanje sistema kakovosti;</w:t>
      </w:r>
    </w:p>
    <w:p w:rsidR="00025CE3" w:rsidRPr="004C53FB" w:rsidRDefault="00025CE3" w:rsidP="00025CE3">
      <w:pPr>
        <w:widowControl/>
        <w:spacing w:after="240"/>
        <w:ind w:left="567" w:hanging="567"/>
        <w:rPr>
          <w:b/>
          <w:i/>
          <w:szCs w:val="24"/>
        </w:rPr>
      </w:pPr>
      <w:r w:rsidRPr="004C53FB">
        <w:rPr>
          <w:b/>
          <w:i/>
        </w:rPr>
        <w:t>Učinkovitost in dosežki</w:t>
      </w:r>
    </w:p>
    <w:p w:rsidR="00025CE3" w:rsidRPr="004C53FB" w:rsidRDefault="00025CE3" w:rsidP="00025CE3">
      <w:pPr>
        <w:spacing w:after="240"/>
        <w:ind w:left="567" w:hanging="567"/>
        <w:rPr>
          <w:szCs w:val="24"/>
        </w:rPr>
      </w:pPr>
      <w:r w:rsidRPr="004C53FB">
        <w:t>10.</w:t>
      </w:r>
      <w:r w:rsidRPr="004C53FB">
        <w:tab/>
        <w:t xml:space="preserve">ugotavlja, da agencija še naprej tesno sodeluje z mrežo agencij s področja pravosodja in notranjih zadev ter agencijami, ki jo sestavljajo, zlasti z </w:t>
      </w:r>
      <w:r w:rsidRPr="004C53FB">
        <w:rPr>
          <w:rStyle w:val="pointer"/>
        </w:rPr>
        <w:t>Agencijo Evropske unije za sodelovanje na področju preprečevanja, odkrivanja in preiskovanja kaznivih dejanj</w:t>
      </w:r>
      <w:r w:rsidRPr="004C53FB">
        <w:t xml:space="preserve"> (Europol) in Evropsko agencijo za mejno in obalno stražo, in sicer z izmenjavo usposabljanj in skupno organizacijo tečajev; v zvezi s tem ugotavlja, da je agencija leta 2022 predsedovala mreži agencij s področja pravosodja in notranjih zadev; ugotavlja tudi, da ima agencija od leta 2023 sporazum z Evropskim centrom za spremljanje drog in zasvojenosti z drogami (EMCDDA), da bi zagotovila zakup učne platforme agencije </w:t>
      </w:r>
      <w:proofErr w:type="spellStart"/>
      <w:r w:rsidRPr="004C53FB">
        <w:t>LEEd</w:t>
      </w:r>
      <w:proofErr w:type="spellEnd"/>
      <w:r w:rsidRPr="004C53FB">
        <w:t>, s čimer bi centru EMCDDA brezplačno zagotavlja sodobno učno platformo za njegovo skupnost; poziva agencijo, naj še naprej sodeluje z drugimi agencijami, da bi se lahko uporabila vsa razpoložljiva sredstva;</w:t>
      </w:r>
    </w:p>
    <w:p w:rsidR="00025CE3" w:rsidRPr="004C53FB" w:rsidRDefault="00025CE3" w:rsidP="00025CE3">
      <w:pPr>
        <w:spacing w:after="240"/>
        <w:ind w:left="567" w:hanging="567"/>
        <w:rPr>
          <w:szCs w:val="24"/>
        </w:rPr>
      </w:pPr>
      <w:r w:rsidRPr="004C53FB">
        <w:t>11.</w:t>
      </w:r>
      <w:r w:rsidRPr="004C53FB">
        <w:tab/>
        <w:t>izreka pohvalo agenciji, ker je dosegla razmeroma visoko stopnjo digitalizacije, saj so bili številni postopki pretvorjeni v brezpapirne ali elektronske oblike, na primer sistem za oddajo e-javnih naročil za odprte postopke in e-javni razpisi, e-zaposlovanje, e-upravljanje človeških virov (SYSPER), e-izdajanje računov in elektronska rezervacija potovanj, pogosto v tesnem sodelovanju z generalnim direktoratom Komisije za digitalne storitve;</w:t>
      </w:r>
    </w:p>
    <w:p w:rsidR="00025CE3" w:rsidRPr="004C53FB" w:rsidRDefault="00025CE3" w:rsidP="00025CE3">
      <w:pPr>
        <w:spacing w:after="240"/>
        <w:ind w:left="567" w:hanging="567"/>
        <w:rPr>
          <w:szCs w:val="24"/>
        </w:rPr>
      </w:pPr>
      <w:r w:rsidRPr="004C53FB">
        <w:t>12.</w:t>
      </w:r>
      <w:r w:rsidRPr="004C53FB">
        <w:tab/>
        <w:t>ugotavlja, da ima agencija vzpostavljena notranja pravila, v skladu s katerimi morajo uslužbenci (in udeleženci usposabljanj) za kratke razdalje uporabiti alternative letalskemu prevozu, kot sta vlak ali avtobus; z zadovoljstvom ugotavlja, da agencija od leta 2022 svojim uslužbencem ponuja povračilo stroškov za uporabo javnega prevoza; ugotavlja tudi, da številna srečanja strokovnih skupin, ki so prej potekala na kraju samem, zdaj potekajo prek spleta; obžaluje, da agencija nima vzpostavljenega sistema za objektivno in razčlenjeno spremljanje razvoja dobička in prihrankov iz leta v leto, in jo poziva, naj vzpostavi tak sistem;</w:t>
      </w:r>
    </w:p>
    <w:p w:rsidR="00025CE3" w:rsidRPr="004C53FB" w:rsidRDefault="00025CE3" w:rsidP="00025CE3">
      <w:pPr>
        <w:spacing w:after="240"/>
        <w:ind w:left="567" w:hanging="567"/>
        <w:rPr>
          <w:szCs w:val="24"/>
        </w:rPr>
      </w:pPr>
      <w:r w:rsidRPr="004C53FB">
        <w:t>13.</w:t>
      </w:r>
      <w:r w:rsidRPr="004C53FB">
        <w:tab/>
        <w:t xml:space="preserve">na podlagi poročila Računskega sodišča ugotavlja, da agencija nima poslovnega načrta za izboljšanje energijske učinkovitosti in podnebne nevtralnosti svojih dejavnosti; obžaluje, da agencija še ni začela postopka certificiranja sistema za </w:t>
      </w:r>
      <w:proofErr w:type="spellStart"/>
      <w:r w:rsidRPr="004C53FB">
        <w:t>okoljsko</w:t>
      </w:r>
      <w:proofErr w:type="spellEnd"/>
      <w:r w:rsidRPr="004C53FB">
        <w:t xml:space="preserve"> ravnanje in presojo (EMAS); vendar ugotavlja, da je agencija v zahtevah za novo stavbo sedeža navedla, da bo v bližnji prihodnosti prešla na certificiranje EMAS; v zvezi s tem ugotavlja, da agencija upošteva smernice Komisije, pri čemer so v večino postopkov za oddajo javnih naročil vključena tudi merila za oddajo javnega naročila, povezana z okoljskimi vidiki; poziva agencijo, naj sledi primerom drugih agencij na področju zelenih javnih naročil;</w:t>
      </w:r>
    </w:p>
    <w:p w:rsidR="00025CE3" w:rsidRPr="004C53FB" w:rsidRDefault="00025CE3" w:rsidP="00025CE3">
      <w:pPr>
        <w:spacing w:after="240"/>
        <w:ind w:left="567" w:hanging="567"/>
        <w:rPr>
          <w:b/>
          <w:i/>
          <w:szCs w:val="24"/>
        </w:rPr>
      </w:pPr>
      <w:r w:rsidRPr="004C53FB">
        <w:rPr>
          <w:b/>
          <w:i/>
        </w:rPr>
        <w:t>Kadrovska politika</w:t>
      </w:r>
    </w:p>
    <w:p w:rsidR="00025CE3" w:rsidRPr="004C53FB" w:rsidRDefault="00025CE3" w:rsidP="00025CE3">
      <w:pPr>
        <w:spacing w:after="240"/>
        <w:ind w:left="567" w:hanging="567"/>
        <w:rPr>
          <w:szCs w:val="24"/>
        </w:rPr>
      </w:pPr>
      <w:r w:rsidRPr="004C53FB">
        <w:t>14.</w:t>
      </w:r>
      <w:r w:rsidRPr="004C53FB">
        <w:tab/>
        <w:t>ugotavlja, da je bil kadrovski načrt na dan 31. decembra 2022 uresničen 79-odstotno, saj je bilo zaposlenih 26 od 33 začasnih uslužbencev, odobrenih v proračunu Unije (enako število odobrenih delovnih mest kot leta 2021); poleg tega ugotavlja, da je za agencijo v letu 2022 delalo 59 pogodbenih uslužbencev (od tega 20 za redne dejavnosti in 39 za zunanje financirane projekte za izgradnjo zmogljivosti) in šest napotenih nacionalnih strokovnjakov; ugotavlja tudi, da je bilo na dan 31. decembra 2022 zaposlenih 24 agencijskih delavcev, ki so opravljali naloge, povezane z osnovno dejavnostjo, kot so e-učenje, informacijska in komunikacijska tehnologija, pravna in upravna podpora;</w:t>
      </w:r>
    </w:p>
    <w:p w:rsidR="00025CE3" w:rsidRPr="004C53FB" w:rsidRDefault="00025CE3" w:rsidP="00025CE3">
      <w:pPr>
        <w:tabs>
          <w:tab w:val="left" w:pos="720"/>
          <w:tab w:val="left" w:pos="1665"/>
        </w:tabs>
        <w:spacing w:after="240"/>
        <w:ind w:left="567" w:hanging="567"/>
        <w:rPr>
          <w:szCs w:val="24"/>
        </w:rPr>
      </w:pPr>
      <w:r w:rsidRPr="004C53FB">
        <w:t>15.</w:t>
      </w:r>
      <w:r w:rsidRPr="004C53FB">
        <w:tab/>
        <w:t>ugotavlja, da je bila v letu 2022 fluktuacija zaposlenih še vedno razmeroma velika in je močno vplivala na agencijo; v zvezi s tem ugotavlja, da so bile v letu 2022 zabeležene štiri odpovedi zaradi novih zaposlitvenih možnosti v agenciji in zunaj nje, trije odhodi zaradi upokojitve, 31. decembra 2022 pa so bili štirje uslužbenci na neplačanem dopustu;</w:t>
      </w:r>
    </w:p>
    <w:p w:rsidR="00025CE3" w:rsidRPr="004C53FB" w:rsidRDefault="00025CE3" w:rsidP="00025CE3">
      <w:pPr>
        <w:tabs>
          <w:tab w:val="left" w:pos="720"/>
          <w:tab w:val="left" w:pos="1665"/>
        </w:tabs>
        <w:spacing w:after="240"/>
        <w:ind w:left="567" w:hanging="567"/>
        <w:rPr>
          <w:szCs w:val="24"/>
        </w:rPr>
      </w:pPr>
      <w:r w:rsidRPr="004C53FB">
        <w:t>16.</w:t>
      </w:r>
      <w:r w:rsidRPr="004C53FB">
        <w:tab/>
        <w:t>ponovno izraža podporo povečanju števila zaposlenih v agenciji v skladu z nalogami in ambicijami, določenimi s sedanjim mandatom agencije; na podlagi poročila agencije o nadaljnjem ukrepanju z naslovom Akcijski načrt CEPOL-a v odziv na sklep o razrešnici EP za proračunsko leto 2021 (v nadaljnjem besedilu: poročilo agencije o nadaljnjem ukrepanju) z zadovoljstvom ugotavlja, da je izvršna direktorica agencije z namenom, da bi utemeljila prihodnjo zahtevo po virih, ustanovila projektno skupino, ki bo sistematično dokumentirala in utemeljila potrebe po dodatnih proračunskih in človeških virih v okviru nove strategije za obdobje 2023–2027;</w:t>
      </w:r>
    </w:p>
    <w:p w:rsidR="00025CE3" w:rsidRPr="004C53FB" w:rsidRDefault="00025CE3" w:rsidP="00025CE3">
      <w:pPr>
        <w:spacing w:after="240"/>
        <w:ind w:left="567" w:hanging="567"/>
        <w:rPr>
          <w:szCs w:val="24"/>
        </w:rPr>
      </w:pPr>
      <w:r w:rsidRPr="004C53FB">
        <w:t>17.</w:t>
      </w:r>
      <w:r w:rsidRPr="004C53FB">
        <w:tab/>
        <w:t>ugotavlja, da je stopnja fluktuacije zaposlenih v letu 2022 ostala visoka in je znašala 11,8 %, kar je močno vplivalo na organizacijo; na podlagi poročila agencije o nadaljnjem ukrepanju ugotavlja, da agencija nima vpliva na stopnjo fluktuacije, saj je glavni vzrok nizek korekcijski koeficient za državo in razmeroma nizek razred delovnih mest za ključne podporne funkcije v agenciji; ugotavlja, da je agencija v letu 2022 še naprej izvajala ukrepe za zadržanje uslužbencev in neprekinjeno poslovanje, pri čemer je do zaključka zaposlovanja statutarnih uslužbencev pomanjkanje le-teh reševala z zaposlovanjem agencijskih delavcev in napotenih nacionalnih strokovnjakov, uslužbence in delovna mesta pa je na novo razvrstila v kategorije ter ohranila socialne ugodnosti (npr. šolanje za otroke zaposlenih), delo na daljavo in prilagodljiv delovni čas; ponovno poziva Komisijo, naj revidira korekcijski koeficient, da bo bolje odražal gospodarsko realnost selitve v mesto gostitelja agencije in življenja tam;</w:t>
      </w:r>
    </w:p>
    <w:p w:rsidR="00025CE3" w:rsidRPr="004C53FB" w:rsidRDefault="00025CE3" w:rsidP="00025CE3">
      <w:pPr>
        <w:spacing w:after="240"/>
        <w:ind w:left="567" w:hanging="567"/>
        <w:rPr>
          <w:szCs w:val="24"/>
        </w:rPr>
      </w:pPr>
      <w:r w:rsidRPr="004C53FB">
        <w:t>18.</w:t>
      </w:r>
      <w:r w:rsidRPr="004C53FB">
        <w:tab/>
        <w:t xml:space="preserve">v zvezi z orodjem SYSPER z zadovoljstvom ugotavlja, da je agencija uvedla module, kot so REPORTING, ETHICS in STAGE, ter da si prizadeva za uvedbo drugih modulov </w:t>
      </w:r>
      <w:proofErr w:type="spellStart"/>
      <w:r w:rsidRPr="004C53FB">
        <w:t>Sysper</w:t>
      </w:r>
      <w:proofErr w:type="spellEnd"/>
      <w:r w:rsidRPr="004C53FB">
        <w:t xml:space="preserve"> (npr. EVAL/PROMO);</w:t>
      </w:r>
    </w:p>
    <w:p w:rsidR="00025CE3" w:rsidRPr="004C53FB" w:rsidRDefault="00025CE3" w:rsidP="00025CE3">
      <w:pPr>
        <w:pStyle w:val="ListParagraph"/>
        <w:spacing w:after="240"/>
        <w:ind w:left="567" w:hanging="567"/>
        <w:contextualSpacing w:val="0"/>
        <w:jc w:val="left"/>
      </w:pPr>
      <w:r w:rsidRPr="004C53FB">
        <w:t>19.</w:t>
      </w:r>
      <w:r w:rsidRPr="004C53FB">
        <w:tab/>
        <w:t>pozdravlja, da je agencija poročala o razčlenitvi po spolu za leto 2022, pri čemer so bili trije moški in tri ženske na vodstvenih položajih (1 višji vodstveni delavec in 5 srednjih vodstvenih delavcev), 15 moških (56 %) in 12 žensk (44 %) v upravnem odboru, skupno število uslužbencev pa je sestavljajo 37 moških (44 %) in 48 žensk (56 %); izreka pohvalo agenciji za doseženo uravnoteženo zastopanost spolov v letu 2022;</w:t>
      </w:r>
    </w:p>
    <w:p w:rsidR="00025CE3" w:rsidRPr="004C53FB" w:rsidRDefault="00025CE3" w:rsidP="00025CE3">
      <w:pPr>
        <w:pStyle w:val="NormalHanging12a"/>
      </w:pPr>
      <w:r w:rsidRPr="004C53FB">
        <w:t>20.</w:t>
      </w:r>
      <w:r w:rsidRPr="004C53FB">
        <w:tab/>
        <w:t>na podlagi konsolidiranega letnega poročila o dejavnostih agencije za leto 2022 ugotavlja, da je bilo leta 2022 med uslužbenci agencije zastopanih 17 držav članic; ugotavlja, da ima 39 % zaposlenih državljanstvo države članice, kjer se agencija nahaja; opozarja na pomen geografske uravnoteženosti in poziva agencijo, naj sprejme potrebne ukrepe za uravnoteženo in pravično geografsko zastopanost;</w:t>
      </w:r>
    </w:p>
    <w:p w:rsidR="00025CE3" w:rsidRPr="004C53FB" w:rsidRDefault="00025CE3" w:rsidP="00025CE3">
      <w:pPr>
        <w:pStyle w:val="ListParagraph"/>
        <w:spacing w:after="240"/>
        <w:ind w:left="567" w:hanging="567"/>
        <w:contextualSpacing w:val="0"/>
        <w:jc w:val="left"/>
      </w:pPr>
      <w:r w:rsidRPr="004C53FB">
        <w:t>21.</w:t>
      </w:r>
      <w:r w:rsidRPr="004C53FB">
        <w:tab/>
        <w:t>pozdravlja, da je agencija v letu 2022 sprejela nov sklep, ki temelji na načelih upravljanja, ki temeljijo na ciljih in rezultatih, ter kulturi zaupanja; ugotavlja, da je bila s tem sklepom uvedena večja prožnost za zaposlene v smislu delovnega časa in dela na daljavo, saj je bila zagotovljena pravica do odklopa in jasno navedeno obdobje odklopa, ki bi moralo prispevati k boljšemu usklajevanju poklicnega in zasebnega življenja ter zaščititi zaposlene pred digitalno preobremenitvijo;</w:t>
      </w:r>
    </w:p>
    <w:p w:rsidR="00025CE3" w:rsidRPr="004C53FB" w:rsidRDefault="00025CE3" w:rsidP="00025CE3">
      <w:pPr>
        <w:spacing w:after="240"/>
        <w:ind w:left="567" w:hanging="567"/>
        <w:rPr>
          <w:color w:val="000000"/>
          <w:szCs w:val="24"/>
        </w:rPr>
      </w:pPr>
      <w:r w:rsidRPr="004C53FB">
        <w:rPr>
          <w:color w:val="000000"/>
        </w:rPr>
        <w:t>22.</w:t>
      </w:r>
      <w:r w:rsidRPr="004C53FB">
        <w:rPr>
          <w:color w:val="000000"/>
        </w:rPr>
        <w:tab/>
        <w:t>na podlagi poročila agencije o nadaljnjem ukrepanju v zvezi z opažanjem o uslužbencih, ki se ukvarjajo s postopki, povezanimi z oddajo javnih naročil, pozdravlja, da kadrovski načrt za leto 2023 predvideva preoblikovanje ustreznega delovnega mesta AST-5 (plačni razred AST-3) v delovno mesto AD-5;</w:t>
      </w:r>
    </w:p>
    <w:p w:rsidR="00025CE3" w:rsidRPr="004C53FB" w:rsidRDefault="00025CE3" w:rsidP="00025CE3">
      <w:pPr>
        <w:spacing w:after="240"/>
        <w:ind w:left="567" w:hanging="567"/>
        <w:rPr>
          <w:rFonts w:eastAsiaTheme="minorHAnsi"/>
          <w:b/>
          <w:i/>
          <w:szCs w:val="24"/>
        </w:rPr>
      </w:pPr>
      <w:r w:rsidRPr="004C53FB">
        <w:rPr>
          <w:b/>
          <w:i/>
        </w:rPr>
        <w:t>Javna naročila</w:t>
      </w:r>
    </w:p>
    <w:p w:rsidR="00025CE3" w:rsidRPr="004C53FB" w:rsidRDefault="00025CE3" w:rsidP="00025CE3">
      <w:pPr>
        <w:pStyle w:val="NormalHanging12a"/>
      </w:pPr>
      <w:r w:rsidRPr="004C53FB">
        <w:t>23.</w:t>
      </w:r>
      <w:r w:rsidRPr="004C53FB">
        <w:tab/>
        <w:t>na podlagi poročila Računskega sodišča z zaskrbljenostjo ugotavlja, da je Računsko sodišče od proračunskega leta 2020 vsako leto podalo nova opažanja v zvezi z javnimi naročili agencije; na podlagi poročila Računskega sodišča opozarja na opažanje Računskega sodišča, ki je podlaga za mnenje s pridržkom o zakonitosti in pravilnosti 359 plačil v skupni vrednosti 4,1 milijona EUR, izvršenih leta 2022 na podlagi dveh okvirnih pogodb, ki se izvajata neposredno z naročilnicami (zahtevki za storitve), ki so jih poslali uslužbenci agencije, ki niso imeli pooblastila za sprejemanje pravnih obveznosti v imenu agencije, ali agencijski delavci, ki zaradi svojega začasnega statusa pravno niso mogli imeti takega prenesenega pooblastila; je seznanjen z odgovorom agencije na ugotovitev Računskega sodišča, da četudi so bile prisotne pomanjkljivosti pri formalizaciji pravne obveznosti, so bile storitve naročene v skladu s potrebami agencije, kontrole, s katerimi se zagotavlja, da so sredstva porabljena za predvideni namen, pa v celoti izvedene, tako da dejanska izguba ni nastala; na podlagi odgovorov agencije na pisna vprašanja Parlamenta ugotavlja, da na te pogodbe niso vplivale druge nepravilnosti in da je agencija sprejela ukrepe za obravnavo ugotovitve Računskega sodišča s spremembo notranjih postopkov agencije, da bi zagotovila, da bodo naročila potovalni agenciji posredovali le statutarni uslužbenci, ki jih je odredbodajalec pooblastil za prevzem pravne obveznosti; je seznanjen z odgovorom agencije, da je agencija nemudoma uvedla popravne ukrepe, še pred koncem revizijskega postopka; poziva agencijo, naj v celoti obravnava te ugotovitve in izboljša svoje postopke javnih naročil, da bi se v prihodnosti izognila podobnim situacijam;</w:t>
      </w:r>
    </w:p>
    <w:p w:rsidR="00025CE3" w:rsidRPr="004C53FB" w:rsidRDefault="00025CE3" w:rsidP="00025CE3">
      <w:pPr>
        <w:pStyle w:val="NormalHanging12a"/>
      </w:pPr>
      <w:r w:rsidRPr="004C53FB">
        <w:t>24.</w:t>
      </w:r>
      <w:r w:rsidRPr="004C53FB">
        <w:tab/>
        <w:t>na podlagi poročila Računskega sodišča opozarja tudi na mnenje s pridržkom, v skladu s katerim vseh zneskov, plačanih v letu 2022 (152.655 EUR) za izvajanje okvirne pogodbe (za storitve redakcije izobraževalnih vsebin), ni bilo mogoče uskladiti z zagotovljenimi storitvami in nekatere kategorije nalog niso odražale narave dejansko opravljenega dela, pri nekaterih kategorijah pa znesek plačanega dela ni ustrezal dejansko opravljenemu znesku, zaradi česar so bili ti zneski nepravilni; je seznanjen s pojasnilom agencije, da se število naročenih, dobavljenih in plačanih strani ni v celoti ujemalo, saj zaradi specifične narave dela pri pripravi uredniških in izobraževalnih vsebin tega ni bilo mogoče vedno vnaprej natančno količinsko opredeliti; na podlagi odgovora agencije ugotavlja tudi, da so bili rezultati pregledani, kategorije nalog pa so temeljile na tistih, ki so bile navedene v prejšnji pogodbi z Uradom za publikacije; poziva agencijo, naj sprejme ukrepe, s katerimi bo lahko vnaprej bolje količinsko opredelila rezultate in se izognila takšnim situacijam v prihodnosti;</w:t>
      </w:r>
    </w:p>
    <w:p w:rsidR="00025CE3" w:rsidRPr="004C53FB" w:rsidRDefault="00025CE3" w:rsidP="00025CE3">
      <w:pPr>
        <w:spacing w:after="240"/>
        <w:ind w:left="567" w:hanging="567"/>
        <w:rPr>
          <w:color w:val="000000"/>
          <w:szCs w:val="24"/>
        </w:rPr>
      </w:pPr>
      <w:r w:rsidRPr="004C53FB">
        <w:rPr>
          <w:color w:val="000000"/>
        </w:rPr>
        <w:t>25.</w:t>
      </w:r>
      <w:r w:rsidRPr="004C53FB">
        <w:rPr>
          <w:color w:val="000000"/>
        </w:rPr>
        <w:tab/>
        <w:t>na podlagi poročila Računskega sodišča za proračunsko leto 2021 ugotavlja, da je eno opažanje v zvezi s postopkom ocenjevanja postopka za oddajo javnih naročil ostalo nerešeno, pri čemer je agencija poudarila merilo, ki ni bilo jasno predstavljeno v razpisnih zahtevah, kar ima lahko za posledico, da se ponudniki različno obravnavajo; ugotavlja, da je pogodba veljala do septembra 2023 in da agencija v času, ko je Računsko sodišče pregledalo status tega opažanja, ni nameravala podaljšati pogodbe za nadaljnjih 12 mesecev;</w:t>
      </w:r>
    </w:p>
    <w:p w:rsidR="00025CE3" w:rsidRPr="004C53FB" w:rsidRDefault="00025CE3" w:rsidP="00025CE3">
      <w:pPr>
        <w:spacing w:after="240"/>
        <w:ind w:left="567" w:hanging="567"/>
        <w:rPr>
          <w:color w:val="000000"/>
          <w:szCs w:val="24"/>
        </w:rPr>
      </w:pPr>
      <w:r w:rsidRPr="004C53FB">
        <w:rPr>
          <w:color w:val="000000"/>
        </w:rPr>
        <w:t>26.</w:t>
      </w:r>
      <w:r w:rsidRPr="004C53FB">
        <w:rPr>
          <w:color w:val="000000"/>
        </w:rPr>
        <w:tab/>
        <w:t>izreka pohvalo agenciji, ker je uvedla orodje za upravljanje postopkov za oddajo javnih naročil, ki se od oktobra 2022 uporablja za vse vrste postopkov javnega naročanja; poziva agencijo, naj pospeši sprejemanje in uporabo orodij, ki omogočajo uporabo elektronskega podpisa za pridobitev odobritev in podpisov od notranjih in zunanjih nasprotnih strank pri javnih naročilih in pogodbenih dokumentih;</w:t>
      </w:r>
    </w:p>
    <w:p w:rsidR="00025CE3" w:rsidRPr="004C53FB" w:rsidRDefault="00025CE3" w:rsidP="00025CE3">
      <w:pPr>
        <w:pStyle w:val="ListParagraph"/>
        <w:widowControl w:val="0"/>
        <w:spacing w:after="240"/>
        <w:ind w:left="567" w:hanging="567"/>
        <w:contextualSpacing w:val="0"/>
        <w:jc w:val="left"/>
        <w:rPr>
          <w:rFonts w:eastAsia="Times New Roman"/>
        </w:rPr>
      </w:pPr>
      <w:r w:rsidRPr="004C53FB">
        <w:rPr>
          <w:b/>
          <w:i/>
        </w:rPr>
        <w:t>Preprečevanje in obvladovanje nasprotij interesov ter preglednost</w:t>
      </w:r>
    </w:p>
    <w:p w:rsidR="00025CE3" w:rsidRPr="004C53FB" w:rsidRDefault="00025CE3" w:rsidP="00025CE3">
      <w:pPr>
        <w:spacing w:after="240"/>
        <w:ind w:left="567" w:hanging="567"/>
        <w:rPr>
          <w:szCs w:val="24"/>
        </w:rPr>
      </w:pPr>
      <w:r w:rsidRPr="004C53FB">
        <w:t>27.</w:t>
      </w:r>
      <w:r w:rsidRPr="004C53FB">
        <w:tab/>
        <w:t>z zadovoljstvom ugotavlja, da je agencija uvedla ukrepe in da si še naprej prizadeva za preglednost ter preprečevanje in obvladovanje nasprotij interesov; z zadovoljstvom ugotavlja, da so izjave o interesih in življenjepisi članov upravnega odbora in višjega vodstva objavljeni na spletnem mestu agencije, oblika izjav pa omogoča navedbo poklicnih, finančnih, osebnih in drugih interesov, ki so lahko povezani z dejavnostmi agencije; na podlagi poročila agencije o nadaljnjem ukrepanju v zvezi z ugotovitvijo organa za podelitev razrešnice, da izjave o nasprotju interesov in zaupnosti plačanih strokovnjakov niso objavljene na spletnem mestu agencije, ugotavlja, da je agencija ocenila, da bi objava prijav in življenjepisov strokovnjakov zaradi pomislekov o varstvu podatkov povzročila znatno zmanjšanje števila prijav strokovnjakov, saj ima večina strokovnjakov, ki delajo za agencijo, izkušnje s področja preprečevanja, odkrivanja in preiskovanja kaznivih dejanj;</w:t>
      </w:r>
    </w:p>
    <w:p w:rsidR="00025CE3" w:rsidRPr="004C53FB" w:rsidRDefault="00025CE3" w:rsidP="00025CE3">
      <w:pPr>
        <w:spacing w:after="240"/>
        <w:ind w:left="567" w:hanging="567"/>
        <w:rPr>
          <w:szCs w:val="24"/>
        </w:rPr>
      </w:pPr>
      <w:r w:rsidRPr="004C53FB">
        <w:t>28.</w:t>
      </w:r>
      <w:r w:rsidRPr="004C53FB">
        <w:tab/>
        <w:t>na podlagi poročila agencije o nadaljnjem ukrepanju z zadovoljstvom ugotavlja, da je agencija z vzpostavitvijo novega spletnega mesta v letu 2022 izboljšala svoj javni register dokumentov, uvedene tehnične spremembe pa državljanom omogočajo, da poiščejo uradne dokumente agencije po kategorijah ali zaprosijo za dostop do dokumenta prek spletnega obrazca, kadar neposreden dostop prek javnega registra dokumentov ni odobren; ugotavlja, da je agencija v letu 2022 prejela pet zahtev za dostop javnosti do dokumentov in obravnavala 920 javnih poizvedb s strani državljanov;</w:t>
      </w:r>
    </w:p>
    <w:p w:rsidR="00025CE3" w:rsidRPr="004C53FB" w:rsidRDefault="00025CE3" w:rsidP="00025CE3">
      <w:pPr>
        <w:spacing w:after="240"/>
        <w:ind w:left="567" w:hanging="567"/>
        <w:rPr>
          <w:b/>
          <w:i/>
          <w:szCs w:val="24"/>
        </w:rPr>
      </w:pPr>
      <w:r w:rsidRPr="004C53FB">
        <w:rPr>
          <w:b/>
          <w:i/>
        </w:rPr>
        <w:t>Notranje kontrole</w:t>
      </w:r>
    </w:p>
    <w:p w:rsidR="00025CE3" w:rsidRPr="004C53FB" w:rsidRDefault="00025CE3" w:rsidP="00025CE3">
      <w:pPr>
        <w:spacing w:after="240"/>
        <w:ind w:left="567" w:hanging="567"/>
        <w:rPr>
          <w:szCs w:val="24"/>
        </w:rPr>
      </w:pPr>
      <w:r w:rsidRPr="004C53FB">
        <w:t>29.</w:t>
      </w:r>
      <w:r w:rsidRPr="004C53FB">
        <w:tab/>
        <w:t>na podlagi poročila agencije o nadaljnjem ukrepanju ugotavlja, da je agencija v zvezi z več pomanjkljivostmi v sistemu notranje kontrole, zlasti v zvezi s postopki za oddajo javnih naročil in upravljanjem proračunskih obveznosti, sprejela ukrepe, vključno z usposabljanjem in delavnicami, da bi povečala ozaveščenost in zmanjšala pojavljanje upravnih napak; v zvezi s tem na podlagi poročila Računskega sodišča ugotavlja, da je status njegovih ugotovitev (za proračunsko leto 2021), ki se nanašajo na te pomanjkljivosti, zaključen;</w:t>
      </w:r>
    </w:p>
    <w:p w:rsidR="00025CE3" w:rsidRPr="004C53FB" w:rsidRDefault="00025CE3" w:rsidP="00025CE3">
      <w:pPr>
        <w:spacing w:after="240"/>
        <w:ind w:left="567" w:hanging="567"/>
        <w:rPr>
          <w:szCs w:val="24"/>
        </w:rPr>
      </w:pPr>
      <w:r w:rsidRPr="004C53FB">
        <w:t>30.</w:t>
      </w:r>
      <w:r w:rsidRPr="004C53FB">
        <w:tab/>
        <w:t>je seznanjen z oceno sistema notranje kontrole v letu 2022, ki jo je opravila agencija, in ugotovitvijo, da je ta sistem vzpostavljen, učinkovit in dobro deluje ter da so potrebne le manjše izboljšave; poziva agencijo, naj odpravi pomanjkljivosti, ugotovljene v zvezi s komponentama notranje kontrole „kontrolne dejavnosti“ ter „informacije in komunikacije“, ter organ za podelitev razrešnice obvešča o napredku na tem področju; na podlagi poročila o nadaljnjem ukrepanju agencije z zadovoljstvom ugotavlja, da je agencija pri oceni komponente „dejavnosti spremljanja“, načela 17 „ocenjevanje in sporočanje pomanjkljivosti“, upoštevala ustrezne ugotovitve Računskega sodišča iz prejšnjih let; poziva agencijo, naj še naprej obravnava vse ugotovitve v okviru revizije o upravljanju človeških virov in etiki v agenciji CEPOL, ki jo je leta 2021 izvedla služba za notranjo revizijo;</w:t>
      </w:r>
    </w:p>
    <w:p w:rsidR="00025CE3" w:rsidRPr="004C53FB" w:rsidRDefault="00025CE3" w:rsidP="00025CE3">
      <w:pPr>
        <w:spacing w:after="240"/>
        <w:ind w:left="567" w:hanging="567"/>
        <w:rPr>
          <w:szCs w:val="24"/>
        </w:rPr>
      </w:pPr>
      <w:r w:rsidRPr="004C53FB">
        <w:t>31.</w:t>
      </w:r>
      <w:r w:rsidRPr="004C53FB">
        <w:tab/>
        <w:t>ugotavlja, da agencija izvaja postopek za registracijo in odobritev izjem, ki se analizirajo, da bi opredelila posebna problematična področja in ustrezne ukrepe za izboljšanje; ugotavlja, da je v poročilu o izjemah za leto 2022 navedeno, da sistem notranje kontrole agencije dobro deluje ter da se primeri neskladnosti odkrivajo in odpravljajo s popravnimi in preventivnimi ukrepi; ugotavlja tudi, da je bilo v letu 2022 navedenih 46 izjem (v primerjavi s 27 izjemami v letu 2021) v vrednosti 51.697 EUR (v primerjavi z 257.825 EUR v letu 2021), 13 od teh izjem pa je imelo finančni učinek nad 1000 EUR (od 1053 EUR do 12.240 EUR);</w:t>
      </w:r>
    </w:p>
    <w:p w:rsidR="00025CE3" w:rsidRPr="004C53FB" w:rsidRDefault="00025CE3" w:rsidP="00025CE3">
      <w:pPr>
        <w:spacing w:after="240"/>
        <w:ind w:left="567" w:hanging="567"/>
        <w:rPr>
          <w:b/>
          <w:i/>
          <w:szCs w:val="24"/>
        </w:rPr>
      </w:pPr>
      <w:r w:rsidRPr="004C53FB">
        <w:rPr>
          <w:b/>
          <w:i/>
        </w:rPr>
        <w:t>Druge pripombe</w:t>
      </w:r>
    </w:p>
    <w:p w:rsidR="00025CE3" w:rsidRPr="004C53FB" w:rsidRDefault="00025CE3" w:rsidP="00025CE3">
      <w:pPr>
        <w:spacing w:after="240"/>
        <w:ind w:left="567" w:hanging="567"/>
        <w:rPr>
          <w:szCs w:val="24"/>
        </w:rPr>
      </w:pPr>
      <w:r w:rsidRPr="004C53FB">
        <w:t>32.</w:t>
      </w:r>
      <w:r w:rsidRPr="004C53FB">
        <w:tab/>
        <w:t>na podlagi poročila agencije o nadaljnjem ukrepanju v zvezi z vprašanjem, da agencija nima dovolj pisarniških prostorov in prostorov za operativne dejavnosti, ugotavlja, da se je madžarska vlada zavezala, da bo zagotovila kontinuiteto in agenciji zagotovila ustrezne zmogljivosti s sprejetjem sklepa o zagotovitvi novega sedeža (6000 m²) v obliki najema; ugotavlja tudi, da se lahko selitev v nove prostore izvede do konca leta 2024, vzporedno s podpisom novega sporazuma o sedežu;</w:t>
      </w:r>
    </w:p>
    <w:p w:rsidR="00025CE3" w:rsidRPr="004C53FB" w:rsidRDefault="00025CE3" w:rsidP="00025CE3">
      <w:pPr>
        <w:pStyle w:val="NormalHanging12a"/>
      </w:pPr>
      <w:r w:rsidRPr="004C53FB">
        <w:t>33.</w:t>
      </w:r>
      <w:r w:rsidRPr="004C53FB">
        <w:tab/>
        <w:t xml:space="preserve">pozdravlja prizadevanja agencije, da bi povečala svojo prepoznavnost v javnosti in prisotnost na spletu; v zvezi s tem pozdravlja, da je bilo v letu 2022 vzpostavljeno novo spletno mesto agencije, ki vključuje ključne izboljšave, kot so jasnejša predstavitev in struktura, izboljšana podoba in odzivnost; ugotavlja tudi, da je bila agencija v letu 2022 v družbenih medijih zelo aktivna, saj je bilo naloženih 1590 vsebin, kar je za 54 % več kot v prejšnjem letu; v zvezi s tem je seznanjen s trendom naraščanja števila uporabnikov spletnih strani agencije, saj je registriranih več kot 200.000 obiskov, baza oboževalcev agencije v družbenih medijih pa je imela 38.500 sledilcev v </w:t>
      </w:r>
      <w:proofErr w:type="spellStart"/>
      <w:r w:rsidRPr="004C53FB">
        <w:t>LinkedInu</w:t>
      </w:r>
      <w:proofErr w:type="spellEnd"/>
      <w:r w:rsidRPr="004C53FB">
        <w:t xml:space="preserve">, X (prej </w:t>
      </w:r>
      <w:proofErr w:type="spellStart"/>
      <w:r w:rsidRPr="004C53FB">
        <w:t>Twitter</w:t>
      </w:r>
      <w:proofErr w:type="spellEnd"/>
      <w:r w:rsidRPr="004C53FB">
        <w:t>) in Facebooku;</w:t>
      </w:r>
    </w:p>
    <w:p w:rsidR="00025CE3" w:rsidRPr="004C53FB" w:rsidRDefault="00025CE3" w:rsidP="00025CE3">
      <w:pPr>
        <w:pStyle w:val="NormalCenter12a"/>
      </w:pPr>
      <w:r w:rsidRPr="004C53FB">
        <w:t>°</w:t>
      </w:r>
    </w:p>
    <w:p w:rsidR="00025CE3" w:rsidRPr="004C53FB" w:rsidRDefault="00025CE3" w:rsidP="00025CE3">
      <w:pPr>
        <w:pStyle w:val="NormalCenter12a"/>
      </w:pPr>
      <w:r w:rsidRPr="004C53FB">
        <w:t>°</w:t>
      </w:r>
      <w:r w:rsidRPr="004C53FB">
        <w:tab/>
        <w:t>°</w:t>
      </w:r>
    </w:p>
    <w:p w:rsidR="00025CE3" w:rsidRPr="005E2A2A" w:rsidRDefault="00025CE3" w:rsidP="004C53FB">
      <w:pPr>
        <w:pStyle w:val="NormalHanging12a"/>
      </w:pPr>
      <w:r w:rsidRPr="004C53FB">
        <w:t>34.</w:t>
      </w:r>
      <w:r w:rsidRPr="004C53FB">
        <w:tab/>
        <w:t xml:space="preserve">sporoča, da so druge ugotovitve horizontalne narave, ki spremljajo sklep o razrešnici, zbrane v resoluciji z dne </w:t>
      </w:r>
      <w:r w:rsidR="00E1121B" w:rsidRPr="004C53FB">
        <w:t>11. aprila 2024</w:t>
      </w:r>
      <w:r w:rsidRPr="004C53FB">
        <w:rPr>
          <w:rStyle w:val="FootnoteReference"/>
        </w:rPr>
        <w:footnoteReference w:id="12"/>
      </w:r>
      <w:r w:rsidRPr="004C53FB">
        <w:t xml:space="preserve"> o uspešnosti, finančnem </w:t>
      </w:r>
      <w:proofErr w:type="spellStart"/>
      <w:r w:rsidRPr="004C53FB">
        <w:t>poslovodenju</w:t>
      </w:r>
      <w:proofErr w:type="spellEnd"/>
      <w:r w:rsidRPr="004C53FB">
        <w:t xml:space="preserve"> in nadzoru agencij.</w:t>
      </w:r>
    </w:p>
    <w:p w:rsidR="00E365E1" w:rsidRPr="005E2A2A" w:rsidRDefault="00E365E1" w:rsidP="00E1121B">
      <w:bookmarkStart w:id="11" w:name="TextBodyEnd"/>
      <w:bookmarkEnd w:id="11"/>
    </w:p>
    <w:sectPr w:rsidR="00E365E1" w:rsidRPr="005E2A2A" w:rsidSect="005E2A2A">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499E" w:rsidRPr="005E2A2A" w:rsidRDefault="0097499E">
      <w:r w:rsidRPr="005E2A2A">
        <w:separator/>
      </w:r>
    </w:p>
  </w:endnote>
  <w:endnote w:type="continuationSeparator" w:id="0">
    <w:p w:rsidR="0097499E" w:rsidRPr="005E2A2A" w:rsidRDefault="0097499E">
      <w:r w:rsidRPr="005E2A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CE3" w:rsidRPr="005E2A2A" w:rsidRDefault="00025CE3" w:rsidP="00855BD8">
    <w:pPr>
      <w:pStyle w:val="EPFooter"/>
    </w:pPr>
    <w:r w:rsidRPr="005E2A2A">
      <w:t>PE</w:t>
    </w:r>
    <w:r w:rsidRPr="005E2A2A">
      <w:rPr>
        <w:rStyle w:val="HideTWBExt"/>
      </w:rPr>
      <w:t>&lt;</w:t>
    </w:r>
    <w:proofErr w:type="spellStart"/>
    <w:r w:rsidRPr="005E2A2A">
      <w:rPr>
        <w:rStyle w:val="HideTWBExt"/>
      </w:rPr>
      <w:t>NoPE</w:t>
    </w:r>
    <w:proofErr w:type="spellEnd"/>
    <w:r w:rsidRPr="005E2A2A">
      <w:rPr>
        <w:rStyle w:val="HideTWBExt"/>
      </w:rPr>
      <w:t>&gt;</w:t>
    </w:r>
    <w:r w:rsidRPr="005E2A2A">
      <w:t>753.510</w:t>
    </w:r>
    <w:r w:rsidRPr="005E2A2A">
      <w:rPr>
        <w:rStyle w:val="HideTWBExt"/>
      </w:rPr>
      <w:t>&lt;/</w:t>
    </w:r>
    <w:proofErr w:type="spellStart"/>
    <w:r w:rsidRPr="005E2A2A">
      <w:rPr>
        <w:rStyle w:val="HideTWBExt"/>
      </w:rPr>
      <w:t>NoPE</w:t>
    </w:r>
    <w:proofErr w:type="spellEnd"/>
    <w:r w:rsidRPr="005E2A2A">
      <w:rPr>
        <w:rStyle w:val="HideTWBExt"/>
      </w:rPr>
      <w:t>&gt;&lt;Version&gt;</w:t>
    </w:r>
    <w:r w:rsidRPr="005E2A2A">
      <w:t>v02-00</w:t>
    </w:r>
    <w:r w:rsidRPr="005E2A2A">
      <w:rPr>
        <w:rStyle w:val="HideTWBExt"/>
      </w:rPr>
      <w:t>&lt;/</w:t>
    </w:r>
    <w:proofErr w:type="spellStart"/>
    <w:r w:rsidRPr="005E2A2A">
      <w:rPr>
        <w:rStyle w:val="HideTWBExt"/>
      </w:rPr>
      <w:t>Version</w:t>
    </w:r>
    <w:proofErr w:type="spellEnd"/>
    <w:r w:rsidRPr="005E2A2A">
      <w:rPr>
        <w:rStyle w:val="HideTWBExt"/>
      </w:rPr>
      <w:t>&gt;</w:t>
    </w:r>
    <w:r w:rsidRPr="005E2A2A">
      <w:tab/>
    </w:r>
    <w:r w:rsidRPr="005E2A2A">
      <w:fldChar w:fldCharType="begin"/>
    </w:r>
    <w:r w:rsidRPr="005E2A2A">
      <w:instrText xml:space="preserve"> PAGE  \* MERGEFORMAT </w:instrText>
    </w:r>
    <w:r w:rsidRPr="005E2A2A">
      <w:fldChar w:fldCharType="separate"/>
    </w:r>
    <w:r w:rsidR="005E2A2A" w:rsidRPr="005E2A2A">
      <w:rPr>
        <w:noProof/>
      </w:rPr>
      <w:t>2</w:t>
    </w:r>
    <w:r w:rsidRPr="005E2A2A">
      <w:fldChar w:fldCharType="end"/>
    </w:r>
    <w:r w:rsidRPr="005E2A2A">
      <w:t>/</w:t>
    </w:r>
    <w:fldSimple w:instr=" NUMPAGES  \* MERGEFORMAT ">
      <w:r w:rsidR="005E2A2A" w:rsidRPr="005E2A2A">
        <w:rPr>
          <w:noProof/>
        </w:rPr>
        <w:t>4</w:t>
      </w:r>
    </w:fldSimple>
    <w:r w:rsidRPr="005E2A2A">
      <w:tab/>
    </w:r>
    <w:r w:rsidRPr="005E2A2A">
      <w:rPr>
        <w:rStyle w:val="HideTWBExt"/>
      </w:rPr>
      <w:t>&lt;PathFdR&gt;</w:t>
    </w:r>
    <w:r w:rsidRPr="005E2A2A">
      <w:t>RR\1298754SL.docx</w:t>
    </w:r>
    <w:r w:rsidRPr="005E2A2A">
      <w:rPr>
        <w:rStyle w:val="HideTWBExt"/>
      </w:rPr>
      <w:t>&lt;/</w:t>
    </w:r>
    <w:proofErr w:type="spellStart"/>
    <w:r w:rsidRPr="005E2A2A">
      <w:rPr>
        <w:rStyle w:val="HideTWBExt"/>
      </w:rPr>
      <w:t>PathFdR</w:t>
    </w:r>
    <w:proofErr w:type="spellEnd"/>
    <w:r w:rsidRPr="005E2A2A">
      <w:rPr>
        <w:rStyle w:val="HideTWBExt"/>
      </w:rPr>
      <w:t>&gt;</w:t>
    </w:r>
  </w:p>
  <w:p w:rsidR="00025CE3" w:rsidRPr="005E2A2A" w:rsidRDefault="00025CE3" w:rsidP="00855BD8">
    <w:pPr>
      <w:pStyle w:val="EPFooter2"/>
    </w:pPr>
    <w:r w:rsidRPr="005E2A2A">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CE3" w:rsidRPr="005E2A2A" w:rsidRDefault="00025CE3" w:rsidP="00855BD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CE3" w:rsidRPr="005E2A2A" w:rsidRDefault="00025CE3" w:rsidP="00855BD8">
    <w:pPr>
      <w:pStyle w:val="EPFooter"/>
    </w:pPr>
    <w:r w:rsidRPr="005E2A2A">
      <w:rPr>
        <w:rStyle w:val="HideTWBExt"/>
      </w:rPr>
      <w:t>&lt;PathFdR&gt;</w:t>
    </w:r>
    <w:r w:rsidRPr="005E2A2A">
      <w:t>RR\1298754SL.docx</w:t>
    </w:r>
    <w:r w:rsidRPr="005E2A2A">
      <w:rPr>
        <w:rStyle w:val="HideTWBExt"/>
      </w:rPr>
      <w:t>&lt;/</w:t>
    </w:r>
    <w:proofErr w:type="spellStart"/>
    <w:r w:rsidRPr="005E2A2A">
      <w:rPr>
        <w:rStyle w:val="HideTWBExt"/>
      </w:rPr>
      <w:t>PathFdR</w:t>
    </w:r>
    <w:proofErr w:type="spellEnd"/>
    <w:r w:rsidRPr="005E2A2A">
      <w:rPr>
        <w:rStyle w:val="HideTWBExt"/>
      </w:rPr>
      <w:t>&gt;</w:t>
    </w:r>
    <w:r w:rsidRPr="005E2A2A">
      <w:tab/>
    </w:r>
    <w:r w:rsidRPr="005E2A2A">
      <w:tab/>
      <w:t>PE</w:t>
    </w:r>
    <w:r w:rsidRPr="005E2A2A">
      <w:rPr>
        <w:rStyle w:val="HideTWBExt"/>
      </w:rPr>
      <w:t>&lt;</w:t>
    </w:r>
    <w:proofErr w:type="spellStart"/>
    <w:r w:rsidRPr="005E2A2A">
      <w:rPr>
        <w:rStyle w:val="HideTWBExt"/>
      </w:rPr>
      <w:t>NoPE</w:t>
    </w:r>
    <w:proofErr w:type="spellEnd"/>
    <w:r w:rsidRPr="005E2A2A">
      <w:rPr>
        <w:rStyle w:val="HideTWBExt"/>
      </w:rPr>
      <w:t>&gt;</w:t>
    </w:r>
    <w:r w:rsidRPr="005E2A2A">
      <w:t>753.510</w:t>
    </w:r>
    <w:r w:rsidRPr="005E2A2A">
      <w:rPr>
        <w:rStyle w:val="HideTWBExt"/>
      </w:rPr>
      <w:t>&lt;/</w:t>
    </w:r>
    <w:proofErr w:type="spellStart"/>
    <w:r w:rsidRPr="005E2A2A">
      <w:rPr>
        <w:rStyle w:val="HideTWBExt"/>
      </w:rPr>
      <w:t>NoPE</w:t>
    </w:r>
    <w:proofErr w:type="spellEnd"/>
    <w:r w:rsidRPr="005E2A2A">
      <w:rPr>
        <w:rStyle w:val="HideTWBExt"/>
      </w:rPr>
      <w:t>&gt;&lt;Version&gt;</w:t>
    </w:r>
    <w:r w:rsidRPr="005E2A2A">
      <w:t>v02-00</w:t>
    </w:r>
    <w:r w:rsidRPr="005E2A2A">
      <w:rPr>
        <w:rStyle w:val="HideTWBExt"/>
      </w:rPr>
      <w:t>&lt;/</w:t>
    </w:r>
    <w:proofErr w:type="spellStart"/>
    <w:r w:rsidRPr="005E2A2A">
      <w:rPr>
        <w:rStyle w:val="HideTWBExt"/>
      </w:rPr>
      <w:t>Version</w:t>
    </w:r>
    <w:proofErr w:type="spellEnd"/>
    <w:r w:rsidRPr="005E2A2A">
      <w:rPr>
        <w:rStyle w:val="HideTWBExt"/>
      </w:rPr>
      <w:t>&gt;</w:t>
    </w:r>
  </w:p>
  <w:p w:rsidR="00025CE3" w:rsidRPr="005E2A2A" w:rsidRDefault="00025CE3" w:rsidP="00855BD8">
    <w:pPr>
      <w:pStyle w:val="EPFooter2"/>
    </w:pPr>
    <w:r w:rsidRPr="005E2A2A">
      <w:t>SL</w:t>
    </w:r>
    <w:r w:rsidRPr="005E2A2A">
      <w:tab/>
    </w:r>
    <w:r w:rsidRPr="005E2A2A">
      <w:rPr>
        <w:b w:val="0"/>
        <w:i/>
        <w:color w:val="C0C0C0"/>
        <w:sz w:val="22"/>
      </w:rPr>
      <w:t>Združena v raznolikosti</w:t>
    </w:r>
    <w:r w:rsidRPr="005E2A2A">
      <w:tab/>
      <w:t>SL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2A2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2A2A"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2A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499E" w:rsidRPr="005E2A2A" w:rsidRDefault="0097499E">
      <w:r w:rsidRPr="005E2A2A">
        <w:separator/>
      </w:r>
    </w:p>
  </w:footnote>
  <w:footnote w:type="continuationSeparator" w:id="0">
    <w:p w:rsidR="0097499E" w:rsidRPr="005E2A2A" w:rsidRDefault="0097499E">
      <w:r w:rsidRPr="005E2A2A">
        <w:continuationSeparator/>
      </w:r>
    </w:p>
  </w:footnote>
  <w:footnote w:id="1">
    <w:p w:rsidR="00025CE3" w:rsidRPr="005E2A2A" w:rsidRDefault="00025CE3" w:rsidP="005E2A2A">
      <w:pPr>
        <w:pStyle w:val="FootnoteText"/>
        <w:ind w:left="567" w:hanging="567"/>
        <w:rPr>
          <w:sz w:val="24"/>
          <w:lang w:val="sl-SI"/>
        </w:rPr>
      </w:pPr>
      <w:r w:rsidRPr="005E2A2A">
        <w:rPr>
          <w:rStyle w:val="FootnoteReference"/>
          <w:sz w:val="24"/>
          <w:lang w:val="sl-SI"/>
        </w:rPr>
        <w:footnoteRef/>
      </w:r>
      <w:r w:rsidR="005E2A2A" w:rsidRPr="005E2A2A">
        <w:rPr>
          <w:sz w:val="24"/>
          <w:lang w:val="sl-SI"/>
        </w:rPr>
        <w:t xml:space="preserve"> </w:t>
      </w:r>
      <w:r w:rsidR="005E2A2A" w:rsidRPr="005E2A2A">
        <w:rPr>
          <w:sz w:val="24"/>
          <w:lang w:val="sl-SI"/>
        </w:rPr>
        <w:tab/>
      </w:r>
      <w:r w:rsidRPr="005E2A2A">
        <w:rPr>
          <w:sz w:val="24"/>
          <w:lang w:val="sl-SI"/>
        </w:rPr>
        <w:t>UL C, C/2023/594, 27.10.2023.</w:t>
      </w:r>
    </w:p>
  </w:footnote>
  <w:footnote w:id="2">
    <w:p w:rsidR="00025CE3" w:rsidRPr="005E2A2A" w:rsidRDefault="00025CE3" w:rsidP="005E2A2A">
      <w:pPr>
        <w:pStyle w:val="FootnoteText"/>
        <w:ind w:left="567" w:hanging="567"/>
        <w:rPr>
          <w:sz w:val="24"/>
          <w:lang w:val="sl-SI"/>
        </w:rPr>
      </w:pPr>
      <w:r w:rsidRPr="005E2A2A">
        <w:rPr>
          <w:rStyle w:val="FootnoteReference"/>
          <w:sz w:val="24"/>
          <w:lang w:val="sl-SI"/>
        </w:rPr>
        <w:footnoteRef/>
      </w:r>
      <w:r w:rsidR="005E2A2A" w:rsidRPr="005E2A2A">
        <w:rPr>
          <w:sz w:val="24"/>
          <w:lang w:val="sl-SI"/>
        </w:rPr>
        <w:t xml:space="preserve"> </w:t>
      </w:r>
      <w:r w:rsidR="005E2A2A" w:rsidRPr="005E2A2A">
        <w:rPr>
          <w:sz w:val="24"/>
          <w:lang w:val="sl-SI"/>
        </w:rPr>
        <w:tab/>
      </w:r>
      <w:r w:rsidRPr="005E2A2A">
        <w:rPr>
          <w:sz w:val="24"/>
          <w:lang w:val="sl-SI"/>
        </w:rPr>
        <w:t>UL C, C/2023/112, 12.10.2023.</w:t>
      </w:r>
    </w:p>
  </w:footnote>
  <w:footnote w:id="3">
    <w:p w:rsidR="00025CE3" w:rsidRPr="005E2A2A" w:rsidRDefault="00025CE3" w:rsidP="005E2A2A">
      <w:pPr>
        <w:pStyle w:val="FootnoteText"/>
        <w:ind w:left="567" w:hanging="567"/>
        <w:rPr>
          <w:sz w:val="24"/>
          <w:lang w:val="sl-SI"/>
        </w:rPr>
      </w:pPr>
      <w:r w:rsidRPr="005E2A2A">
        <w:rPr>
          <w:rStyle w:val="FootnoteReference"/>
          <w:sz w:val="24"/>
          <w:lang w:val="sl-SI"/>
        </w:rPr>
        <w:footnoteRef/>
      </w:r>
      <w:r w:rsidR="005E2A2A" w:rsidRPr="005E2A2A">
        <w:rPr>
          <w:sz w:val="24"/>
          <w:lang w:val="sl-SI"/>
        </w:rPr>
        <w:t xml:space="preserve"> </w:t>
      </w:r>
      <w:r w:rsidR="005E2A2A" w:rsidRPr="005E2A2A">
        <w:rPr>
          <w:sz w:val="24"/>
          <w:lang w:val="sl-SI"/>
        </w:rPr>
        <w:tab/>
      </w:r>
      <w:r w:rsidRPr="005E2A2A">
        <w:rPr>
          <w:sz w:val="24"/>
          <w:lang w:val="sl-SI"/>
        </w:rPr>
        <w:t>UL L 193, 30.7.2018, str. 1.</w:t>
      </w:r>
    </w:p>
  </w:footnote>
  <w:footnote w:id="4">
    <w:p w:rsidR="00025CE3" w:rsidRPr="005E2A2A" w:rsidRDefault="00025CE3" w:rsidP="005E2A2A">
      <w:pPr>
        <w:pStyle w:val="FootnoteText"/>
        <w:ind w:left="567" w:hanging="567"/>
        <w:rPr>
          <w:sz w:val="24"/>
          <w:lang w:val="sl-SI"/>
        </w:rPr>
      </w:pPr>
      <w:r w:rsidRPr="005E2A2A">
        <w:rPr>
          <w:rStyle w:val="FootnoteReference"/>
          <w:sz w:val="24"/>
          <w:lang w:val="sl-SI"/>
        </w:rPr>
        <w:footnoteRef/>
      </w:r>
      <w:r w:rsidR="005E2A2A" w:rsidRPr="005E2A2A">
        <w:rPr>
          <w:sz w:val="24"/>
          <w:lang w:val="sl-SI"/>
        </w:rPr>
        <w:t xml:space="preserve"> </w:t>
      </w:r>
      <w:r w:rsidR="005E2A2A" w:rsidRPr="005E2A2A">
        <w:rPr>
          <w:sz w:val="24"/>
          <w:lang w:val="sl-SI"/>
        </w:rPr>
        <w:tab/>
      </w:r>
      <w:r w:rsidRPr="005E2A2A">
        <w:rPr>
          <w:sz w:val="24"/>
          <w:lang w:val="sl-SI"/>
        </w:rPr>
        <w:t>UL L 319, 4.12.2015, str. 1.</w:t>
      </w:r>
    </w:p>
  </w:footnote>
  <w:footnote w:id="5">
    <w:p w:rsidR="00025CE3" w:rsidRPr="005E2A2A" w:rsidRDefault="00025CE3" w:rsidP="005E2A2A">
      <w:pPr>
        <w:pStyle w:val="FootnoteText"/>
        <w:ind w:left="567" w:hanging="567"/>
        <w:rPr>
          <w:sz w:val="24"/>
          <w:lang w:val="sl-SI"/>
        </w:rPr>
      </w:pPr>
      <w:r w:rsidRPr="005E2A2A">
        <w:rPr>
          <w:rStyle w:val="FootnoteReference"/>
          <w:sz w:val="24"/>
          <w:lang w:val="sl-SI"/>
        </w:rPr>
        <w:footnoteRef/>
      </w:r>
      <w:r w:rsidR="005E2A2A" w:rsidRPr="005E2A2A">
        <w:rPr>
          <w:sz w:val="24"/>
          <w:lang w:val="sl-SI"/>
        </w:rPr>
        <w:t xml:space="preserve"> </w:t>
      </w:r>
      <w:r w:rsidR="005E2A2A" w:rsidRPr="005E2A2A">
        <w:rPr>
          <w:sz w:val="24"/>
          <w:lang w:val="sl-SI"/>
        </w:rPr>
        <w:tab/>
      </w:r>
      <w:r w:rsidRPr="005E2A2A">
        <w:rPr>
          <w:sz w:val="24"/>
          <w:lang w:val="sl-SI"/>
        </w:rPr>
        <w:t>UL L 122, 10.5.2019, str. 1.</w:t>
      </w:r>
    </w:p>
  </w:footnote>
  <w:footnote w:id="6">
    <w:p w:rsidR="00025CE3" w:rsidRPr="005E2A2A" w:rsidRDefault="00025CE3" w:rsidP="005E2A2A">
      <w:pPr>
        <w:pStyle w:val="FootnoteText"/>
        <w:ind w:left="567" w:hanging="567"/>
        <w:rPr>
          <w:sz w:val="24"/>
          <w:lang w:val="sl-SI"/>
        </w:rPr>
      </w:pPr>
      <w:r w:rsidRPr="005E2A2A">
        <w:rPr>
          <w:rStyle w:val="FootnoteReference"/>
          <w:sz w:val="24"/>
          <w:lang w:val="sl-SI"/>
        </w:rPr>
        <w:footnoteRef/>
      </w:r>
      <w:r w:rsidR="005E2A2A" w:rsidRPr="005E2A2A">
        <w:rPr>
          <w:sz w:val="24"/>
          <w:lang w:val="sl-SI"/>
        </w:rPr>
        <w:t xml:space="preserve"> </w:t>
      </w:r>
      <w:r w:rsidR="005E2A2A" w:rsidRPr="005E2A2A">
        <w:rPr>
          <w:sz w:val="24"/>
          <w:lang w:val="sl-SI"/>
        </w:rPr>
        <w:tab/>
      </w:r>
      <w:r w:rsidRPr="005E2A2A">
        <w:rPr>
          <w:sz w:val="24"/>
          <w:lang w:val="sl-SI"/>
        </w:rPr>
        <w:t>UL C, C/2023/594, 27.10.2023.</w:t>
      </w:r>
    </w:p>
  </w:footnote>
  <w:footnote w:id="7">
    <w:p w:rsidR="00025CE3" w:rsidRPr="005E2A2A" w:rsidRDefault="00025CE3" w:rsidP="005E2A2A">
      <w:pPr>
        <w:pStyle w:val="FootnoteText"/>
        <w:ind w:left="567" w:hanging="567"/>
        <w:rPr>
          <w:sz w:val="24"/>
          <w:lang w:val="sl-SI"/>
        </w:rPr>
      </w:pPr>
      <w:r w:rsidRPr="005E2A2A">
        <w:rPr>
          <w:rStyle w:val="FootnoteReference"/>
          <w:sz w:val="24"/>
          <w:lang w:val="sl-SI"/>
        </w:rPr>
        <w:footnoteRef/>
      </w:r>
      <w:r w:rsidR="005E2A2A" w:rsidRPr="005E2A2A">
        <w:rPr>
          <w:sz w:val="24"/>
          <w:lang w:val="sl-SI"/>
        </w:rPr>
        <w:t xml:space="preserve"> </w:t>
      </w:r>
      <w:r w:rsidR="005E2A2A" w:rsidRPr="005E2A2A">
        <w:rPr>
          <w:sz w:val="24"/>
          <w:lang w:val="sl-SI"/>
        </w:rPr>
        <w:tab/>
      </w:r>
      <w:r w:rsidRPr="005E2A2A">
        <w:rPr>
          <w:sz w:val="24"/>
          <w:lang w:val="sl-SI"/>
        </w:rPr>
        <w:t>UL C, C/2023/112, 12.10.2023.</w:t>
      </w:r>
    </w:p>
  </w:footnote>
  <w:footnote w:id="8">
    <w:p w:rsidR="00025CE3" w:rsidRPr="005E2A2A" w:rsidRDefault="00025CE3" w:rsidP="005E2A2A">
      <w:pPr>
        <w:pStyle w:val="FootnoteText"/>
        <w:ind w:left="567" w:hanging="567"/>
        <w:rPr>
          <w:sz w:val="24"/>
          <w:lang w:val="sl-SI"/>
        </w:rPr>
      </w:pPr>
      <w:r w:rsidRPr="005E2A2A">
        <w:rPr>
          <w:rStyle w:val="FootnoteReference"/>
          <w:sz w:val="24"/>
          <w:lang w:val="sl-SI"/>
        </w:rPr>
        <w:footnoteRef/>
      </w:r>
      <w:r w:rsidR="005E2A2A" w:rsidRPr="005E2A2A">
        <w:rPr>
          <w:sz w:val="24"/>
          <w:lang w:val="sl-SI"/>
        </w:rPr>
        <w:t xml:space="preserve"> </w:t>
      </w:r>
      <w:r w:rsidR="005E2A2A" w:rsidRPr="005E2A2A">
        <w:rPr>
          <w:sz w:val="24"/>
          <w:lang w:val="sl-SI"/>
        </w:rPr>
        <w:tab/>
      </w:r>
      <w:r w:rsidRPr="005E2A2A">
        <w:rPr>
          <w:sz w:val="24"/>
          <w:lang w:val="sl-SI"/>
        </w:rPr>
        <w:t>UL L 193, 30.7.2018, str. 1.</w:t>
      </w:r>
    </w:p>
  </w:footnote>
  <w:footnote w:id="9">
    <w:p w:rsidR="00025CE3" w:rsidRPr="005E2A2A" w:rsidRDefault="00025CE3" w:rsidP="005E2A2A">
      <w:pPr>
        <w:pStyle w:val="FootnoteText"/>
        <w:ind w:left="567" w:hanging="567"/>
        <w:rPr>
          <w:sz w:val="24"/>
          <w:lang w:val="sl-SI"/>
        </w:rPr>
      </w:pPr>
      <w:r w:rsidRPr="005E2A2A">
        <w:rPr>
          <w:rStyle w:val="FootnoteReference"/>
          <w:sz w:val="24"/>
          <w:lang w:val="sl-SI"/>
        </w:rPr>
        <w:footnoteRef/>
      </w:r>
      <w:r w:rsidR="005E2A2A" w:rsidRPr="005E2A2A">
        <w:rPr>
          <w:sz w:val="24"/>
          <w:lang w:val="sl-SI"/>
        </w:rPr>
        <w:t xml:space="preserve"> </w:t>
      </w:r>
      <w:r w:rsidR="005E2A2A" w:rsidRPr="005E2A2A">
        <w:rPr>
          <w:sz w:val="24"/>
          <w:lang w:val="sl-SI"/>
        </w:rPr>
        <w:tab/>
      </w:r>
      <w:r w:rsidRPr="005E2A2A">
        <w:rPr>
          <w:sz w:val="24"/>
          <w:lang w:val="sl-SI"/>
        </w:rPr>
        <w:t>UL L 319, 4.12.2015, str. 1.</w:t>
      </w:r>
    </w:p>
  </w:footnote>
  <w:footnote w:id="10">
    <w:p w:rsidR="00025CE3" w:rsidRPr="005E2A2A" w:rsidRDefault="00025CE3" w:rsidP="005E2A2A">
      <w:pPr>
        <w:pStyle w:val="FootnoteText"/>
        <w:ind w:left="567" w:hanging="567"/>
        <w:rPr>
          <w:sz w:val="24"/>
          <w:lang w:val="sl-SI"/>
        </w:rPr>
      </w:pPr>
      <w:r w:rsidRPr="005E2A2A">
        <w:rPr>
          <w:rStyle w:val="FootnoteReference"/>
          <w:sz w:val="24"/>
          <w:lang w:val="sl-SI"/>
        </w:rPr>
        <w:footnoteRef/>
      </w:r>
      <w:r w:rsidR="005E2A2A" w:rsidRPr="005E2A2A">
        <w:rPr>
          <w:sz w:val="24"/>
          <w:lang w:val="sl-SI"/>
        </w:rPr>
        <w:t xml:space="preserve"> </w:t>
      </w:r>
      <w:r w:rsidR="005E2A2A" w:rsidRPr="005E2A2A">
        <w:rPr>
          <w:sz w:val="24"/>
          <w:lang w:val="sl-SI"/>
        </w:rPr>
        <w:tab/>
      </w:r>
      <w:r w:rsidRPr="005E2A2A">
        <w:rPr>
          <w:sz w:val="24"/>
          <w:lang w:val="sl-SI"/>
        </w:rPr>
        <w:t>UL L 122, 10.5.2019, str. 1.</w:t>
      </w:r>
    </w:p>
  </w:footnote>
  <w:footnote w:id="11">
    <w:p w:rsidR="00025CE3" w:rsidRPr="005E2A2A" w:rsidRDefault="00025CE3" w:rsidP="005E2A2A">
      <w:pPr>
        <w:pStyle w:val="FootnoteText"/>
        <w:ind w:left="567" w:hanging="567"/>
        <w:rPr>
          <w:sz w:val="24"/>
          <w:lang w:val="sl-SI"/>
        </w:rPr>
      </w:pPr>
      <w:r w:rsidRPr="005E2A2A">
        <w:rPr>
          <w:rStyle w:val="FootnoteReference"/>
          <w:sz w:val="24"/>
          <w:lang w:val="sl-SI"/>
        </w:rPr>
        <w:footnoteRef/>
      </w:r>
      <w:r w:rsidR="005E2A2A" w:rsidRPr="005E2A2A">
        <w:rPr>
          <w:sz w:val="24"/>
          <w:lang w:val="sl-SI"/>
        </w:rPr>
        <w:t xml:space="preserve"> </w:t>
      </w:r>
      <w:r w:rsidR="005E2A2A" w:rsidRPr="005E2A2A">
        <w:rPr>
          <w:sz w:val="24"/>
          <w:lang w:val="sl-SI"/>
        </w:rPr>
        <w:tab/>
      </w:r>
      <w:r w:rsidRPr="005E2A2A">
        <w:rPr>
          <w:sz w:val="24"/>
          <w:lang w:val="sl-SI"/>
        </w:rPr>
        <w:t>UL C 73, 28.2.2023, str. 44.</w:t>
      </w:r>
    </w:p>
  </w:footnote>
  <w:footnote w:id="12">
    <w:p w:rsidR="00025CE3" w:rsidRPr="005E2A2A" w:rsidRDefault="00025CE3" w:rsidP="005E2A2A">
      <w:pPr>
        <w:pStyle w:val="FootnoteText"/>
        <w:ind w:left="567" w:hanging="567"/>
        <w:rPr>
          <w:sz w:val="24"/>
          <w:lang w:val="sl-SI"/>
        </w:rPr>
      </w:pPr>
      <w:r w:rsidRPr="005E2A2A">
        <w:rPr>
          <w:rStyle w:val="FootnoteReference"/>
          <w:sz w:val="24"/>
          <w:lang w:val="sl-SI"/>
        </w:rPr>
        <w:footnoteRef/>
      </w:r>
      <w:r w:rsidR="005E2A2A" w:rsidRPr="005E2A2A">
        <w:rPr>
          <w:sz w:val="24"/>
          <w:lang w:val="sl-SI"/>
        </w:rPr>
        <w:t xml:space="preserve"> </w:t>
      </w:r>
      <w:r w:rsidR="005E2A2A" w:rsidRPr="005E2A2A">
        <w:rPr>
          <w:sz w:val="24"/>
          <w:lang w:val="sl-SI"/>
        </w:rPr>
        <w:tab/>
      </w:r>
      <w:r w:rsidRPr="005E2A2A">
        <w:rPr>
          <w:sz w:val="24"/>
          <w:lang w:val="sl-SI"/>
        </w:rPr>
        <w:t>Sprejeta besedila, P9_TA(2024)</w:t>
      </w:r>
      <w:r w:rsidR="004C53FB">
        <w:rPr>
          <w:sz w:val="24"/>
          <w:lang w:val="sl-SI"/>
        </w:rPr>
        <w:t>0280</w:t>
      </w:r>
      <w:bookmarkStart w:id="10" w:name="_GoBack"/>
      <w:bookmarkEnd w:id="10"/>
      <w:r w:rsidRPr="005E2A2A">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CE3" w:rsidRPr="005E2A2A" w:rsidRDefault="00025C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CE3" w:rsidRPr="005E2A2A" w:rsidRDefault="00025C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CE3" w:rsidRPr="005E2A2A" w:rsidRDefault="00025CE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2A2A"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2A2A"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2A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8/2024"/>
    <w:docVar w:name="dvlangue" w:val="SL"/>
    <w:docVar w:name="dvnumam" w:val="0"/>
    <w:docVar w:name="dvpe" w:val="753.510"/>
    <w:docVar w:name="dvrapporteur" w:val="Poročevalec: "/>
    <w:docVar w:name="dvtitre" w:val="Sklep Evropskega parlamenta z dne … 2024 o razrešnici glede izvrševanja proračuna Agencije Evropske unije za usposabljanje na področju preprečevanja, odkrivanja in preiskovanja kaznivih dejanj (CEPOL) za proračunsko leto 2022(2023/2144(DEC))"/>
  </w:docVars>
  <w:rsids>
    <w:rsidRoot w:val="0097499E"/>
    <w:rsid w:val="00002272"/>
    <w:rsid w:val="00025CE3"/>
    <w:rsid w:val="00064002"/>
    <w:rsid w:val="000677B9"/>
    <w:rsid w:val="000831BA"/>
    <w:rsid w:val="000A42CC"/>
    <w:rsid w:val="000E7DD9"/>
    <w:rsid w:val="0010095E"/>
    <w:rsid w:val="00125B37"/>
    <w:rsid w:val="00187494"/>
    <w:rsid w:val="001F32AE"/>
    <w:rsid w:val="0023491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3FB"/>
    <w:rsid w:val="004C5D52"/>
    <w:rsid w:val="0050519A"/>
    <w:rsid w:val="005072A1"/>
    <w:rsid w:val="00514517"/>
    <w:rsid w:val="00545827"/>
    <w:rsid w:val="00560270"/>
    <w:rsid w:val="005C2568"/>
    <w:rsid w:val="005E2A2A"/>
    <w:rsid w:val="006037C0"/>
    <w:rsid w:val="006631B6"/>
    <w:rsid w:val="00680577"/>
    <w:rsid w:val="006C4F21"/>
    <w:rsid w:val="006F74FA"/>
    <w:rsid w:val="00731ADD"/>
    <w:rsid w:val="00734777"/>
    <w:rsid w:val="00747932"/>
    <w:rsid w:val="00751A4A"/>
    <w:rsid w:val="00756632"/>
    <w:rsid w:val="00762C74"/>
    <w:rsid w:val="007645F6"/>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499E"/>
    <w:rsid w:val="00981893"/>
    <w:rsid w:val="009E7E5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121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3FF278"/>
  <w15:chartTrackingRefBased/>
  <w15:docId w15:val="{66198E2C-F427-4A0A-9362-80B352A83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25CE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25CE3"/>
    <w:pPr>
      <w:spacing w:before="480" w:after="240"/>
    </w:pPr>
  </w:style>
  <w:style w:type="paragraph" w:customStyle="1" w:styleId="PageHeading">
    <w:name w:val="PageHeading"/>
    <w:basedOn w:val="Normal"/>
    <w:rsid w:val="00025CE3"/>
    <w:pPr>
      <w:keepNext/>
      <w:spacing w:after="480"/>
      <w:jc w:val="center"/>
    </w:pPr>
    <w:rPr>
      <w:rFonts w:ascii="Arial" w:hAnsi="Arial" w:cs="Arial"/>
      <w:b/>
    </w:rPr>
  </w:style>
  <w:style w:type="paragraph" w:customStyle="1" w:styleId="NormalBold">
    <w:name w:val="NormalBold"/>
    <w:basedOn w:val="Normal"/>
    <w:rsid w:val="00025CE3"/>
    <w:rPr>
      <w:b/>
    </w:rPr>
  </w:style>
  <w:style w:type="paragraph" w:customStyle="1" w:styleId="NormalHanging12a">
    <w:name w:val="NormalHanging12a"/>
    <w:basedOn w:val="Normal"/>
    <w:link w:val="NormalHanging12aChar"/>
    <w:rsid w:val="00025CE3"/>
    <w:pPr>
      <w:spacing w:after="240"/>
      <w:ind w:left="567" w:hanging="567"/>
    </w:pPr>
  </w:style>
  <w:style w:type="paragraph" w:customStyle="1" w:styleId="NormalCenter12a">
    <w:name w:val="NormalCenter12a"/>
    <w:basedOn w:val="Normal"/>
    <w:rsid w:val="00025CE3"/>
    <w:pPr>
      <w:spacing w:after="240"/>
      <w:jc w:val="center"/>
    </w:pPr>
  </w:style>
  <w:style w:type="paragraph" w:styleId="Header">
    <w:name w:val="header"/>
    <w:basedOn w:val="Normal"/>
    <w:link w:val="HeaderChar"/>
    <w:rsid w:val="00025CE3"/>
    <w:pPr>
      <w:tabs>
        <w:tab w:val="center" w:pos="4513"/>
        <w:tab w:val="right" w:pos="9026"/>
      </w:tabs>
    </w:pPr>
  </w:style>
  <w:style w:type="character" w:customStyle="1" w:styleId="HeaderChar">
    <w:name w:val="Header Char"/>
    <w:basedOn w:val="DefaultParagraphFont"/>
    <w:link w:val="Header"/>
    <w:rsid w:val="00025CE3"/>
    <w:rPr>
      <w:sz w:val="24"/>
      <w:lang w:val="sl-SI"/>
    </w:rPr>
  </w:style>
  <w:style w:type="paragraph" w:customStyle="1" w:styleId="EPFooter">
    <w:name w:val="EPFooter"/>
    <w:basedOn w:val="Normal"/>
    <w:rsid w:val="00025CE3"/>
    <w:pPr>
      <w:tabs>
        <w:tab w:val="center" w:pos="4535"/>
        <w:tab w:val="right" w:pos="9071"/>
      </w:tabs>
      <w:spacing w:before="240" w:after="240"/>
    </w:pPr>
    <w:rPr>
      <w:color w:val="010000"/>
      <w:sz w:val="22"/>
    </w:rPr>
  </w:style>
  <w:style w:type="paragraph" w:styleId="ListParagraph">
    <w:name w:val="List Paragraph"/>
    <w:basedOn w:val="Normal"/>
    <w:uiPriority w:val="34"/>
    <w:qFormat/>
    <w:rsid w:val="00025CE3"/>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025CE3"/>
    <w:rPr>
      <w:sz w:val="24"/>
      <w:lang w:val="sl-SI"/>
    </w:rPr>
  </w:style>
  <w:style w:type="character" w:customStyle="1" w:styleId="pointer">
    <w:name w:val="pointer"/>
    <w:basedOn w:val="DefaultParagraphFont"/>
    <w:rsid w:val="00025CE3"/>
  </w:style>
  <w:style w:type="paragraph" w:styleId="BalloonText">
    <w:name w:val="Balloon Text"/>
    <w:basedOn w:val="Normal"/>
    <w:link w:val="BalloonTextChar"/>
    <w:rsid w:val="00E1121B"/>
    <w:rPr>
      <w:rFonts w:ascii="Segoe UI" w:hAnsi="Segoe UI" w:cs="Segoe UI"/>
      <w:sz w:val="18"/>
      <w:szCs w:val="18"/>
    </w:rPr>
  </w:style>
  <w:style w:type="character" w:customStyle="1" w:styleId="BalloonTextChar">
    <w:name w:val="Balloon Text Char"/>
    <w:basedOn w:val="DefaultParagraphFont"/>
    <w:link w:val="BalloonText"/>
    <w:rsid w:val="00E1121B"/>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F6603D-4A58-443B-809C-28D49D26F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4336</Words>
  <Characters>25999</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2024-04-11T13:05:00Z</dcterms:created>
  <dcterms:modified xsi:type="dcterms:W3CDTF">2024-04-11T13:05:00Z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A9-0098/2024</vt:lpwstr>
  </property>
  <property fmtid="{D5CDD505-2E9C-101B-9397-08002B2CF9AE}" pid="4" name="&lt;Type&gt;">
    <vt:lpwstr>RR</vt:lpwstr>
  </property>
</Properties>
</file>