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A2D" w14:paraId="27CA0F46" w14:textId="77777777" w:rsidTr="0010095E">
        <w:trPr>
          <w:trHeight w:hRule="exact" w:val="1418"/>
        </w:trPr>
        <w:tc>
          <w:tcPr>
            <w:tcW w:w="6804" w:type="dxa"/>
            <w:shd w:val="clear" w:color="auto" w:fill="auto"/>
            <w:vAlign w:val="center"/>
          </w:tcPr>
          <w:p w14:paraId="5113BC53" w14:textId="77777777" w:rsidR="00751A4A" w:rsidRPr="00B46A2D" w:rsidRDefault="005B3C15" w:rsidP="0010095E">
            <w:pPr>
              <w:pStyle w:val="EPName"/>
            </w:pPr>
            <w:r w:rsidRPr="00B46A2D">
              <w:t>Europaparlamentet</w:t>
            </w:r>
          </w:p>
          <w:p w14:paraId="7D2CA114" w14:textId="77777777" w:rsidR="00751A4A" w:rsidRPr="00B46A2D" w:rsidRDefault="00817416" w:rsidP="00756632">
            <w:pPr>
              <w:pStyle w:val="EPTerm"/>
              <w:rPr>
                <w:rStyle w:val="HideTWBExt"/>
                <w:noProof w:val="0"/>
                <w:vanish w:val="0"/>
                <w:color w:val="auto"/>
              </w:rPr>
            </w:pPr>
            <w:r w:rsidRPr="00B46A2D">
              <w:t>2019-2024</w:t>
            </w:r>
          </w:p>
        </w:tc>
        <w:tc>
          <w:tcPr>
            <w:tcW w:w="2268" w:type="dxa"/>
            <w:shd w:val="clear" w:color="auto" w:fill="auto"/>
          </w:tcPr>
          <w:p w14:paraId="342C6FCE" w14:textId="77777777" w:rsidR="00751A4A" w:rsidRPr="00B46A2D" w:rsidRDefault="00187494" w:rsidP="0010095E">
            <w:pPr>
              <w:pStyle w:val="EPLogo"/>
            </w:pPr>
            <w:r w:rsidRPr="00B46A2D">
              <w:rPr>
                <w:noProof/>
                <w:lang w:val="en-GB"/>
              </w:rPr>
              <w:drawing>
                <wp:inline distT="0" distB="0" distL="0" distR="0" wp14:anchorId="57B9D8E4" wp14:editId="0FC287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B8B751" w14:textId="77777777" w:rsidR="00D058B8" w:rsidRPr="00B46A2D" w:rsidRDefault="00D058B8" w:rsidP="004C5D52">
      <w:pPr>
        <w:pStyle w:val="LineTop"/>
      </w:pPr>
    </w:p>
    <w:p w14:paraId="025D4B76" w14:textId="77777777" w:rsidR="00680577" w:rsidRPr="00B46A2D" w:rsidRDefault="005B3C15" w:rsidP="00680577">
      <w:pPr>
        <w:pStyle w:val="EPBodyTA1"/>
      </w:pPr>
      <w:r w:rsidRPr="00B46A2D">
        <w:t>ANTAGNA TEXTER</w:t>
      </w:r>
    </w:p>
    <w:p w14:paraId="5024A7B6" w14:textId="77777777" w:rsidR="00D058B8" w:rsidRPr="00B46A2D" w:rsidRDefault="00D058B8" w:rsidP="00D058B8">
      <w:pPr>
        <w:pStyle w:val="LineBottom"/>
      </w:pPr>
    </w:p>
    <w:p w14:paraId="2942D3A7" w14:textId="24960AB6" w:rsidR="005B3C15" w:rsidRPr="00B46A2D" w:rsidRDefault="005B3C15" w:rsidP="005B3C15">
      <w:pPr>
        <w:pStyle w:val="ATHeading1"/>
      </w:pPr>
      <w:bookmarkStart w:id="0" w:name="TANumber"/>
      <w:r w:rsidRPr="00B46A2D">
        <w:t>P9_TA(2024)0</w:t>
      </w:r>
      <w:bookmarkEnd w:id="0"/>
      <w:r w:rsidR="00B46A2D" w:rsidRPr="00B46A2D">
        <w:t>254</w:t>
      </w:r>
    </w:p>
    <w:p w14:paraId="03BE72AE" w14:textId="77777777" w:rsidR="005B3C15" w:rsidRPr="00B46A2D" w:rsidRDefault="005B3C15" w:rsidP="005B3C15">
      <w:pPr>
        <w:pStyle w:val="ATHeading2"/>
      </w:pPr>
      <w:bookmarkStart w:id="1" w:name="title"/>
      <w:r w:rsidRPr="00B46A2D">
        <w:t>Ansvarsfrihet 2022: Europeiska unionens byrå för utbildning av tjänstemän inom brottsbekämpning (Cepol)</w:t>
      </w:r>
      <w:bookmarkEnd w:id="1"/>
    </w:p>
    <w:p w14:paraId="3C423BDA" w14:textId="77777777" w:rsidR="005B3C15" w:rsidRPr="00B46A2D" w:rsidRDefault="005B3C15" w:rsidP="005B3C15">
      <w:pPr>
        <w:rPr>
          <w:i/>
          <w:vanish/>
        </w:rPr>
      </w:pPr>
      <w:r w:rsidRPr="00B46A2D">
        <w:rPr>
          <w:i/>
        </w:rPr>
        <w:fldChar w:fldCharType="begin"/>
      </w:r>
      <w:r w:rsidRPr="00B46A2D">
        <w:rPr>
          <w:i/>
        </w:rPr>
        <w:instrText xml:space="preserve"> TC"(</w:instrText>
      </w:r>
      <w:bookmarkStart w:id="2" w:name="DocNumber"/>
      <w:r w:rsidRPr="00B46A2D">
        <w:rPr>
          <w:i/>
        </w:rPr>
        <w:instrText>A9-0098/2024</w:instrText>
      </w:r>
      <w:bookmarkEnd w:id="2"/>
      <w:r w:rsidRPr="00B46A2D">
        <w:rPr>
          <w:i/>
        </w:rPr>
        <w:instrText xml:space="preserve"> - Föredragande: Petri Sarvamaa)"\l3 \n&gt; \* MERGEFORMAT </w:instrText>
      </w:r>
      <w:r w:rsidRPr="00B46A2D">
        <w:rPr>
          <w:i/>
        </w:rPr>
        <w:fldChar w:fldCharType="end"/>
      </w:r>
    </w:p>
    <w:p w14:paraId="53FEEE57" w14:textId="77777777" w:rsidR="005B3C15" w:rsidRPr="00B46A2D" w:rsidRDefault="005B3C15" w:rsidP="005B3C15">
      <w:pPr>
        <w:rPr>
          <w:vanish/>
        </w:rPr>
      </w:pPr>
      <w:bookmarkStart w:id="3" w:name="Commission"/>
      <w:r w:rsidRPr="00B46A2D">
        <w:rPr>
          <w:vanish/>
        </w:rPr>
        <w:t>Budgetkontrollutskottet</w:t>
      </w:r>
      <w:bookmarkEnd w:id="3"/>
    </w:p>
    <w:p w14:paraId="760A58C4" w14:textId="77777777" w:rsidR="005B3C15" w:rsidRPr="00B46A2D" w:rsidRDefault="005B3C15" w:rsidP="005B3C15">
      <w:pPr>
        <w:rPr>
          <w:vanish/>
        </w:rPr>
      </w:pPr>
      <w:bookmarkStart w:id="4" w:name="PE"/>
      <w:r w:rsidRPr="00B46A2D">
        <w:rPr>
          <w:vanish/>
        </w:rPr>
        <w:t>PE753.510</w:t>
      </w:r>
      <w:bookmarkEnd w:id="4"/>
    </w:p>
    <w:p w14:paraId="05FC5D41" w14:textId="07E13AA8" w:rsidR="005B3C15" w:rsidRPr="00B46A2D" w:rsidRDefault="00E12166" w:rsidP="005B3C15">
      <w:pPr>
        <w:pStyle w:val="ATHeading3"/>
      </w:pPr>
      <w:bookmarkStart w:id="5" w:name="Sujet"/>
      <w:r w:rsidRPr="00B46A2D">
        <w:t xml:space="preserve">1. </w:t>
      </w:r>
      <w:r w:rsidR="005B3C15" w:rsidRPr="00B46A2D">
        <w:t xml:space="preserve">Europaparlamentets beslut av den </w:t>
      </w:r>
      <w:r w:rsidRPr="00B46A2D">
        <w:t xml:space="preserve">11 april </w:t>
      </w:r>
      <w:r w:rsidR="005B3C15" w:rsidRPr="00B46A2D">
        <w:t>2024 om ansvarsfrihet för genomförandet av budgeten för Europeiska unionens byrå för utbildning av tjänstemän inom brottsbekämpning (Cepol) för budgetåret 2022</w:t>
      </w:r>
      <w:bookmarkEnd w:id="5"/>
      <w:r w:rsidR="005B3C15" w:rsidRPr="00B46A2D">
        <w:t xml:space="preserve"> </w:t>
      </w:r>
      <w:bookmarkStart w:id="6" w:name="References"/>
      <w:r w:rsidR="005B3C15" w:rsidRPr="00B46A2D">
        <w:t>(2023/2144(DEC))</w:t>
      </w:r>
      <w:bookmarkEnd w:id="6"/>
    </w:p>
    <w:p w14:paraId="2D8C18E0" w14:textId="77777777" w:rsidR="00435E35" w:rsidRPr="00B46A2D" w:rsidRDefault="00435E35" w:rsidP="00435E35">
      <w:pPr>
        <w:pStyle w:val="EPComma"/>
        <w:widowControl/>
      </w:pPr>
      <w:bookmarkStart w:id="7" w:name="TextBodyBegin"/>
      <w:bookmarkEnd w:id="7"/>
      <w:r w:rsidRPr="00B46A2D">
        <w:rPr>
          <w:i/>
          <w:iCs/>
        </w:rPr>
        <w:t>Europaparlamentet fattar detta beslut</w:t>
      </w:r>
    </w:p>
    <w:p w14:paraId="72A30A56" w14:textId="77777777" w:rsidR="00435E35" w:rsidRPr="00B46A2D" w:rsidRDefault="00435E35" w:rsidP="00435E35">
      <w:pPr>
        <w:pStyle w:val="NormalHanging12a"/>
        <w:widowControl/>
      </w:pPr>
      <w:r w:rsidRPr="00B46A2D">
        <w:t>–</w:t>
      </w:r>
      <w:r w:rsidRPr="00B46A2D">
        <w:tab/>
        <w:t>med beaktande av den slutliga årsredovisningen för Europeiska unionens byrå för utbildning av tjänstemän inom brottsbekämpning (Cepol) för budgetåret 2022,</w:t>
      </w:r>
    </w:p>
    <w:p w14:paraId="73D07196" w14:textId="77777777" w:rsidR="00435E35" w:rsidRPr="00B46A2D" w:rsidRDefault="00435E35" w:rsidP="00435E35">
      <w:pPr>
        <w:pStyle w:val="NormalHanging12a"/>
        <w:widowControl/>
      </w:pPr>
      <w:r w:rsidRPr="00B46A2D">
        <w:t>–</w:t>
      </w:r>
      <w:r w:rsidRPr="00B46A2D">
        <w:tab/>
        <w:t>med beaktande av revisionsrättens årsrapport om EU:s byråer för budgetåret 2022, med byråernas svar</w:t>
      </w:r>
      <w:r w:rsidRPr="00B46A2D">
        <w:rPr>
          <w:rStyle w:val="FootnoteReference"/>
        </w:rPr>
        <w:footnoteReference w:id="1"/>
      </w:r>
      <w:r w:rsidRPr="00B46A2D">
        <w:t>,</w:t>
      </w:r>
    </w:p>
    <w:p w14:paraId="1EA27A82" w14:textId="77777777" w:rsidR="00435E35" w:rsidRPr="00B46A2D" w:rsidRDefault="00435E35" w:rsidP="00435E35">
      <w:pPr>
        <w:pStyle w:val="NormalHanging12a"/>
        <w:widowControl/>
      </w:pPr>
      <w:r w:rsidRPr="00B46A2D">
        <w:t>–</w:t>
      </w:r>
      <w:r w:rsidRPr="00B46A2D">
        <w:tab/>
        <w:t>med beaktande av förklaringen om räkenskapernas tillförlitlighet och de underliggande transaktionernas laglighet och korrekthet</w:t>
      </w:r>
      <w:r w:rsidRPr="00B46A2D">
        <w:rPr>
          <w:rStyle w:val="FootnoteReference"/>
        </w:rPr>
        <w:footnoteReference w:id="2"/>
      </w:r>
      <w:r w:rsidRPr="00B46A2D">
        <w:t>, som avgetts av revisionsrätten för budgetåret 2022 i enlighet med artikel 287 i fördraget om Europeiska unionens funktionssätt,</w:t>
      </w:r>
    </w:p>
    <w:p w14:paraId="5A42A02C" w14:textId="673BC14F" w:rsidR="00435E35" w:rsidRPr="00B46A2D" w:rsidRDefault="00435E35" w:rsidP="00435E35">
      <w:pPr>
        <w:pStyle w:val="NormalHanging12a"/>
        <w:widowControl/>
      </w:pPr>
      <w:r w:rsidRPr="00B46A2D">
        <w:t>–</w:t>
      </w:r>
      <w:r w:rsidRPr="00B46A2D">
        <w:tab/>
        <w:t>med beaktande av rådets rekommendation av den 22 februari 2024 om att bevilja byrån ansvarsfrihet för genomförandet av budgeten för budgetåret 2022 (</w:t>
      </w:r>
      <w:r w:rsidR="00E12166" w:rsidRPr="00B46A2D">
        <w:t>06180</w:t>
      </w:r>
      <w:r w:rsidRPr="00B46A2D">
        <w:t>/2024 – C9</w:t>
      </w:r>
      <w:r w:rsidRPr="00B46A2D">
        <w:noBreakHyphen/>
      </w:r>
      <w:r w:rsidR="00E12166" w:rsidRPr="00B46A2D">
        <w:t>0082</w:t>
      </w:r>
      <w:r w:rsidRPr="00B46A2D">
        <w:t>/2024),</w:t>
      </w:r>
    </w:p>
    <w:p w14:paraId="490794BF" w14:textId="77777777" w:rsidR="00435E35" w:rsidRPr="00B46A2D" w:rsidRDefault="00435E35" w:rsidP="00435E35">
      <w:pPr>
        <w:pStyle w:val="NormalHanging12a"/>
        <w:widowControl/>
      </w:pPr>
      <w:r w:rsidRPr="00B46A2D">
        <w:t>–</w:t>
      </w:r>
      <w:r w:rsidRPr="00B46A2D">
        <w:tab/>
        <w:t>med beaktande av artikel 319 i fördraget om Europeiska unionens funktionssätt,</w:t>
      </w:r>
    </w:p>
    <w:p w14:paraId="42E23848" w14:textId="77777777" w:rsidR="00435E35" w:rsidRPr="00B46A2D" w:rsidRDefault="00435E35" w:rsidP="00435E35">
      <w:pPr>
        <w:pStyle w:val="NormalHanging12a"/>
        <w:widowControl/>
      </w:pPr>
      <w:r w:rsidRPr="00B46A2D">
        <w:t>–</w:t>
      </w:r>
      <w:r w:rsidRPr="00B46A2D">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46A2D">
        <w:rPr>
          <w:rStyle w:val="FootnoteReference"/>
        </w:rPr>
        <w:footnoteReference w:id="3"/>
      </w:r>
      <w:r w:rsidRPr="00B46A2D">
        <w:t>, särskilt artikel 70,</w:t>
      </w:r>
    </w:p>
    <w:p w14:paraId="7B95F446" w14:textId="49C665DD" w:rsidR="00435E35" w:rsidRPr="00B46A2D" w:rsidRDefault="00435E35" w:rsidP="00435E35">
      <w:pPr>
        <w:pStyle w:val="NormalHanging12a"/>
        <w:widowControl/>
      </w:pPr>
      <w:r w:rsidRPr="00B46A2D">
        <w:t>–</w:t>
      </w:r>
      <w:r w:rsidRPr="00B46A2D">
        <w:tab/>
        <w:t>med beaktande av Europaparlamentet</w:t>
      </w:r>
      <w:r w:rsidR="00E204D4">
        <w:t xml:space="preserve">s och rådets förordning (EU) </w:t>
      </w:r>
      <w:r w:rsidRPr="00B46A2D">
        <w:t xml:space="preserve">2015/2219 av den 25 november 2015 om Europeiska unionens byrå för utbildning av tjänstemän inom </w:t>
      </w:r>
      <w:r w:rsidRPr="00B46A2D">
        <w:lastRenderedPageBreak/>
        <w:t>brottsbekämpning (Cepol) och om ersättning och upphävande av rådets beslut 2005/681/RIF</w:t>
      </w:r>
      <w:r w:rsidRPr="00B46A2D">
        <w:rPr>
          <w:rStyle w:val="FootnoteReference"/>
        </w:rPr>
        <w:footnoteReference w:id="4"/>
      </w:r>
      <w:r w:rsidRPr="00B46A2D">
        <w:t>, särskilt artikel 20,</w:t>
      </w:r>
    </w:p>
    <w:p w14:paraId="42C924A1" w14:textId="77777777" w:rsidR="00435E35" w:rsidRPr="00B46A2D" w:rsidRDefault="00435E35" w:rsidP="00435E35">
      <w:pPr>
        <w:pStyle w:val="NormalHanging12a"/>
        <w:widowControl/>
      </w:pPr>
      <w:r w:rsidRPr="00B46A2D">
        <w:t>–</w:t>
      </w:r>
      <w:r w:rsidRPr="00B46A2D">
        <w:tab/>
        <w:t>med beaktande av kommissionens delegerade förordning (EU) 2019/715 av den 18 december 2018 med rambudgetförordning för de organ som inrättats enligt EUF</w:t>
      </w:r>
      <w:r w:rsidRPr="00B46A2D">
        <w:noBreakHyphen/>
        <w:t>fördraget och Euratomfördraget och som avses i artikel 70 i Europaparlamentets och rådets förordning (EU, Euratom) 2018/1046</w:t>
      </w:r>
      <w:r w:rsidRPr="00B46A2D">
        <w:rPr>
          <w:rStyle w:val="FootnoteReference"/>
        </w:rPr>
        <w:footnoteReference w:id="5"/>
      </w:r>
      <w:r w:rsidRPr="00B46A2D">
        <w:t>, särskilt artikel 105,</w:t>
      </w:r>
    </w:p>
    <w:p w14:paraId="398F106D" w14:textId="77777777" w:rsidR="00435E35" w:rsidRPr="00B46A2D" w:rsidRDefault="00435E35" w:rsidP="00435E35">
      <w:pPr>
        <w:pStyle w:val="NormalHanging12a"/>
        <w:widowControl/>
      </w:pPr>
      <w:r w:rsidRPr="00B46A2D">
        <w:t>–</w:t>
      </w:r>
      <w:r w:rsidRPr="00B46A2D">
        <w:tab/>
        <w:t>med beaktande av artikel 100 och bilaga V i arbetsordningen,</w:t>
      </w:r>
    </w:p>
    <w:p w14:paraId="4075FA91" w14:textId="77777777" w:rsidR="00435E35" w:rsidRPr="00B46A2D" w:rsidRDefault="00435E35" w:rsidP="00435E35">
      <w:pPr>
        <w:pStyle w:val="NormalHanging12a"/>
        <w:widowControl/>
      </w:pPr>
      <w:r w:rsidRPr="00B46A2D">
        <w:t>–</w:t>
      </w:r>
      <w:r w:rsidRPr="00B46A2D">
        <w:tab/>
        <w:t>med beaktande av yttrandet från utskottet för medborgerliga fri- och rättigheter samt rättsliga och inrikes frågor,</w:t>
      </w:r>
    </w:p>
    <w:p w14:paraId="091A65C5" w14:textId="77777777" w:rsidR="00435E35" w:rsidRPr="00B46A2D" w:rsidRDefault="00435E35" w:rsidP="00435E35">
      <w:pPr>
        <w:pStyle w:val="NormalHanging12a"/>
        <w:widowControl/>
      </w:pPr>
      <w:r w:rsidRPr="00B46A2D">
        <w:t>–</w:t>
      </w:r>
      <w:r w:rsidRPr="00B46A2D">
        <w:tab/>
        <w:t>med beaktande av betänkandet från budgetkontrollutskottet (A9-0098/2024).</w:t>
      </w:r>
    </w:p>
    <w:p w14:paraId="54BEE8EB" w14:textId="77777777" w:rsidR="00435E35" w:rsidRPr="00B46A2D" w:rsidRDefault="00435E35" w:rsidP="00435E35">
      <w:pPr>
        <w:pStyle w:val="NormalHanging12a"/>
        <w:widowControl/>
      </w:pPr>
      <w:r w:rsidRPr="00B46A2D">
        <w:t>1.</w:t>
      </w:r>
      <w:r w:rsidRPr="00B46A2D">
        <w:tab/>
        <w:t>Europaparlamentet beviljar verkställande direktören för Europeiska unionens byrå för utbildning av tjänstemän inom brottsbekämpning (Cepol) ansvarsfrihet för genomförandet av byråns budget för budgetåret 2022.</w:t>
      </w:r>
    </w:p>
    <w:p w14:paraId="3AFA5B9C" w14:textId="77777777" w:rsidR="00435E35" w:rsidRPr="00B46A2D" w:rsidRDefault="00435E35" w:rsidP="00435E35">
      <w:pPr>
        <w:pStyle w:val="NormalHanging12a"/>
        <w:widowControl/>
      </w:pPr>
      <w:r w:rsidRPr="00B46A2D">
        <w:t>2.</w:t>
      </w:r>
      <w:r w:rsidRPr="00B46A2D">
        <w:tab/>
        <w:t>Europaparlamentet redovisar sina iakttagelser i resolutionen nedan.</w:t>
      </w:r>
    </w:p>
    <w:p w14:paraId="31993A27" w14:textId="77777777" w:rsidR="00435E35" w:rsidRPr="00B46A2D" w:rsidRDefault="00435E35" w:rsidP="00435E35">
      <w:pPr>
        <w:pStyle w:val="NormalHanging12a"/>
        <w:widowControl/>
      </w:pPr>
      <w:r w:rsidRPr="00B46A2D">
        <w:t>3.</w:t>
      </w:r>
      <w:r w:rsidRPr="00B46A2D">
        <w:tab/>
        <w:t xml:space="preserve">Europaparlamentet uppdrar åt talmannen att översända detta beslut och den resolution som utgör en del av beslutet till verkställande direktören för Europeiska unionens byrå för utbildning av tjänstemän inom brottsbekämpning (Cepol), rådet, kommissionen och revisionsrätten, och att se till att de offentliggörs i </w:t>
      </w:r>
      <w:r w:rsidRPr="00B46A2D">
        <w:rPr>
          <w:i/>
          <w:iCs/>
        </w:rPr>
        <w:t>Europeiska unionens officiella tidning</w:t>
      </w:r>
      <w:r w:rsidRPr="00B46A2D">
        <w:t xml:space="preserve"> (L-serien).</w:t>
      </w:r>
    </w:p>
    <w:p w14:paraId="5E58B2C6" w14:textId="77777777" w:rsidR="00435E35" w:rsidRPr="00B46A2D" w:rsidRDefault="00435E35" w:rsidP="00435E35">
      <w:pPr>
        <w:widowControl/>
      </w:pPr>
    </w:p>
    <w:p w14:paraId="0BCF3026" w14:textId="77777777" w:rsidR="00435E35" w:rsidRPr="00B46A2D" w:rsidRDefault="00435E35" w:rsidP="00435E35">
      <w:pPr>
        <w:widowControl/>
        <w:rPr>
          <w:rFonts w:ascii="Arial" w:hAnsi="Arial" w:cs="Arial"/>
          <w:b/>
        </w:rPr>
        <w:sectPr w:rsidR="00435E35" w:rsidRPr="00B46A2D" w:rsidSect="00BF050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676C998" w14:textId="4D3B5845" w:rsidR="00435E35" w:rsidRPr="00B46A2D" w:rsidRDefault="00E12166" w:rsidP="00E12166">
      <w:pPr>
        <w:pStyle w:val="ATHeading3"/>
      </w:pPr>
      <w:r w:rsidRPr="00B46A2D">
        <w:lastRenderedPageBreak/>
        <w:t xml:space="preserve">2. Europaparlamentets beslut av den 11 april 2024 </w:t>
      </w:r>
      <w:r w:rsidR="00435E35" w:rsidRPr="00B46A2D">
        <w:t>om avslutandet av räkenskaperna för Europeiska unionens byrå för utbildning av tjänstemän inom brottsbekämpning (Cepol) för budgetåret 2022</w:t>
      </w:r>
      <w:r w:rsidRPr="00B46A2D">
        <w:t xml:space="preserve"> </w:t>
      </w:r>
      <w:r w:rsidR="00435E35" w:rsidRPr="00B46A2D">
        <w:t>(2023/2144(DEC))</w:t>
      </w:r>
    </w:p>
    <w:p w14:paraId="36209101" w14:textId="77777777" w:rsidR="00435E35" w:rsidRPr="00B46A2D" w:rsidRDefault="00435E35" w:rsidP="00435E35">
      <w:pPr>
        <w:pStyle w:val="EPComma"/>
        <w:widowControl/>
      </w:pPr>
      <w:r w:rsidRPr="00B46A2D">
        <w:rPr>
          <w:i/>
          <w:iCs/>
        </w:rPr>
        <w:t>Europaparlamentet fattar detta beslut</w:t>
      </w:r>
    </w:p>
    <w:p w14:paraId="1A67A377" w14:textId="77777777" w:rsidR="00435E35" w:rsidRPr="00B46A2D" w:rsidRDefault="00435E35" w:rsidP="00435E35">
      <w:pPr>
        <w:pStyle w:val="NormalHanging12a"/>
        <w:widowControl/>
      </w:pPr>
      <w:r w:rsidRPr="00B46A2D">
        <w:t>–</w:t>
      </w:r>
      <w:r w:rsidRPr="00B46A2D">
        <w:tab/>
        <w:t>med beaktande av den slutliga årsredovisningen för Europeiska unionens byrå för utbildning av tjänstemän inom brottsbekämpning (Cepol) för budgetåret 2022,</w:t>
      </w:r>
    </w:p>
    <w:p w14:paraId="14F6C661" w14:textId="77777777" w:rsidR="00435E35" w:rsidRPr="00B46A2D" w:rsidRDefault="00435E35" w:rsidP="00435E35">
      <w:pPr>
        <w:pStyle w:val="NormalHanging12a"/>
        <w:widowControl/>
      </w:pPr>
      <w:r w:rsidRPr="00B46A2D">
        <w:t>–</w:t>
      </w:r>
      <w:r w:rsidRPr="00B46A2D">
        <w:tab/>
        <w:t>med beaktande av revisionsrättens årsrapport om EU:s byråer för budgetåret 2022, med byråernas svar</w:t>
      </w:r>
      <w:r w:rsidRPr="00B46A2D">
        <w:rPr>
          <w:rStyle w:val="FootnoteReference"/>
        </w:rPr>
        <w:footnoteReference w:id="6"/>
      </w:r>
      <w:r w:rsidRPr="00B46A2D">
        <w:t>,</w:t>
      </w:r>
    </w:p>
    <w:p w14:paraId="5A2528EA" w14:textId="77777777" w:rsidR="00435E35" w:rsidRPr="00B46A2D" w:rsidRDefault="00435E35" w:rsidP="00435E35">
      <w:pPr>
        <w:pStyle w:val="NormalHanging12a"/>
        <w:widowControl/>
      </w:pPr>
      <w:r w:rsidRPr="00B46A2D">
        <w:t>–</w:t>
      </w:r>
      <w:r w:rsidRPr="00B46A2D">
        <w:tab/>
        <w:t>med beaktande av förklaringen om räkenskapernas tillförlitlighet och de underliggande transaktionernas laglighet och korrekthet</w:t>
      </w:r>
      <w:r w:rsidRPr="00B46A2D">
        <w:rPr>
          <w:rStyle w:val="FootnoteReference"/>
        </w:rPr>
        <w:footnoteReference w:id="7"/>
      </w:r>
      <w:r w:rsidRPr="00B46A2D">
        <w:t>, som avgetts av revisionsrätten för budgetåret 2022 i enlighet med artikel 287 i fördraget om Europeiska unionens funktionssätt,</w:t>
      </w:r>
    </w:p>
    <w:p w14:paraId="5E9F8341" w14:textId="0185445A" w:rsidR="00435E35" w:rsidRPr="00B46A2D" w:rsidRDefault="00435E35" w:rsidP="00435E35">
      <w:pPr>
        <w:pStyle w:val="NormalHanging12a"/>
        <w:widowControl/>
      </w:pPr>
      <w:r w:rsidRPr="00B46A2D">
        <w:t>–</w:t>
      </w:r>
      <w:r w:rsidRPr="00B46A2D">
        <w:tab/>
        <w:t>med beaktande av rådets rekommendation av den 22 februari 2024 om att bevilja byrån ansvarsfrihet för genomförandet av budgeten för budgetåret 2022 (</w:t>
      </w:r>
      <w:r w:rsidR="00E12166" w:rsidRPr="00B46A2D">
        <w:t>06180</w:t>
      </w:r>
      <w:r w:rsidRPr="00B46A2D">
        <w:t>/2024 – C9</w:t>
      </w:r>
      <w:r w:rsidRPr="00B46A2D">
        <w:noBreakHyphen/>
      </w:r>
      <w:r w:rsidR="00E12166" w:rsidRPr="00B46A2D">
        <w:t>0082</w:t>
      </w:r>
      <w:r w:rsidRPr="00B46A2D">
        <w:t>/2024),</w:t>
      </w:r>
    </w:p>
    <w:p w14:paraId="287B442F" w14:textId="77777777" w:rsidR="00435E35" w:rsidRPr="00B46A2D" w:rsidRDefault="00435E35" w:rsidP="00435E35">
      <w:pPr>
        <w:pStyle w:val="NormalHanging12a"/>
        <w:widowControl/>
      </w:pPr>
      <w:r w:rsidRPr="00B46A2D">
        <w:t>–</w:t>
      </w:r>
      <w:r w:rsidRPr="00B46A2D">
        <w:tab/>
        <w:t>med beaktande av artikel 319 i fördraget om Europeiska unionens funktionssätt,</w:t>
      </w:r>
    </w:p>
    <w:p w14:paraId="1BF3844F" w14:textId="77777777" w:rsidR="00435E35" w:rsidRPr="00B46A2D" w:rsidRDefault="00435E35" w:rsidP="00435E35">
      <w:pPr>
        <w:pStyle w:val="NormalHanging12a"/>
        <w:widowControl/>
      </w:pPr>
      <w:r w:rsidRPr="00B46A2D">
        <w:t>–</w:t>
      </w:r>
      <w:r w:rsidRPr="00B46A2D">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46A2D">
        <w:rPr>
          <w:rStyle w:val="FootnoteReference"/>
        </w:rPr>
        <w:footnoteReference w:id="8"/>
      </w:r>
      <w:r w:rsidRPr="00B46A2D">
        <w:t>, särskilt artikel 70,</w:t>
      </w:r>
    </w:p>
    <w:p w14:paraId="68279E3E" w14:textId="6DB80E0A" w:rsidR="00435E35" w:rsidRPr="00B46A2D" w:rsidRDefault="00435E35" w:rsidP="00435E35">
      <w:pPr>
        <w:pStyle w:val="NormalHanging12a"/>
        <w:widowControl/>
      </w:pPr>
      <w:r w:rsidRPr="00B46A2D">
        <w:t>–</w:t>
      </w:r>
      <w:r w:rsidRPr="00B46A2D">
        <w:tab/>
        <w:t>med beaktande av Europaparlamentet</w:t>
      </w:r>
      <w:r w:rsidR="00E204D4">
        <w:t xml:space="preserve">s och rådets förordning (EU) </w:t>
      </w:r>
      <w:bookmarkStart w:id="8" w:name="_GoBack"/>
      <w:r w:rsidRPr="00B46A2D">
        <w:t>2015/2219</w:t>
      </w:r>
      <w:bookmarkEnd w:id="8"/>
      <w:r w:rsidRPr="00B46A2D">
        <w:t xml:space="preserve"> av den 25 november 2015 om Europeiska unionens byrå för utbildning av tjänstemän inom brottsbekämpning (Cepol) och om ersättning och upphävande av rådets beslut 2005/681/RIF</w:t>
      </w:r>
      <w:r w:rsidRPr="00B46A2D">
        <w:rPr>
          <w:rStyle w:val="FootnoteReference"/>
        </w:rPr>
        <w:footnoteReference w:id="9"/>
      </w:r>
      <w:r w:rsidRPr="00B46A2D">
        <w:t>, särskilt artikel 20,</w:t>
      </w:r>
    </w:p>
    <w:p w14:paraId="52EE9EAB" w14:textId="77777777" w:rsidR="00435E35" w:rsidRPr="00B46A2D" w:rsidRDefault="00435E35" w:rsidP="00435E35">
      <w:pPr>
        <w:pStyle w:val="NormalHanging12a"/>
        <w:widowControl/>
      </w:pPr>
      <w:r w:rsidRPr="00B46A2D">
        <w:t>–</w:t>
      </w:r>
      <w:r w:rsidRPr="00B46A2D">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B46A2D">
        <w:rPr>
          <w:rStyle w:val="FootnoteReference"/>
        </w:rPr>
        <w:footnoteReference w:id="10"/>
      </w:r>
      <w:r w:rsidRPr="00B46A2D">
        <w:t>, särskilt artikel 105,</w:t>
      </w:r>
    </w:p>
    <w:p w14:paraId="2749E069" w14:textId="77777777" w:rsidR="00435E35" w:rsidRPr="00B46A2D" w:rsidRDefault="00435E35" w:rsidP="00435E35">
      <w:pPr>
        <w:pStyle w:val="NormalHanging12a"/>
        <w:widowControl/>
      </w:pPr>
      <w:r w:rsidRPr="00B46A2D">
        <w:t>–</w:t>
      </w:r>
      <w:r w:rsidRPr="00B46A2D">
        <w:tab/>
        <w:t>med beaktande av artikel 100 och bilaga V i arbetsordningen,</w:t>
      </w:r>
    </w:p>
    <w:p w14:paraId="5832F143" w14:textId="77777777" w:rsidR="00435E35" w:rsidRPr="00B46A2D" w:rsidRDefault="00435E35" w:rsidP="00435E35">
      <w:pPr>
        <w:pStyle w:val="NormalHanging12a"/>
        <w:widowControl/>
      </w:pPr>
      <w:r w:rsidRPr="00B46A2D">
        <w:t>–</w:t>
      </w:r>
      <w:r w:rsidRPr="00B46A2D">
        <w:tab/>
        <w:t>med beaktande av yttrandet från utskottet för medborgerliga fri- och rättigheter samt rättsliga och inrikes frågor,</w:t>
      </w:r>
    </w:p>
    <w:p w14:paraId="355E7E5E" w14:textId="77777777" w:rsidR="00435E35" w:rsidRPr="00B46A2D" w:rsidRDefault="00435E35" w:rsidP="00435E35">
      <w:pPr>
        <w:pStyle w:val="NormalHanging12a"/>
        <w:widowControl/>
      </w:pPr>
      <w:r w:rsidRPr="00B46A2D">
        <w:t>–</w:t>
      </w:r>
      <w:r w:rsidRPr="00B46A2D">
        <w:tab/>
        <w:t>med beaktande av betänkandet från budgetkontrollutskottet (A9-0098/2024).</w:t>
      </w:r>
    </w:p>
    <w:p w14:paraId="0522ACA0" w14:textId="77777777" w:rsidR="00435E35" w:rsidRPr="00B46A2D" w:rsidRDefault="00435E35" w:rsidP="00435E35">
      <w:pPr>
        <w:pStyle w:val="NormalHanging12a"/>
        <w:widowControl/>
      </w:pPr>
      <w:r w:rsidRPr="00B46A2D">
        <w:lastRenderedPageBreak/>
        <w:t>1.</w:t>
      </w:r>
      <w:r w:rsidRPr="00B46A2D">
        <w:tab/>
        <w:t>Europaparlamentet godkänner avslutandet av räkenskaperna för Europeiska unionens byrå för utbildning av tjänstemän inom brottsbekämpning (Cepol) för budgetåret 2022.</w:t>
      </w:r>
    </w:p>
    <w:p w14:paraId="1E452CC0" w14:textId="77777777" w:rsidR="00435E35" w:rsidRPr="00B46A2D" w:rsidRDefault="00435E35" w:rsidP="00435E35">
      <w:pPr>
        <w:pStyle w:val="NormalHanging12a"/>
        <w:widowControl/>
      </w:pPr>
      <w:r w:rsidRPr="00B46A2D">
        <w:t>2.</w:t>
      </w:r>
      <w:r w:rsidRPr="00B46A2D">
        <w:tab/>
        <w:t xml:space="preserve">Europaparlamentet uppdrar åt talmannen att översända detta beslut till verkställande direktören för Europeiska unionens byrå för utbildning av tjänstemän inom brottsbekämpning (Cepol), rådet, kommissionen och revisionsrätten, och att se till att de offentliggörs i </w:t>
      </w:r>
      <w:r w:rsidRPr="00B46A2D">
        <w:rPr>
          <w:i/>
          <w:iCs/>
        </w:rPr>
        <w:t>Europeiska unionens officiella tidning</w:t>
      </w:r>
      <w:r w:rsidRPr="00B46A2D">
        <w:t xml:space="preserve"> (L-serien).</w:t>
      </w:r>
    </w:p>
    <w:p w14:paraId="5ED2852F" w14:textId="77777777" w:rsidR="00435E35" w:rsidRPr="00B46A2D" w:rsidRDefault="00435E35" w:rsidP="00435E35">
      <w:pPr>
        <w:widowControl/>
      </w:pPr>
    </w:p>
    <w:p w14:paraId="4D4C4832" w14:textId="77777777" w:rsidR="00435E35" w:rsidRPr="00B46A2D" w:rsidRDefault="00435E35" w:rsidP="00435E35">
      <w:pPr>
        <w:widowControl/>
        <w:rPr>
          <w:rFonts w:ascii="Arial" w:hAnsi="Arial" w:cs="Arial"/>
          <w:b/>
        </w:rPr>
        <w:sectPr w:rsidR="00435E35" w:rsidRPr="00B46A2D" w:rsidSect="00BF0508">
          <w:footnotePr>
            <w:numRestart w:val="eachPage"/>
          </w:footnotePr>
          <w:endnotePr>
            <w:numFmt w:val="decimal"/>
          </w:endnotePr>
          <w:pgSz w:w="11906" w:h="16838"/>
          <w:pgMar w:top="1134" w:right="1418" w:bottom="1418" w:left="1418" w:header="567" w:footer="567" w:gutter="0"/>
          <w:cols w:space="720"/>
          <w:docGrid w:linePitch="326"/>
        </w:sectPr>
      </w:pPr>
    </w:p>
    <w:p w14:paraId="027A8421" w14:textId="25EF5048" w:rsidR="00435E35" w:rsidRPr="00B46A2D" w:rsidRDefault="00E12166" w:rsidP="00E12166">
      <w:pPr>
        <w:pStyle w:val="ATHeading3"/>
      </w:pPr>
      <w:r w:rsidRPr="00B46A2D">
        <w:lastRenderedPageBreak/>
        <w:t xml:space="preserve">3. Europaparlamentets resolution av den </w:t>
      </w:r>
      <w:r w:rsidR="00E3046F" w:rsidRPr="00B46A2D">
        <w:t xml:space="preserve">11 april </w:t>
      </w:r>
      <w:r w:rsidRPr="00B46A2D">
        <w:t xml:space="preserve">2024 </w:t>
      </w:r>
      <w:r w:rsidR="00435E35" w:rsidRPr="00B46A2D">
        <w:t>med de iakttagelser som utgör en del av beslutet om ansvarsfrihet för genomförandet av budgeten för Europeiska unionens byrå för utbildning av tjänstemän inom brottsbekämpning (Cepol) för budgetåret 2022</w:t>
      </w:r>
      <w:r w:rsidRPr="00B46A2D">
        <w:t xml:space="preserve"> </w:t>
      </w:r>
      <w:r w:rsidR="00435E35" w:rsidRPr="00B46A2D">
        <w:t>(2023/2144(DEC))</w:t>
      </w:r>
    </w:p>
    <w:p w14:paraId="312B90EC" w14:textId="77777777" w:rsidR="00435E35" w:rsidRPr="00B46A2D" w:rsidRDefault="00435E35" w:rsidP="00435E35">
      <w:pPr>
        <w:pStyle w:val="EPComma"/>
        <w:widowControl/>
      </w:pPr>
      <w:r w:rsidRPr="00B46A2D">
        <w:rPr>
          <w:i/>
          <w:iCs/>
        </w:rPr>
        <w:t>Europaparlamentet utfärdar denna resolution</w:t>
      </w:r>
    </w:p>
    <w:p w14:paraId="6F638AA5" w14:textId="77777777" w:rsidR="00435E35" w:rsidRPr="00B46A2D" w:rsidRDefault="00435E35" w:rsidP="00435E35">
      <w:pPr>
        <w:pStyle w:val="NormalHanging12a"/>
        <w:widowControl/>
      </w:pPr>
      <w:r w:rsidRPr="00B46A2D">
        <w:t>–</w:t>
      </w:r>
      <w:r w:rsidRPr="00B46A2D">
        <w:tab/>
        <w:t>med beaktande av sitt beslut om ansvarsfrihet för genomförandet av budgeten för Europeiska unionens byrå för utbildning av tjänstemän inom brottsbekämpning (Cepol) för budgetåret 2022,</w:t>
      </w:r>
    </w:p>
    <w:p w14:paraId="58CAD5C6" w14:textId="77777777" w:rsidR="00435E35" w:rsidRPr="00B46A2D" w:rsidRDefault="00435E35" w:rsidP="00435E35">
      <w:pPr>
        <w:pStyle w:val="NormalHanging12a"/>
        <w:widowControl/>
      </w:pPr>
      <w:r w:rsidRPr="00B46A2D">
        <w:t>–</w:t>
      </w:r>
      <w:r w:rsidRPr="00B46A2D">
        <w:tab/>
        <w:t>med beaktande av artikel 100 och bilaga V i arbetsordningen,</w:t>
      </w:r>
    </w:p>
    <w:p w14:paraId="7877F441" w14:textId="77777777" w:rsidR="00435E35" w:rsidRPr="00B46A2D" w:rsidRDefault="00435E35" w:rsidP="00435E35">
      <w:pPr>
        <w:pStyle w:val="NormalHanging12a"/>
        <w:widowControl/>
      </w:pPr>
      <w:r w:rsidRPr="00B46A2D">
        <w:t>–</w:t>
      </w:r>
      <w:r w:rsidRPr="00B46A2D">
        <w:tab/>
        <w:t>med beaktande av yttrandet från utskottet för medborgerliga fri- och rättigheter samt rättsliga och inrikes frågor,</w:t>
      </w:r>
    </w:p>
    <w:p w14:paraId="2CE24DF6" w14:textId="77777777" w:rsidR="00435E35" w:rsidRPr="00B46A2D" w:rsidRDefault="00435E35" w:rsidP="00435E35">
      <w:pPr>
        <w:pStyle w:val="NormalHanging12a"/>
        <w:widowControl/>
      </w:pPr>
      <w:r w:rsidRPr="00B46A2D">
        <w:t>–</w:t>
      </w:r>
      <w:r w:rsidRPr="00B46A2D">
        <w:tab/>
        <w:t>med beaktande av betänkandet från budgetkontrollutskottet (A9-0098/2024), och av följande skäl:</w:t>
      </w:r>
    </w:p>
    <w:p w14:paraId="00D5A306" w14:textId="77777777" w:rsidR="00435E35" w:rsidRPr="00B46A2D" w:rsidRDefault="00435E35" w:rsidP="00435E35">
      <w:pPr>
        <w:pStyle w:val="ListParagraph"/>
        <w:spacing w:after="240"/>
        <w:ind w:left="567" w:hanging="567"/>
        <w:contextualSpacing w:val="0"/>
        <w:jc w:val="left"/>
        <w:rPr>
          <w:rFonts w:eastAsia="Times New Roman"/>
        </w:rPr>
      </w:pPr>
      <w:r w:rsidRPr="00B46A2D">
        <w:t>A.</w:t>
      </w:r>
      <w:r w:rsidRPr="00B46A2D">
        <w:tab/>
        <w:t>Enligt sammanställningen över inkomster och utgifter</w:t>
      </w:r>
      <w:r w:rsidRPr="00B46A2D">
        <w:rPr>
          <w:rStyle w:val="FootnoteReference"/>
          <w:rFonts w:eastAsia="Times New Roman"/>
          <w:lang w:eastAsia="en-GB"/>
        </w:rPr>
        <w:footnoteReference w:id="11"/>
      </w:r>
      <w:r w:rsidRPr="00B46A2D">
        <w:t xml:space="preserve"> för Europeiska unionens byrå för utbildning av tjänstemän inom brottsbekämpning, Cepol, (</w:t>
      </w:r>
      <w:r w:rsidRPr="00B46A2D">
        <w:rPr>
          <w:i/>
          <w:iCs/>
        </w:rPr>
        <w:t>byrån</w:t>
      </w:r>
      <w:r w:rsidRPr="00B46A2D">
        <w:t>) uppgick den slutliga budgeten för budgetåret 2022 till 28 295 362 EUR, vilket är en minskning med 5,82 % jämfört med 2021. Byrån finansieras genom ett bidrag från unionen och externa inkomster avsatta för specifika projekt.</w:t>
      </w:r>
    </w:p>
    <w:p w14:paraId="1EDBC9B0" w14:textId="77777777" w:rsidR="00435E35" w:rsidRPr="00B46A2D" w:rsidRDefault="00435E35" w:rsidP="00435E35">
      <w:pPr>
        <w:widowControl/>
        <w:spacing w:after="240"/>
        <w:ind w:left="567" w:hanging="567"/>
        <w:rPr>
          <w:szCs w:val="24"/>
        </w:rPr>
      </w:pPr>
      <w:r w:rsidRPr="00B46A2D">
        <w:t>B.</w:t>
      </w:r>
      <w:r w:rsidRPr="00B46A2D">
        <w:tab/>
        <w:t>Revisionsrätten fastställer i sin rapport om årsredovisningen för byrån för budgetåret 2022 att man har uppnått en rimlig säkerhet om att byråns räkenskaper är tillförlitliga och att de underliggande transaktionerna vad gäller inkomster i alla väsentliga avseenden är lagliga och korrekta. Revisionsrätten konstaterade oriktiga betalningar på totalt 4,2 miljoner EUR, varav 4,1 miljoner EUR i samband med 359 betalningar som gjordes inom ramen för två ramavtal som genomförts genom begäranden om tjänster som skickats av anställda som inte hade befogenhet att ingå rättsliga åtaganden på byråns vägnar, och 152 655 EUR som betalningar som gjordes 2022 inom ramen för ett ramavtal där en del av de utbetalade beloppen inte kunde stämmas av mot de tjänster som tillhandahölls, vilket motsvarade totalt 13,5 % av de betalningsbemyndiganden som fanns tillgängliga 2022, vilket därmed överskred den väsentlighetsgräns som fastställts för revisionen och resulterade i ett uttalande med reservation om lagligheten och korrektheten i de betalningar som ligger till grund för räkenskaperna. Med undantag för de betalningar som inte uppfyller kraven drar revisionsrätten slutsatsen att de underliggande transaktionerna när det gäller betalningar för det budgetår som slutade den 31 december 2022 i alla väsentliga avseenden är lagliga och korrekta.</w:t>
      </w:r>
    </w:p>
    <w:p w14:paraId="70D53ABB" w14:textId="77777777" w:rsidR="00435E35" w:rsidRPr="00B46A2D" w:rsidRDefault="00435E35" w:rsidP="00435E35">
      <w:pPr>
        <w:widowControl/>
        <w:spacing w:after="240"/>
        <w:ind w:left="567" w:hanging="567"/>
        <w:rPr>
          <w:b/>
          <w:i/>
          <w:szCs w:val="24"/>
        </w:rPr>
      </w:pPr>
      <w:r w:rsidRPr="00B46A2D">
        <w:rPr>
          <w:b/>
          <w:i/>
        </w:rPr>
        <w:t>Budgetförvaltning och ekonomisk förvaltning</w:t>
      </w:r>
    </w:p>
    <w:p w14:paraId="3F3AFC73" w14:textId="77777777" w:rsidR="00435E35" w:rsidRPr="00B46A2D" w:rsidRDefault="00435E35" w:rsidP="00435E35">
      <w:pPr>
        <w:widowControl/>
        <w:spacing w:after="240"/>
        <w:ind w:left="567" w:hanging="567"/>
        <w:rPr>
          <w:szCs w:val="24"/>
        </w:rPr>
      </w:pPr>
      <w:r w:rsidRPr="00B46A2D">
        <w:t>1.</w:t>
      </w:r>
      <w:r w:rsidRPr="00B46A2D">
        <w:rPr>
          <w:color w:val="FFFFFF" w:themeColor="background1"/>
        </w:rPr>
        <w:tab/>
      </w:r>
      <w:r w:rsidRPr="00B46A2D">
        <w:t xml:space="preserve">Europaparlamentet noterar med uppskattning att insatserna för uppföljning av budgeten under budgetåret 2022 resulterade i ett budgetgenomförande på 100 %, vilket är en ökning med 3,21 % jämfört med 2021. Parlamentet noterar att genomförandegraden för </w:t>
      </w:r>
      <w:r w:rsidRPr="00B46A2D">
        <w:lastRenderedPageBreak/>
        <w:t>betalningsbemyndiganden var 84,66 %, vilket innebär en ökning med 12,93 % jämfört med 2021. Parlamentet noterar vidare att 1,6 miljoner EUR, vilket motsvarar 15 % av åtagandena 2022, överfördes till 2023. Parlamentet noterar att budgetgenomförandegraden för unionens medel för externt bistånd avsedda att hjälpa tredjeländer att bygga upp sin kapacitet på relevanta politikområden för brottsbekämpning uppgick till 48,5 % i slutet av 2022.</w:t>
      </w:r>
    </w:p>
    <w:p w14:paraId="54F3A836" w14:textId="77777777" w:rsidR="00435E35" w:rsidRPr="00B46A2D" w:rsidRDefault="00435E35" w:rsidP="00435E35">
      <w:pPr>
        <w:widowControl/>
        <w:spacing w:after="240"/>
        <w:ind w:left="567" w:hanging="567"/>
        <w:rPr>
          <w:b/>
          <w:i/>
          <w:szCs w:val="24"/>
        </w:rPr>
      </w:pPr>
      <w:r w:rsidRPr="00B46A2D">
        <w:rPr>
          <w:b/>
          <w:i/>
        </w:rPr>
        <w:t>Verksamhetsresultat</w:t>
      </w:r>
    </w:p>
    <w:p w14:paraId="2288F0B1" w14:textId="77777777" w:rsidR="00435E35" w:rsidRPr="00B46A2D" w:rsidRDefault="00435E35" w:rsidP="00435E35">
      <w:pPr>
        <w:widowControl/>
        <w:spacing w:after="240"/>
        <w:ind w:left="567" w:hanging="567"/>
        <w:rPr>
          <w:szCs w:val="24"/>
        </w:rPr>
      </w:pPr>
      <w:r w:rsidRPr="00B46A2D">
        <w:t>2.</w:t>
      </w:r>
      <w:r w:rsidRPr="00B46A2D">
        <w:tab/>
        <w:t>Europaparlamentet lovordar byrån för genomförandegraden för arbetsprogrammet 2022 på 100 %, baserat på att 418 utbildningsaktiviteter genomfördes, att jämföra med de 417 planerade. Parlamentet noterar att byrån 2022 fortsatte att tillhandahålla utbildning till brottsbekämpande myndigheter genom att i största möjliga utsträckning återgå till onlinemiljön. Parlamentet noterar med uppskattning att kundnöjdheten förblev hög 2022, då 97 % av deltagarna i byråns utbildningsaktiviteter har förklarat sig vara nöjda eller mycket nöjda.</w:t>
      </w:r>
    </w:p>
    <w:p w14:paraId="7A867E4E" w14:textId="77777777" w:rsidR="00435E35" w:rsidRPr="00B46A2D" w:rsidRDefault="00435E35" w:rsidP="00435E35">
      <w:pPr>
        <w:widowControl/>
        <w:spacing w:after="240"/>
        <w:ind w:left="567" w:hanging="567"/>
        <w:rPr>
          <w:szCs w:val="24"/>
        </w:rPr>
      </w:pPr>
      <w:r w:rsidRPr="00B46A2D">
        <w:t>3.</w:t>
      </w:r>
      <w:r w:rsidRPr="00B46A2D">
        <w:tab/>
        <w:t>Europaparlamentet konstaterar med tillfredsställelse att byrån använder vissa mått som centrala resultatindikatorer för att bedöma det mervärde som dess verksamhet och andra åtgärder för att förbättra budgetförvaltningen ger. Parlamentet noterar att nästan alla centrala resultatindikatorer uppnåddes 2022, och att endast en fortfarande inte uppnåtts, med en tidsfrist i slutet av 2023, nämligen den centrala resultatindikator som avser andelen avslutade revisionsrekommendationer i enlighet med den överenskomna handlingsplanen.</w:t>
      </w:r>
    </w:p>
    <w:p w14:paraId="14A86588" w14:textId="77777777" w:rsidR="00435E35" w:rsidRPr="00B46A2D" w:rsidRDefault="00435E35" w:rsidP="00435E35">
      <w:pPr>
        <w:widowControl/>
        <w:spacing w:after="240"/>
        <w:ind w:left="567" w:hanging="567"/>
        <w:rPr>
          <w:szCs w:val="24"/>
        </w:rPr>
      </w:pPr>
      <w:r w:rsidRPr="00B46A2D">
        <w:t>4.</w:t>
      </w:r>
      <w:r w:rsidRPr="00B46A2D">
        <w:tab/>
        <w:t>Europaparlamentet noterar med uppskattning att 43 838 personer deltog i byråns utbildningar 2022, vilket är en betydande framgång jämfört med de 27 800 planerade deltagarna. Parlamentet lovordar byrån för att ha offentliggjort den andra bedömningen av de strategiska behoven av utbildning i EU, där man identifierar strategiska behov och utbildningsbehov för tjänstemän inom brottsbekämpning inför nästa cykel för Europeiska sektorsövergripande plattformen mot brottshot 2022–2025 och inleder dess genomförande. Parlamentet noterar vidare att byråns nyutnämnda verkställande direktör 2022 inledde utarbetandet av en ny strategi som fastställer byråns inriktning för perioden 2023–2027. Parlamentet uppskattar vidare det strategidokument från expertgruppen för grundläggande rättigheter som syftar till att inkludera aspekterna rörande grundläggande rättigheter i all utbildningsverksamhet. Parlamentet noterar med tillfredsställelse att en ad hoc-utbildning om skydd för undersökande journalister anordnades 2022. Parlamentet välkomnar de särskilda utbildningsåtgärderna om hatbrott och spridningen av kunskap om effektiva lösningar för stöd till brottsoffer.</w:t>
      </w:r>
    </w:p>
    <w:p w14:paraId="1B4BDB2A" w14:textId="77777777" w:rsidR="00435E35" w:rsidRPr="00B46A2D" w:rsidRDefault="00435E35" w:rsidP="00435E35">
      <w:pPr>
        <w:pStyle w:val="NormalHanging12a"/>
        <w:widowControl/>
      </w:pPr>
      <w:r w:rsidRPr="00B46A2D">
        <w:t>5.</w:t>
      </w:r>
      <w:r w:rsidRPr="00B46A2D">
        <w:tab/>
        <w:t>Europaparlamentet lovordar byrån för att den reagerade så snabbt på det oberättigade kriget i Ukraina och tillhandahöll en skräddarsydd kurs i underrättelseinhämtning genom öppna källor för Ukrainas allmänna åklagarmyndighet, i samarbete med Europarådet.</w:t>
      </w:r>
    </w:p>
    <w:p w14:paraId="48239C0B" w14:textId="77777777" w:rsidR="00435E35" w:rsidRPr="00B46A2D" w:rsidRDefault="00435E35" w:rsidP="00435E35">
      <w:pPr>
        <w:widowControl/>
        <w:spacing w:after="240"/>
        <w:ind w:left="567" w:hanging="567"/>
        <w:rPr>
          <w:szCs w:val="24"/>
        </w:rPr>
      </w:pPr>
      <w:r w:rsidRPr="00B46A2D">
        <w:t>6.</w:t>
      </w:r>
      <w:r w:rsidRPr="00B46A2D">
        <w:tab/>
        <w:t xml:space="preserve">Europaparlamentet noterar från byråns konsoliderade årliga verksamhetsrapport för 2022 att den exponentiella ökningen av utbildningar som erbjudits under de senaste åren (från 18 000 under 2016 till nästan 44 000 under 2022) återspeglar en växande efterfrågan på utbildningsverksamhet som byrån behöver tillhandahålla. Parlamentet noterar i detta sammanhang att denna efterfrågan 2022, på grund av otillräckliga resurser, endast kunde följas upp med en ökning av komponenten nätbaserat lärande, </w:t>
      </w:r>
      <w:r w:rsidRPr="00B46A2D">
        <w:lastRenderedPageBreak/>
        <w:t>vilket inte helt tillgodoser parternas behov. Parlamentet stöder byråns mål att fortsätta att tillhandahålla tvärvetenskaplig verksamhet som lockar både poliser och tull- och gränstjänstemän att delta.</w:t>
      </w:r>
    </w:p>
    <w:p w14:paraId="19263E45" w14:textId="77777777" w:rsidR="00435E35" w:rsidRPr="00B46A2D" w:rsidRDefault="00435E35" w:rsidP="00435E35">
      <w:pPr>
        <w:widowControl/>
        <w:spacing w:after="240"/>
        <w:ind w:left="567" w:hanging="567"/>
        <w:rPr>
          <w:szCs w:val="24"/>
        </w:rPr>
      </w:pPr>
      <w:r w:rsidRPr="00B46A2D">
        <w:t>7.</w:t>
      </w:r>
      <w:r w:rsidRPr="00B46A2D">
        <w:tab/>
        <w:t>Europaparlamentet noterar att byrån 2022 fortsatte att framgångsrikt genomföra fyra kapacitetsuppbyggnadsprojekt i tredjeländer, vilket direkt bidrog till att stärka unionens inre säkerhet, liksom utbildningsverksamhet inom ramen för Cepols kunskapscentrum för terrorismbekämpning och Cepols kunskapscentrum för samarbete, informationsutbyte och interoperabilitet inom brottsbekämpning. Parlamentet välkomnar det framgångsrika genomförandet av Cepols forskningskonferens i samarbete med Mykolas Romeris-universitetet i Vilnius, Litauen, som stärkte samarbetet mellan brottsbekämpande myndigheter och forskningssektorer, med nästan 200 deltagare.</w:t>
      </w:r>
    </w:p>
    <w:p w14:paraId="6B2FA299" w14:textId="77777777" w:rsidR="00435E35" w:rsidRPr="00B46A2D" w:rsidRDefault="00435E35" w:rsidP="00435E35">
      <w:pPr>
        <w:pStyle w:val="NormalHanging12a"/>
        <w:widowControl/>
      </w:pPr>
      <w:r w:rsidRPr="00B46A2D">
        <w:t>8.</w:t>
      </w:r>
      <w:r w:rsidRPr="00B46A2D">
        <w:tab/>
        <w:t>Europaparlamentet påminner om att utbildning inom brottsbekämpning på EU-nivå måste återspegla EU:s prioriteringar i linje med medlemsstaternas utbildningsbehov och stödja EU:s insatser mot grov och organiserad brottslighet och andra hot mot den inre säkerheten, och att skyddet av de grundläggande rättigheterna bör vara en central pelare i byråns utbildningsverksamhet. Parlamentet noterar utbildningsverksamheten på området terrorismbekämpning, bland annat om terrorismfinansiering, terrorism och skjutvapen, utländska terroriststridande samt verksamhet riktad mot extremism och radikalisering. Parlamentet efterlyser mer utbildning om it-brottslighet, digital kriminalteknik, artificiell intelligens, dataskydd, grundläggande rättigheter och antirasism på EU-nivå. Parlamentet uppmanar byrån att i all sin verksamhet, i synnerhet den som genomförs med tredjeländer, säkerställa full transparens och full respekt för de grundläggande rättigheterna och den internationella rätten.</w:t>
      </w:r>
    </w:p>
    <w:p w14:paraId="1D7DB701" w14:textId="77777777" w:rsidR="00435E35" w:rsidRPr="00B46A2D" w:rsidRDefault="00435E35" w:rsidP="00435E35">
      <w:pPr>
        <w:widowControl/>
        <w:spacing w:after="240"/>
        <w:ind w:left="567" w:hanging="567"/>
        <w:rPr>
          <w:szCs w:val="24"/>
        </w:rPr>
      </w:pPr>
      <w:r w:rsidRPr="00B46A2D">
        <w:t>9.</w:t>
      </w:r>
      <w:r w:rsidRPr="00B46A2D">
        <w:tab/>
        <w:t>Europaparlamentet noterar att byrån framgångsrikt behöll sin certifiering i enlighet med kvalitetsstyrningssystemet ISO 9001:2015 och förberedde sig för att ytterligare utöka användningen av standarden ISO 29993:2017 för utbildningstjänster, vilket fortsätter att visa att byrån säkerställer att kvalitetssystemet fungerar effektivt.</w:t>
      </w:r>
    </w:p>
    <w:p w14:paraId="7AE258BB" w14:textId="77777777" w:rsidR="00435E35" w:rsidRPr="00B46A2D" w:rsidRDefault="00435E35" w:rsidP="00435E35">
      <w:pPr>
        <w:widowControl/>
        <w:spacing w:after="240"/>
        <w:ind w:left="567" w:hanging="567"/>
        <w:rPr>
          <w:b/>
          <w:i/>
          <w:szCs w:val="24"/>
        </w:rPr>
      </w:pPr>
      <w:r w:rsidRPr="00B46A2D">
        <w:rPr>
          <w:b/>
          <w:i/>
        </w:rPr>
        <w:t>Effektivitet och vinster</w:t>
      </w:r>
    </w:p>
    <w:p w14:paraId="5873070D" w14:textId="77777777" w:rsidR="00435E35" w:rsidRPr="00B46A2D" w:rsidRDefault="00435E35" w:rsidP="00435E35">
      <w:pPr>
        <w:widowControl/>
        <w:spacing w:after="240"/>
        <w:ind w:left="567" w:hanging="567"/>
        <w:rPr>
          <w:szCs w:val="24"/>
        </w:rPr>
      </w:pPr>
      <w:r w:rsidRPr="00B46A2D">
        <w:t>10.</w:t>
      </w:r>
      <w:r w:rsidRPr="00B46A2D">
        <w:tab/>
        <w:t>Europaparlamentet noterar att byrån fortsätter att ha ett nära samarbete med nätverket för byråerna för rättsliga och inrikes frågor och de byråer som ingår i det, i synnerhet Europeiska unionens byrå för samarbete inom brottsbekämpning (Europol) och Europeiska gräns- och kustbevakningsbyrån, genom att dela med sig av utbildningsverksamhet och anordna kurser tillsammans. Parlamentet noterar i detta sammanhang att byrån var ordförande för nätverket för byråer för rättsliga och inrikes frågor 2022. Parlamentet noterar vidare att byrån sedan 2023 har ett avtal med Europeiska centrumet för kontroll av narkotika och narkotikamissbruk (ECNN) för att erbjuda plats på byråns utbildningsplattform LEEd, så att ECNN utan kostnad får tillgång till en modern utbildningsplattform. Parlamentet uppmanar byrån att fortsätta sitt samarbete med andra byråer så att alla tillgängliga resurser kan användas.</w:t>
      </w:r>
    </w:p>
    <w:p w14:paraId="4FE26725" w14:textId="77777777" w:rsidR="00435E35" w:rsidRPr="00B46A2D" w:rsidRDefault="00435E35" w:rsidP="00435E35">
      <w:pPr>
        <w:widowControl/>
        <w:spacing w:after="240"/>
        <w:ind w:left="567" w:hanging="567"/>
        <w:rPr>
          <w:szCs w:val="24"/>
        </w:rPr>
      </w:pPr>
      <w:r w:rsidRPr="00B46A2D">
        <w:t>11.</w:t>
      </w:r>
      <w:r w:rsidRPr="00B46A2D">
        <w:tab/>
        <w:t>Europaparlamentet lovordar byrån för att ha uppnått en relativt hög digitaliseringsnivå genom att många av dess processer har gjorts papperslösa eller elektroniska, till exempel e-upphandlingssystem för öppna förfaranden och e-upphandling, e-rekrytering, e-personaladministration (Sysper), e-fakturering och elektronisk resebokning, ofta i nära samarbete med kommissionens generaldirektoratet för digitala tjänster.</w:t>
      </w:r>
    </w:p>
    <w:p w14:paraId="3B9BE616" w14:textId="77777777" w:rsidR="00435E35" w:rsidRPr="00B46A2D" w:rsidRDefault="00435E35" w:rsidP="00435E35">
      <w:pPr>
        <w:widowControl/>
        <w:spacing w:after="240"/>
        <w:ind w:left="567" w:hanging="567"/>
        <w:rPr>
          <w:szCs w:val="24"/>
        </w:rPr>
      </w:pPr>
      <w:r w:rsidRPr="00B46A2D">
        <w:lastRenderedPageBreak/>
        <w:t>12.</w:t>
      </w:r>
      <w:r w:rsidRPr="00B46A2D">
        <w:tab/>
        <w:t>Europaparlamentet noterar att byrån har interna regler enligt vilka personal (och deltagare i utbildningsverksamhet) för korta distanser ska använda alternativ till flygresor, såsom tåg eller buss. Parlamentet noterar med uppskattning att byrån sedan 2022 erbjuder sin personal ersättning för kostnader för att använda kollektivtrafik. Parlamentet noterar vidare att många expertgruppsmöten som tidigare hållits på plats nu äger rum online. Parlamentet beklagar att byrån inte har något system för att på ett objektivt och detaljerat sätt övervaka utvecklingen från ett år till ett annat när det gäller vinster och besparingar, och uppmanar byrån att inrätta ett sådant system.</w:t>
      </w:r>
    </w:p>
    <w:p w14:paraId="66D6A631" w14:textId="77777777" w:rsidR="00435E35" w:rsidRPr="00B46A2D" w:rsidRDefault="00435E35" w:rsidP="00435E35">
      <w:pPr>
        <w:widowControl/>
        <w:spacing w:after="240"/>
        <w:ind w:left="567" w:hanging="567"/>
        <w:rPr>
          <w:szCs w:val="24"/>
        </w:rPr>
      </w:pPr>
      <w:r w:rsidRPr="00B46A2D">
        <w:t>13.</w:t>
      </w:r>
      <w:r w:rsidRPr="00B46A2D">
        <w:tab/>
        <w:t>Europaparlamentet noterar utifrån revisionsrättens rapport att byrån inte har någon verksamhetsplan för att förbättra energieffektiviteten och klimatneutraliteten i sin verksamhet. Parlamentet beklagar att byrån ännu inte har inlett certifieringsprocessen för miljölednings- och miljörevisionsordningen (Emas). Parlamentet noterar dock att byrån i kraven för sitt nya huvudkontor angett att den kommer att övergå till Emas-certifiering inom en snar framtid. Parlamentet noterar i samma sammanhang att byrån följer kommissionens vägledning, där tilldelningskriterier som rör miljöhänsyn också ingår i de flesta upphandlingsförfaranden. Parlamentet uppmanar byrån att följa andra byråers exempel på miljöanpassad upphandling.</w:t>
      </w:r>
    </w:p>
    <w:p w14:paraId="53B29B96" w14:textId="77777777" w:rsidR="00435E35" w:rsidRPr="00B46A2D" w:rsidRDefault="00435E35" w:rsidP="00435E35">
      <w:pPr>
        <w:widowControl/>
        <w:spacing w:after="240"/>
        <w:ind w:left="567" w:hanging="567"/>
        <w:rPr>
          <w:b/>
          <w:i/>
          <w:szCs w:val="24"/>
        </w:rPr>
      </w:pPr>
      <w:r w:rsidRPr="00B46A2D">
        <w:rPr>
          <w:b/>
          <w:i/>
        </w:rPr>
        <w:t>Personalpolitik</w:t>
      </w:r>
    </w:p>
    <w:p w14:paraId="0607B804" w14:textId="77777777" w:rsidR="00435E35" w:rsidRPr="00B46A2D" w:rsidRDefault="00435E35" w:rsidP="00435E35">
      <w:pPr>
        <w:widowControl/>
        <w:spacing w:after="240"/>
        <w:ind w:left="567" w:hanging="567"/>
        <w:rPr>
          <w:szCs w:val="24"/>
        </w:rPr>
      </w:pPr>
      <w:r w:rsidRPr="00B46A2D">
        <w:t>14.</w:t>
      </w:r>
      <w:r w:rsidRPr="00B46A2D">
        <w:tab/>
        <w:t>Europaparlamentet noterar att 79 % av tjänsterna i tjänsteförteckningen var tillsatta den 31 december 2022, och att 26 av de 33 tjänster för tillfälligt anställda som får tillsättas enligt unionsbudgeten hade tillsatts (samma antal tillåtna tjänster som 2021). Parlamentet noterar dessutom att 59 kontraktsanställda (varav 20 var för reguljär verksamhet och 39 för externt finansierade kapacitetsuppbyggnadsprojekt) och sex utstationerade nationella experter arbetade för byrån 2022. Parlamentet noterar dessutom att den 31 december 2022 anställdes 24 tillfälligt anställda för uppgifter med anknytning till kärnverksamheten, såsom e-lärande, informations- och kommunikationsteknik, rättsligt stöd och ledningsstöd.</w:t>
      </w:r>
    </w:p>
    <w:p w14:paraId="712B21DB" w14:textId="77777777" w:rsidR="00435E35" w:rsidRPr="00B46A2D" w:rsidRDefault="00435E35" w:rsidP="00435E35">
      <w:pPr>
        <w:widowControl/>
        <w:tabs>
          <w:tab w:val="left" w:pos="720"/>
          <w:tab w:val="left" w:pos="1665"/>
        </w:tabs>
        <w:spacing w:after="240"/>
        <w:ind w:left="567" w:hanging="567"/>
        <w:rPr>
          <w:szCs w:val="24"/>
        </w:rPr>
      </w:pPr>
      <w:r w:rsidRPr="00B46A2D">
        <w:t>15.</w:t>
      </w:r>
      <w:r w:rsidRPr="00B46A2D">
        <w:tab/>
        <w:t>Europaparlamentet noterar att personalfluktuationerna fortsatte att vara relativt höga under 2022 och hade en betydande inverkan på byrån. 2022 sade fyra anställda upp sig på grund av nya arbetstillfällen inom och utanför byrån, tre anställda gick i pension och den 31 december 2022 hade fyra anställda tjänstledighet utan lön.</w:t>
      </w:r>
    </w:p>
    <w:p w14:paraId="1EBEB570" w14:textId="77777777" w:rsidR="00435E35" w:rsidRPr="00B46A2D" w:rsidRDefault="00435E35" w:rsidP="00435E35">
      <w:pPr>
        <w:widowControl/>
        <w:tabs>
          <w:tab w:val="left" w:pos="720"/>
          <w:tab w:val="left" w:pos="1665"/>
        </w:tabs>
        <w:spacing w:after="240"/>
        <w:ind w:left="567" w:hanging="567"/>
        <w:rPr>
          <w:szCs w:val="24"/>
        </w:rPr>
      </w:pPr>
      <w:r w:rsidRPr="00B46A2D">
        <w:t>16.</w:t>
      </w:r>
      <w:r w:rsidRPr="00B46A2D">
        <w:tab/>
        <w:t xml:space="preserve">Europaparlamentet upprepar sitt stöd för ökningen av byråns personalstyrka i proportion till de uppgifter och ambitioner som fastställts genom byråns nuvarande mandat. Parlamentet noterar med tillfredsställelse utifrån byråns uppföljningsrapport </w:t>
      </w:r>
      <w:r w:rsidRPr="00B46A2D">
        <w:rPr>
          <w:i/>
          <w:iCs/>
        </w:rPr>
        <w:t>Cepols handlingsplan som svar på Europaparlamentets beslut om ansvarsfrihet för budgetåret 2021</w:t>
      </w:r>
      <w:r w:rsidRPr="00B46A2D">
        <w:t xml:space="preserve"> att byråns verkställande direktör, för att styrka framtida begäranden om resurser, har inrättat en arbetsgrupp för att systematiskt dokumentera och motivera behovet av ytterligare budget- och personalresurser inom ramen för den nya strategin för 2023–2027.</w:t>
      </w:r>
    </w:p>
    <w:p w14:paraId="15434C4D" w14:textId="77777777" w:rsidR="00435E35" w:rsidRPr="00B46A2D" w:rsidRDefault="00435E35" w:rsidP="00435E35">
      <w:pPr>
        <w:widowControl/>
        <w:spacing w:after="240"/>
        <w:ind w:left="567" w:hanging="567"/>
        <w:rPr>
          <w:szCs w:val="24"/>
        </w:rPr>
      </w:pPr>
      <w:r w:rsidRPr="00B46A2D">
        <w:t>17.</w:t>
      </w:r>
      <w:r w:rsidRPr="00B46A2D">
        <w:tab/>
        <w:t xml:space="preserve">Europaparlamentet noterar att personalomsättningen förblev hög under 2022, nämligen 11,8 %, med en betydande inverkan på organisationen. Parlamentet noterar utifrån byråns uppföljningsrapport att omsättningen ligger utanför byråns kontroll eftersom den främsta utlösande faktorn är den låga korrigeringskoefficienten för landet och den relativt låga lönegraden för centrala stödfunktioner i byrån. Parlamentet noterar att byrån 2022 fortsatte att genomföra åtgärder för att behålla personal och upprätthålla </w:t>
      </w:r>
      <w:r w:rsidRPr="00B46A2D">
        <w:lastRenderedPageBreak/>
        <w:t>driftskontinuiteten, med hjälp av ett antal tillfälligt anställda och utstationerade nationella experter för att ersätta personalfrånvaro, fram till dess att rekryteringen av ordinarie personal slutfördes med en fortsatt omklassificering av personal och funktioner och upprätthållande av sociala arrangemang (t.ex. skolgång för personalens barn), distansarbete och flextidsarrangemang. Parlamentet upprepar sin uppmaning till kommissionen att se över korrigeringskoefficienten så att den bättre återspeglar den ekonomiska verkligheten när man flyttar till och lever i byråns värdstad.</w:t>
      </w:r>
    </w:p>
    <w:p w14:paraId="51D2EBCE" w14:textId="77777777" w:rsidR="00435E35" w:rsidRPr="00B46A2D" w:rsidRDefault="00435E35" w:rsidP="00435E35">
      <w:pPr>
        <w:widowControl/>
        <w:spacing w:after="240"/>
        <w:ind w:left="567" w:hanging="567"/>
        <w:rPr>
          <w:szCs w:val="24"/>
        </w:rPr>
      </w:pPr>
      <w:r w:rsidRPr="00B46A2D">
        <w:t>18.</w:t>
      </w:r>
      <w:r w:rsidRPr="00B46A2D">
        <w:tab/>
        <w:t>Europaparlamentet noterar med uppskattning, när det gäller verktyget Sysper, att byrån har infört moduler såsom REPORTING, ETHICS och STAGE och arbetar med att införa andra Sysper-moduler (t.ex. EVAL/PROMO).</w:t>
      </w:r>
    </w:p>
    <w:p w14:paraId="23AD22C4" w14:textId="77777777" w:rsidR="00435E35" w:rsidRPr="00B46A2D" w:rsidRDefault="00435E35" w:rsidP="00435E35">
      <w:pPr>
        <w:pStyle w:val="ListParagraph"/>
        <w:spacing w:after="240"/>
        <w:ind w:left="567" w:hanging="567"/>
        <w:contextualSpacing w:val="0"/>
        <w:jc w:val="left"/>
      </w:pPr>
      <w:r w:rsidRPr="00B46A2D">
        <w:t>19.</w:t>
      </w:r>
      <w:r w:rsidRPr="00B46A2D">
        <w:tab/>
        <w:t>Europaparlamentet välkomnar byråns rapporterade könsuppdelning för 2022 med 3 män och 3 kvinnor i ledande befattningar (1 högre chef och 5 mellanchefer), med 15 män (56 %) och 12 kvinnor (44 %) i styrelsen, och en övergripande personal med 37 män (44 %) och 48 kvinnor (56 %). Parlamentet lovordar byrån för den könsbalans som uppnåddes 2022.</w:t>
      </w:r>
    </w:p>
    <w:p w14:paraId="441B8661" w14:textId="77777777" w:rsidR="00435E35" w:rsidRPr="00B46A2D" w:rsidRDefault="00435E35" w:rsidP="00435E35">
      <w:pPr>
        <w:pStyle w:val="NormalHanging12a"/>
        <w:widowControl/>
      </w:pPr>
      <w:r w:rsidRPr="00B46A2D">
        <w:t>20.</w:t>
      </w:r>
      <w:r w:rsidRPr="00B46A2D">
        <w:tab/>
        <w:t>Europaparlamentet noterar utifrån byråns konsoliderade årliga verksamhetsrapport för 2022 att 17 medlemsstater var representerade bland byråns personal 2022. Parlamentet konstaterar att 39 % av personalen är medborgare i den medlemsstat där byrån är belägen. Parlamentet påminner om vikten av geografisk balans och uppmanar byrån att vidta nödvändiga åtgärder för att få till stånd en balanserad och rättvis geografisk representation.</w:t>
      </w:r>
    </w:p>
    <w:p w14:paraId="6EFF1485" w14:textId="77777777" w:rsidR="00435E35" w:rsidRPr="00B46A2D" w:rsidRDefault="00435E35" w:rsidP="00435E35">
      <w:pPr>
        <w:pStyle w:val="ListParagraph"/>
        <w:spacing w:after="240"/>
        <w:ind w:left="567" w:hanging="567"/>
        <w:contextualSpacing w:val="0"/>
        <w:jc w:val="left"/>
      </w:pPr>
      <w:r w:rsidRPr="00B46A2D">
        <w:t>21.</w:t>
      </w:r>
      <w:r w:rsidRPr="00B46A2D">
        <w:tab/>
        <w:t>Europaparlamentet välkomnar att byrån 2022 antog ett nytt beslut grundat på principerna om målbaserad förvaltning och resultatinriktad förvaltning och en förtroendekultur. Parlamentet noterar att detta beslut medförde större flexibilitet för personalen, både när det gäller arbetstid och distansarbete, genom att garantera rätten att inte vara uppkopplad och tydligt ange en period när man inte är uppkopplad som bör bidra till en bättre balans mellan arbete och privatliv och skydda personalen mot digital arbetsöverbelastning.</w:t>
      </w:r>
    </w:p>
    <w:p w14:paraId="4AC337FD" w14:textId="77777777" w:rsidR="00435E35" w:rsidRPr="00B46A2D" w:rsidRDefault="00435E35" w:rsidP="00435E35">
      <w:pPr>
        <w:widowControl/>
        <w:spacing w:after="240"/>
        <w:ind w:left="567" w:hanging="567"/>
        <w:rPr>
          <w:color w:val="000000"/>
          <w:szCs w:val="24"/>
        </w:rPr>
      </w:pPr>
      <w:r w:rsidRPr="00B46A2D">
        <w:rPr>
          <w:color w:val="000000"/>
        </w:rPr>
        <w:t>22.</w:t>
      </w:r>
      <w:r w:rsidRPr="00B46A2D">
        <w:rPr>
          <w:color w:val="000000"/>
        </w:rPr>
        <w:tab/>
        <w:t>Europaparlamentet välkomnar, utifrån byråns uppföljningsrapport när det gäller iakttagelsen om personal som arbetar med upphandlingsrelaterade förfaranden, att tjänsteförteckningen för 2023 föreskriver en omvandling av den relevanta AST 5</w:t>
      </w:r>
      <w:r w:rsidRPr="00B46A2D">
        <w:rPr>
          <w:color w:val="000000"/>
        </w:rPr>
        <w:noBreakHyphen/>
        <w:t>tjänsten (lönegrad AST 3) till en AD 5-tjänst.</w:t>
      </w:r>
    </w:p>
    <w:p w14:paraId="3E47C08C" w14:textId="77777777" w:rsidR="00435E35" w:rsidRPr="00B46A2D" w:rsidRDefault="00435E35" w:rsidP="00435E35">
      <w:pPr>
        <w:widowControl/>
        <w:spacing w:after="240"/>
        <w:ind w:left="567" w:hanging="567"/>
        <w:rPr>
          <w:rFonts w:eastAsiaTheme="minorHAnsi"/>
          <w:b/>
          <w:i/>
          <w:szCs w:val="24"/>
        </w:rPr>
      </w:pPr>
      <w:r w:rsidRPr="00B46A2D">
        <w:rPr>
          <w:b/>
          <w:i/>
        </w:rPr>
        <w:t>Upphandling</w:t>
      </w:r>
    </w:p>
    <w:p w14:paraId="61B29A51" w14:textId="77777777" w:rsidR="00435E35" w:rsidRPr="00B46A2D" w:rsidRDefault="00435E35" w:rsidP="00435E35">
      <w:pPr>
        <w:pStyle w:val="NormalHanging12a"/>
        <w:widowControl/>
      </w:pPr>
      <w:r w:rsidRPr="00B46A2D">
        <w:t>23.</w:t>
      </w:r>
      <w:r w:rsidRPr="00B46A2D">
        <w:tab/>
        <w:t xml:space="preserve">Europaparlamentet noterar bekymrat utifrån revisionsrättens rapport att revisionsrätten sedan budgetåret 2020 varje år har gjort nya iakttagelser om byråns upphandlingar. Parlamentet framhåller utifrån revisionsrättens rapport den iakttagelse som ligger till grund för revisionsrättens uttalande med reservation om lagligheten och korrektheten i 359 betalningar till ett totalt värde av 4,1 miljoner EUR som gjordes 2022 inom ramen för två ramavtal som genomfördes direkt genom beställningssedlar (begäranden om tjänster) som skickades av anställda på byrån som inte hade den delegerade befogenheten att ingå rättsliga åtaganden på byråns vägnar, eller av tillfälliga anställda som inte lagligen kunde ha en sådan delegerad befogenhet på grund av sin status som tillfälligt anställda. Parlamentet noterar byråns svar på revisionsrättens iakttagelse att, även om det fanns en brist i formaliseringen av det rättsliga åtagandet beställdes </w:t>
      </w:r>
      <w:r w:rsidRPr="00B46A2D">
        <w:lastRenderedPageBreak/>
        <w:t>tjänsterna i enlighet med byråns behov och kontrollerna tillämpades fullt ut för att säkerställa att medlen användes för det avsedda ändamålet, och inga faktiska förluster uppstod. Parlamentet noterar utifrån byråns svar på parlamentets skriftliga frågor att dessa avtal inte påverkades av andra oriktigheter och att byrån har vidtagit åtgärder för att bemöta revisionsrättens iakttagelse genom att ändra byråns interna förfaranden för att säkerställa att beställningar kommer att skickas till resebyrån enbart av ordinarie personal som har delegerats av en utanordnare för att ingå ett rättsligt åtagande. Parlamentet noterar byråns svar att byrån omedelbart har vidtagit korrigerande åtgärder, även innan revisionsprocessen avslutades. Parlamentet uppmanar byrån att fullt ut ta itu med dessa iakttagelser och förbättra sina upphandlingsförfaranden för att undvika liknande situationer i framtiden.</w:t>
      </w:r>
    </w:p>
    <w:p w14:paraId="1BD6FF01" w14:textId="77777777" w:rsidR="00435E35" w:rsidRPr="00B46A2D" w:rsidRDefault="00435E35" w:rsidP="00435E35">
      <w:pPr>
        <w:pStyle w:val="NormalHanging12a"/>
        <w:widowControl/>
      </w:pPr>
      <w:r w:rsidRPr="00B46A2D">
        <w:t>24.</w:t>
      </w:r>
      <w:r w:rsidRPr="00B46A2D">
        <w:tab/>
        <w:t>Europaparlamentet framhåller vidare, utifrån revisionsrättens rapport, uttalandet med reservation enligt vilket alla belopp som betalades ut 2022 (152 655 EUR) för genomförandet av ett ramavtal (för redaktionella utbildningstjänster) inte kunde stämmas av mot de tjänster som tillhandahölls och att vissa kategorier av uppgifter inte återspeglade arten av det faktiska arbete som utfördes, och för vissa kategorier motsvarade det arbete som betalats för inte det arbete som faktiskt utförts, vilket gör dessa belopp oriktiga. Parlamentet noterar byråns förklaring att antalet beställda, levererade och betalda sidor inte exakt överensstämde med varandra, vilket berodde på arbetets art, nämligen utveckling av redaktionellt och utbildningsrelaterat innehåll, som inte alltid var exakt kvantifierbart i förväg. Parlamentet noterar vidare att enligt byråns svar gjordes kontroller av resultaten och att uppgiftskategorierna baserades på dem som förtecknades i ett tidigare avtal med Publikationsbyrån. Parlamentet uppmanar byrån att vidta åtgärder som gör att den bättre kan kvantifiera det som ska levereras i förväg och undvika sådana situationer i framtiden.</w:t>
      </w:r>
    </w:p>
    <w:p w14:paraId="22017A38" w14:textId="77777777" w:rsidR="00435E35" w:rsidRPr="00B46A2D" w:rsidRDefault="00435E35" w:rsidP="00435E35">
      <w:pPr>
        <w:widowControl/>
        <w:spacing w:after="240"/>
        <w:ind w:left="567" w:hanging="567"/>
        <w:rPr>
          <w:color w:val="000000"/>
          <w:szCs w:val="24"/>
        </w:rPr>
      </w:pPr>
      <w:r w:rsidRPr="00B46A2D">
        <w:rPr>
          <w:color w:val="000000"/>
        </w:rPr>
        <w:t>25.</w:t>
      </w:r>
      <w:r w:rsidRPr="00B46A2D">
        <w:rPr>
          <w:color w:val="000000"/>
        </w:rPr>
        <w:tab/>
        <w:t>Europaparlamentet noterar från revisionsrättens rapport för budgetåret 2021 att en iakttagelse fortfarande var oavslutad när det gäller utvärderingsprocessen för ett upphandlingsförfarande där byrån lade vikt vid ett kriterium som inte tydligt presenterades i kravspecifikationerna, vilket skapar en risk för att anbudsgivare behandlas olika. Parlamentet noterar att avtalet var i kraft fram till september 2023 och att byrån vid tidpunkten för revisionsrättens granskning av statusen för denna iakttagelse inte hade för avsikt att förlänga kontraktet med ytterligare 12 månader.</w:t>
      </w:r>
    </w:p>
    <w:p w14:paraId="2DBA7A4E" w14:textId="77777777" w:rsidR="00435E35" w:rsidRPr="00B46A2D" w:rsidRDefault="00435E35" w:rsidP="00435E35">
      <w:pPr>
        <w:widowControl/>
        <w:spacing w:after="240"/>
        <w:ind w:left="567" w:hanging="567"/>
        <w:rPr>
          <w:color w:val="000000"/>
          <w:szCs w:val="24"/>
        </w:rPr>
      </w:pPr>
      <w:r w:rsidRPr="00B46A2D">
        <w:rPr>
          <w:color w:val="000000"/>
        </w:rPr>
        <w:t>26.</w:t>
      </w:r>
      <w:r w:rsidRPr="00B46A2D">
        <w:rPr>
          <w:color w:val="000000"/>
        </w:rPr>
        <w:tab/>
        <w:t>Europaparlamentet lovordar byrån för att ha infört verktyget för förvaltning av offentlig upphandling, som från och med oktober 2022 används för alla typer av upphandlingsförfaranden. Parlamentet uppmanar byrån att påskynda antagandet och genomförandet av verktyg som gör det möjligt att använda elektroniska signaturer för att erhålla godkännanden och underskrifter från både interna och externa motparter i upphandlings- och avtalshandlingar.</w:t>
      </w:r>
    </w:p>
    <w:p w14:paraId="65F2D282" w14:textId="77777777" w:rsidR="00435E35" w:rsidRPr="00B46A2D" w:rsidRDefault="00435E35" w:rsidP="00435E35">
      <w:pPr>
        <w:pStyle w:val="ListParagraph"/>
        <w:spacing w:after="240"/>
        <w:ind w:left="567" w:hanging="567"/>
        <w:contextualSpacing w:val="0"/>
        <w:jc w:val="left"/>
        <w:rPr>
          <w:rFonts w:eastAsia="Times New Roman"/>
        </w:rPr>
      </w:pPr>
      <w:r w:rsidRPr="00B46A2D">
        <w:rPr>
          <w:b/>
          <w:i/>
        </w:rPr>
        <w:t>Förebyggande och hantering av intressekonflikter samt transparens</w:t>
      </w:r>
    </w:p>
    <w:p w14:paraId="2F82ACB4" w14:textId="77777777" w:rsidR="00435E35" w:rsidRPr="00B46A2D" w:rsidRDefault="00435E35" w:rsidP="00435E35">
      <w:pPr>
        <w:widowControl/>
        <w:spacing w:after="240"/>
        <w:ind w:left="567" w:hanging="567"/>
        <w:rPr>
          <w:szCs w:val="24"/>
        </w:rPr>
      </w:pPr>
      <w:r w:rsidRPr="00B46A2D">
        <w:t>27.</w:t>
      </w:r>
      <w:r w:rsidRPr="00B46A2D">
        <w:tab/>
        <w:t xml:space="preserve">Europaparlamentet noterar med uppskattning byråns befintliga åtgärder och pågående insatser för att säkerställa transparens samt förebyggande och hantering av intressekonflikter. Parlamentet noterar med tillfredsställelse att styrelseledamöternas och den högsta ledningens intresseförklaringar och meritförteckningar offentliggörs på byråns webbplats och att formatet för förklaringarna gör det möjligt att förteckna yrkesrelaterade, ekonomiska, personliga och andra intressen som kan ha samband med byråns verksamhet. Parlamentet noterar utifrån byråns uppföljningsrapport, avseende </w:t>
      </w:r>
      <w:r w:rsidRPr="00B46A2D">
        <w:lastRenderedPageBreak/>
        <w:t>den ansvarsfrihetsbeviljande myndighetens iakttagelse att förklaringar om intressekonflikter och konfidentialitet för avlönade experter inte offentliggörs på byråns webbplats, att byrån har bedömt att ett offentliggörande av experternas ansökningar och meritförteckningar på grund av dataskyddsöverväganden skulle leda till ett avsevärt minskat antal ansökningar från experter, med tanke på att de flesta experter som arbetar för byrån har brottsbekämpningsbakgrund.</w:t>
      </w:r>
    </w:p>
    <w:p w14:paraId="4328494F" w14:textId="77777777" w:rsidR="00435E35" w:rsidRPr="00B46A2D" w:rsidRDefault="00435E35" w:rsidP="00435E35">
      <w:pPr>
        <w:widowControl/>
        <w:spacing w:after="240"/>
        <w:ind w:left="567" w:hanging="567"/>
        <w:rPr>
          <w:szCs w:val="24"/>
        </w:rPr>
      </w:pPr>
      <w:r w:rsidRPr="00B46A2D">
        <w:t>28.</w:t>
      </w:r>
      <w:r w:rsidRPr="00B46A2D">
        <w:tab/>
        <w:t>Europaparlamentet noterar med uppskattning utifrån byråns uppföljningsrapport att byrån, i och med lanseringen av sin nya webbplats 2022, förbättrade sitt offentliga register över handlingar och att de tekniska ändringar som införts gör det möjligt för medborgare att söka efter myndighetens officiella handlingar per kategori eller begära tillgång till en handling via ett webbformulär när direkt åtkomst via det offentliga registret över handlingar inte beviljas. Parlamentet noterar att byrån 2022 mottog fem begäranden om tillgång till handlingar från allmänheten och hanterade 920 offentliga förfrågningar från medborgare.</w:t>
      </w:r>
    </w:p>
    <w:p w14:paraId="7B914652" w14:textId="77777777" w:rsidR="00435E35" w:rsidRPr="00B46A2D" w:rsidRDefault="00435E35" w:rsidP="00435E35">
      <w:pPr>
        <w:widowControl/>
        <w:spacing w:after="240"/>
        <w:ind w:left="567" w:hanging="567"/>
        <w:rPr>
          <w:b/>
          <w:i/>
          <w:szCs w:val="24"/>
        </w:rPr>
      </w:pPr>
      <w:r w:rsidRPr="00B46A2D">
        <w:rPr>
          <w:b/>
          <w:i/>
        </w:rPr>
        <w:t>Intern kontroll</w:t>
      </w:r>
    </w:p>
    <w:p w14:paraId="0F43A3D7" w14:textId="77777777" w:rsidR="00435E35" w:rsidRPr="00B46A2D" w:rsidRDefault="00435E35" w:rsidP="00435E35">
      <w:pPr>
        <w:widowControl/>
        <w:spacing w:after="240"/>
        <w:ind w:left="567" w:hanging="567"/>
        <w:rPr>
          <w:szCs w:val="24"/>
        </w:rPr>
      </w:pPr>
      <w:r w:rsidRPr="00B46A2D">
        <w:t>29.</w:t>
      </w:r>
      <w:r w:rsidRPr="00B46A2D">
        <w:tab/>
        <w:t>Europaparlamentet noterar utifrån byråns uppföljningsrapport att byrån, beträffande de många svagheterna i byråns interna kontrollsystem, i synnerhet när det gäller upphandlingsförfaranden och förvaltningen av budgetåtaganden, har vidtagit åtgärder, inbegripet utbildning och workshoppar, för att öka medvetenheten om och minska förekomsten av administrativa fel. Parlamentet noterar i detta sammanhang utifrån revisionsrättens rapport att dess iakttagelser (för budgetåret 2021) som rör dessa svagheter har åtgärdats.</w:t>
      </w:r>
    </w:p>
    <w:p w14:paraId="30F11FE3" w14:textId="77777777" w:rsidR="00435E35" w:rsidRPr="00B46A2D" w:rsidRDefault="00435E35" w:rsidP="00435E35">
      <w:pPr>
        <w:widowControl/>
        <w:spacing w:after="240"/>
        <w:ind w:left="567" w:hanging="567"/>
        <w:rPr>
          <w:szCs w:val="24"/>
        </w:rPr>
      </w:pPr>
      <w:r w:rsidRPr="00B46A2D">
        <w:t>30.</w:t>
      </w:r>
      <w:r w:rsidRPr="00B46A2D">
        <w:tab/>
        <w:t>Europaparlamentet noterar byråns bedömning av sitt interna kontrollsystem 2022 och dess slutsats att det är effektivt, aktuellt och välfungerande och att endast smärre förbättringar behövs. Parlamentet uppmanar byrån att åtgärda de brister som konstaterats när det gäller de interna kontrollkomponenterna ”Kontrollverksamhet” och ”Information och kommunikation” och att hålla den ansvarsfrihetsbeviljande myndigheten informerad om framstegen i denna fråga. Parlamentet noterar med uppskattning utifrån byråns uppföljningsrapport att byrån har beaktat revisionsrättens relevanta iakttagelser från tidigare år vid bedömningen av princip 17 om att ”bedöma och informera om brister” i komponenten ”Övervakningsverksamhet”. Parlamentet uppmanar byrån att fortsätta att ta itu med alla iakttagelser från den revision av personalförvaltning och etik inom Cepol som utfördes 2021 av tjänsten för internrevision.</w:t>
      </w:r>
    </w:p>
    <w:p w14:paraId="2D610475" w14:textId="77777777" w:rsidR="00435E35" w:rsidRPr="00B46A2D" w:rsidRDefault="00435E35" w:rsidP="00435E35">
      <w:pPr>
        <w:widowControl/>
        <w:spacing w:after="240"/>
        <w:ind w:left="567" w:hanging="567"/>
        <w:rPr>
          <w:szCs w:val="24"/>
        </w:rPr>
      </w:pPr>
      <w:r w:rsidRPr="00B46A2D">
        <w:t>31.</w:t>
      </w:r>
      <w:r w:rsidRPr="00B46A2D">
        <w:tab/>
        <w:t>Europaparlamentet noterar att byrån genomför en process för registrering och godkännande av undantag som analyseras för att identifiera specifika problemområden och relevanta förbättringsåtgärder. Parlamentet noterar att 2022 års rapport om undantag bekräftar att byråns internkontrollsystem fungerar väl och att bristande efterlevnad upptäcks och begränsas med korrigerande och förebyggande åtgärder. Parlamentet noterar vidare att totalt 46 undantag togs upp 2022 (jämfört med 27 undantag 2021), till ett värde av 51 697 EUR (jämfört med 257 825 EUR 2021), medan 13 av dessa undantag hade en ekonomisk inverkan på över 1 000 EUR (från 1 053 EUR till 12 240 EUR).</w:t>
      </w:r>
    </w:p>
    <w:p w14:paraId="7DF4D0CB" w14:textId="77777777" w:rsidR="00435E35" w:rsidRPr="00B46A2D" w:rsidRDefault="00435E35" w:rsidP="00435E35">
      <w:pPr>
        <w:widowControl/>
        <w:spacing w:after="240"/>
        <w:ind w:left="567" w:hanging="567"/>
        <w:rPr>
          <w:b/>
          <w:i/>
          <w:szCs w:val="24"/>
        </w:rPr>
      </w:pPr>
      <w:r w:rsidRPr="00B46A2D">
        <w:rPr>
          <w:b/>
          <w:i/>
        </w:rPr>
        <w:t>Övriga synpunkter</w:t>
      </w:r>
    </w:p>
    <w:p w14:paraId="33FB0936" w14:textId="77777777" w:rsidR="00435E35" w:rsidRPr="00B46A2D" w:rsidRDefault="00435E35" w:rsidP="00435E35">
      <w:pPr>
        <w:widowControl/>
        <w:spacing w:after="240"/>
        <w:ind w:left="567" w:hanging="567"/>
        <w:rPr>
          <w:szCs w:val="24"/>
        </w:rPr>
      </w:pPr>
      <w:r w:rsidRPr="00B46A2D">
        <w:lastRenderedPageBreak/>
        <w:t>32.</w:t>
      </w:r>
      <w:r w:rsidRPr="00B46A2D">
        <w:tab/>
        <w:t>Europaparlamentet noterar utifrån byråns uppföljningsrapport beträffande frågan om att byrån inte har tillräckligt med kontorsutrymme och utrymme för operativ verksamhet, att den ungerska regeringen har åtagit sig att säkerställa kontinuitet och förse byrån med lämpliga resurser genom att anta ett beslut om att säkra ett nytt huvudkontor (6 000 m²) genom ett hyresavtal. Parlamentet noterar vidare att flytten till nya lokaler kan äga rum före utgången av 2024, parallellt med undertecknandet av ett nytt avtal om säte.</w:t>
      </w:r>
    </w:p>
    <w:p w14:paraId="409D340F" w14:textId="77777777" w:rsidR="00435E35" w:rsidRPr="00B46A2D" w:rsidRDefault="00435E35" w:rsidP="00435E35">
      <w:pPr>
        <w:pStyle w:val="NormalHanging12a"/>
        <w:widowControl/>
      </w:pPr>
      <w:r w:rsidRPr="00B46A2D">
        <w:t>33.</w:t>
      </w:r>
      <w:r w:rsidRPr="00B46A2D">
        <w:tab/>
        <w:t>Europaparlamentet lovordar byrån för dess insatser för att bli mer synlig för allmänheten och öka sin närvaro på nätet. Parlamentet välkomnar i detta sammanhang lanseringen av byråns nya webbplats 2022, som innehåller viktiga förbättringar, såsom en tydligare presentation och struktur, förbättrat utseende och responsiv webbdesign. Parlamentet noterar vidare att byråns verksamhet på sociala medier var betydande under 2022, med 1 590 uppladdningar av innehåll, vilket motsvarar 54 % fler inlägg än föregående år. Parlamentet noterar i detta avseende den uppåtgående trenden när det gäller byråns webbanvändare, med över 200 000 registrerade besök och en supporterbas på sociala medier med 38 500 följare på LinkedIn, X (f.d. Twitter) och Facebook.</w:t>
      </w:r>
    </w:p>
    <w:p w14:paraId="69E2FC50" w14:textId="77777777" w:rsidR="00435E35" w:rsidRPr="00B46A2D" w:rsidRDefault="00435E35" w:rsidP="00435E35">
      <w:pPr>
        <w:pStyle w:val="NormalCenter12a"/>
        <w:widowControl/>
      </w:pPr>
      <w:r w:rsidRPr="00B46A2D">
        <w:t>°</w:t>
      </w:r>
    </w:p>
    <w:p w14:paraId="43F6733C" w14:textId="77777777" w:rsidR="00435E35" w:rsidRPr="00B46A2D" w:rsidRDefault="00435E35" w:rsidP="00435E35">
      <w:pPr>
        <w:pStyle w:val="NormalCenter12a"/>
        <w:widowControl/>
      </w:pPr>
      <w:r w:rsidRPr="00B46A2D">
        <w:t>°</w:t>
      </w:r>
      <w:r w:rsidRPr="00B46A2D">
        <w:tab/>
        <w:t>°</w:t>
      </w:r>
    </w:p>
    <w:p w14:paraId="60AFAD65" w14:textId="68E7AAB4" w:rsidR="00435E35" w:rsidRPr="00BF0508" w:rsidRDefault="00435E35" w:rsidP="00435E35">
      <w:pPr>
        <w:pStyle w:val="NormalHanging12a"/>
        <w:widowControl/>
      </w:pPr>
      <w:r w:rsidRPr="00B46A2D">
        <w:t>34.</w:t>
      </w:r>
      <w:r w:rsidRPr="00B46A2D">
        <w:tab/>
        <w:t xml:space="preserve">När det gäller andra övergripande iakttagelser som utgör en del av beslutet om ansvarsfrihet hänvisar Europaparlamentet till sin resolution av den </w:t>
      </w:r>
      <w:r w:rsidR="00E3046F" w:rsidRPr="00B46A2D">
        <w:t>11 april 2024</w:t>
      </w:r>
      <w:r w:rsidRPr="00B46A2D">
        <w:rPr>
          <w:rStyle w:val="FootnoteReference"/>
        </w:rPr>
        <w:footnoteReference w:id="12"/>
      </w:r>
      <w:r w:rsidRPr="00B46A2D">
        <w:t xml:space="preserve"> om byråernas verksamhetsresultat, ekonomiska förvaltning och kontroll.</w:t>
      </w:r>
    </w:p>
    <w:p w14:paraId="4E9BEB69" w14:textId="77777777" w:rsidR="00435E35" w:rsidRPr="00BF0508" w:rsidRDefault="00435E35" w:rsidP="00435E35"/>
    <w:p w14:paraId="4EA2EE50" w14:textId="77777777" w:rsidR="00E365E1" w:rsidRPr="00BF0508" w:rsidRDefault="00E365E1" w:rsidP="005B3C15">
      <w:bookmarkStart w:id="9" w:name="TextBodyEnd"/>
      <w:bookmarkEnd w:id="9"/>
    </w:p>
    <w:sectPr w:rsidR="00E365E1" w:rsidRPr="00BF0508" w:rsidSect="00BF050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010BF" w14:textId="77777777" w:rsidR="005B3C15" w:rsidRPr="00BF0508" w:rsidRDefault="005B3C15">
      <w:r w:rsidRPr="00BF0508">
        <w:separator/>
      </w:r>
    </w:p>
  </w:endnote>
  <w:endnote w:type="continuationSeparator" w:id="0">
    <w:p w14:paraId="410BC241" w14:textId="77777777" w:rsidR="005B3C15" w:rsidRPr="00BF0508" w:rsidRDefault="005B3C15">
      <w:r w:rsidRPr="00BF05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0C02A" w14:textId="77777777" w:rsidR="00435E35" w:rsidRPr="00BF0508" w:rsidRDefault="00435E35" w:rsidP="00924328">
    <w:pPr>
      <w:pStyle w:val="EPFooter"/>
    </w:pPr>
    <w:r w:rsidRPr="00BF0508">
      <w:t>PE</w:t>
    </w:r>
    <w:r w:rsidRPr="00BF0508">
      <w:rPr>
        <w:rStyle w:val="HideTWBExt"/>
      </w:rPr>
      <w:t>&lt;NoPE&gt;</w:t>
    </w:r>
    <w:r w:rsidRPr="00BF0508">
      <w:t>753.510</w:t>
    </w:r>
    <w:r w:rsidRPr="00BF0508">
      <w:rPr>
        <w:rStyle w:val="HideTWBExt"/>
      </w:rPr>
      <w:t>&lt;/NoPE&gt;&lt;Version&gt;</w:t>
    </w:r>
    <w:r w:rsidRPr="00BF0508">
      <w:t>v02-00</w:t>
    </w:r>
    <w:r w:rsidRPr="00BF0508">
      <w:rPr>
        <w:rStyle w:val="HideTWBExt"/>
      </w:rPr>
      <w:t>&lt;/Version&gt;</w:t>
    </w:r>
    <w:r w:rsidRPr="00BF0508">
      <w:tab/>
    </w:r>
    <w:r w:rsidRPr="00BF0508">
      <w:fldChar w:fldCharType="begin"/>
    </w:r>
    <w:r w:rsidRPr="00BF0508">
      <w:instrText xml:space="preserve"> PAGE  \* MERGEFORMAT </w:instrText>
    </w:r>
    <w:r w:rsidRPr="00BF0508">
      <w:fldChar w:fldCharType="separate"/>
    </w:r>
    <w:r w:rsidRPr="00BF0508">
      <w:rPr>
        <w:noProof/>
      </w:rPr>
      <w:t>12</w:t>
    </w:r>
    <w:r w:rsidRPr="00BF0508">
      <w:fldChar w:fldCharType="end"/>
    </w:r>
    <w:r w:rsidRPr="00BF0508">
      <w:t>/</w:t>
    </w:r>
    <w:fldSimple w:instr=" NUMPAGES  \* MERGEFORMAT ">
      <w:r w:rsidRPr="00BF0508">
        <w:rPr>
          <w:noProof/>
        </w:rPr>
        <w:t>12</w:t>
      </w:r>
    </w:fldSimple>
    <w:r w:rsidRPr="00BF0508">
      <w:tab/>
    </w:r>
    <w:r w:rsidRPr="00BF0508">
      <w:rPr>
        <w:rStyle w:val="HideTWBExt"/>
      </w:rPr>
      <w:t>&lt;PathFdR&gt;</w:t>
    </w:r>
    <w:r w:rsidRPr="00BF0508">
      <w:t>RR\1298754SV.docx</w:t>
    </w:r>
    <w:r w:rsidRPr="00BF0508">
      <w:rPr>
        <w:rStyle w:val="HideTWBExt"/>
      </w:rPr>
      <w:t>&lt;/PathFdR&gt;</w:t>
    </w:r>
  </w:p>
  <w:p w14:paraId="0E18F67C" w14:textId="77777777" w:rsidR="00435E35" w:rsidRPr="00BF0508" w:rsidRDefault="00435E35" w:rsidP="00924328">
    <w:pPr>
      <w:pStyle w:val="EPFooter2"/>
    </w:pPr>
    <w:r w:rsidRPr="00BF050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D924" w14:textId="77777777" w:rsidR="00435E35" w:rsidRPr="00BF0508" w:rsidRDefault="00435E35" w:rsidP="00924328">
    <w:pPr>
      <w:pStyle w:val="EPFooter"/>
    </w:pPr>
    <w:r w:rsidRPr="00BF0508">
      <w:rPr>
        <w:rStyle w:val="HideTWBExt"/>
      </w:rPr>
      <w:t>&lt;PathFdR&gt;</w:t>
    </w:r>
    <w:r w:rsidRPr="00BF0508">
      <w:t>RR\1298754SV.docx</w:t>
    </w:r>
    <w:r w:rsidRPr="00BF0508">
      <w:rPr>
        <w:rStyle w:val="HideTWBExt"/>
      </w:rPr>
      <w:t>&lt;/PathFdR&gt;</w:t>
    </w:r>
    <w:r w:rsidRPr="00BF0508">
      <w:tab/>
    </w:r>
    <w:r w:rsidRPr="00BF0508">
      <w:tab/>
      <w:t>PE</w:t>
    </w:r>
    <w:r w:rsidRPr="00BF0508">
      <w:rPr>
        <w:rStyle w:val="HideTWBExt"/>
      </w:rPr>
      <w:t>&lt;NoPE&gt;</w:t>
    </w:r>
    <w:r w:rsidRPr="00BF0508">
      <w:t>753.510</w:t>
    </w:r>
    <w:r w:rsidRPr="00BF0508">
      <w:rPr>
        <w:rStyle w:val="HideTWBExt"/>
      </w:rPr>
      <w:t>&lt;/NoPE&gt;&lt;Version&gt;</w:t>
    </w:r>
    <w:r w:rsidRPr="00BF0508">
      <w:t>v02-00</w:t>
    </w:r>
    <w:r w:rsidRPr="00BF0508">
      <w:rPr>
        <w:rStyle w:val="HideTWBExt"/>
      </w:rPr>
      <w:t>&lt;/Version&gt;</w:t>
    </w:r>
  </w:p>
  <w:p w14:paraId="0C68EC35" w14:textId="77777777" w:rsidR="00435E35" w:rsidRPr="00BF0508" w:rsidRDefault="00435E35" w:rsidP="00924328">
    <w:pPr>
      <w:pStyle w:val="EPFooter2"/>
    </w:pPr>
    <w:r w:rsidRPr="00BF0508">
      <w:t>SV</w:t>
    </w:r>
    <w:r w:rsidRPr="00BF0508">
      <w:tab/>
    </w:r>
    <w:r w:rsidRPr="00BF0508">
      <w:rPr>
        <w:b w:val="0"/>
        <w:i/>
        <w:color w:val="C0C0C0"/>
        <w:sz w:val="22"/>
      </w:rPr>
      <w:t>Förenade i mångfalden</w:t>
    </w:r>
    <w:r w:rsidRPr="00BF050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61856" w14:textId="77777777" w:rsidR="00064002" w:rsidRPr="00BF050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D25E" w14:textId="77777777" w:rsidR="00064002" w:rsidRPr="00BF050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AD3AA" w14:textId="77777777" w:rsidR="00064002" w:rsidRPr="00BF05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FCF20" w14:textId="77777777" w:rsidR="005B3C15" w:rsidRPr="00BF0508" w:rsidRDefault="005B3C15">
      <w:r w:rsidRPr="00BF0508">
        <w:separator/>
      </w:r>
    </w:p>
  </w:footnote>
  <w:footnote w:type="continuationSeparator" w:id="0">
    <w:p w14:paraId="3EB7474F" w14:textId="77777777" w:rsidR="005B3C15" w:rsidRPr="00BF0508" w:rsidRDefault="005B3C15">
      <w:r w:rsidRPr="00BF0508">
        <w:continuationSeparator/>
      </w:r>
    </w:p>
  </w:footnote>
  <w:footnote w:id="1">
    <w:p w14:paraId="5AD501CF"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C, C/2023/594, 27.10.2023.</w:t>
      </w:r>
    </w:p>
  </w:footnote>
  <w:footnote w:id="2">
    <w:p w14:paraId="38B349AD"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C, C/2023/112, 12.10.2023.</w:t>
      </w:r>
    </w:p>
  </w:footnote>
  <w:footnote w:id="3">
    <w:p w14:paraId="511E45C4"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193, 30.7.2018, s. 1.</w:t>
      </w:r>
    </w:p>
  </w:footnote>
  <w:footnote w:id="4">
    <w:p w14:paraId="11675AD4"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319, 4.12.2015, s. 1.</w:t>
      </w:r>
    </w:p>
  </w:footnote>
  <w:footnote w:id="5">
    <w:p w14:paraId="45143CB3" w14:textId="77777777" w:rsidR="00435E35" w:rsidRPr="00B46A2D" w:rsidRDefault="00435E35" w:rsidP="00BF0508">
      <w:pPr>
        <w:pStyle w:val="FootnoteText"/>
        <w:ind w:left="567" w:hanging="567"/>
        <w:rPr>
          <w:sz w:val="24"/>
          <w:szCs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122, 10.5.2019, s. 1.</w:t>
      </w:r>
    </w:p>
  </w:footnote>
  <w:footnote w:id="6">
    <w:p w14:paraId="34697605"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C, C/2023/594, 27.10.2023.</w:t>
      </w:r>
    </w:p>
  </w:footnote>
  <w:footnote w:id="7">
    <w:p w14:paraId="4CE1733C"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C, C/2023/112, 12.10.2023.</w:t>
      </w:r>
    </w:p>
  </w:footnote>
  <w:footnote w:id="8">
    <w:p w14:paraId="000EA156"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193, 30.7.2018, s. 1.</w:t>
      </w:r>
    </w:p>
  </w:footnote>
  <w:footnote w:id="9">
    <w:p w14:paraId="4C50203B" w14:textId="77777777" w:rsidR="00435E35" w:rsidRPr="00B46A2D" w:rsidRDefault="00435E35" w:rsidP="00BF0508">
      <w:pPr>
        <w:pStyle w:val="FootnoteText"/>
        <w:ind w:left="567" w:hanging="567"/>
        <w:rPr>
          <w:sz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319, 4.12.2015, s. 1.</w:t>
      </w:r>
    </w:p>
  </w:footnote>
  <w:footnote w:id="10">
    <w:p w14:paraId="38F155EC" w14:textId="77777777" w:rsidR="00435E35" w:rsidRPr="00B46A2D" w:rsidRDefault="00435E35" w:rsidP="00BF0508">
      <w:pPr>
        <w:pStyle w:val="FootnoteText"/>
        <w:ind w:left="567" w:hanging="567"/>
        <w:rPr>
          <w:sz w:val="24"/>
          <w:szCs w:val="24"/>
        </w:rPr>
      </w:pPr>
      <w:r w:rsidRPr="00B46A2D">
        <w:rPr>
          <w:rStyle w:val="FootnoteReference"/>
          <w:sz w:val="24"/>
          <w:lang w:val="sv-SE"/>
        </w:rPr>
        <w:footnoteRef/>
      </w:r>
      <w:r w:rsidR="00BF0508" w:rsidRPr="00B46A2D">
        <w:rPr>
          <w:sz w:val="24"/>
        </w:rPr>
        <w:t xml:space="preserve"> </w:t>
      </w:r>
      <w:r w:rsidR="00BF0508" w:rsidRPr="00B46A2D">
        <w:rPr>
          <w:sz w:val="24"/>
        </w:rPr>
        <w:tab/>
      </w:r>
      <w:r w:rsidRPr="00B46A2D">
        <w:rPr>
          <w:sz w:val="24"/>
        </w:rPr>
        <w:t>EUT L 122, 10.5.2019, s. 1.</w:t>
      </w:r>
    </w:p>
  </w:footnote>
  <w:footnote w:id="11">
    <w:p w14:paraId="1D7A01B9" w14:textId="77777777" w:rsidR="00435E35" w:rsidRPr="00B46A2D" w:rsidRDefault="00435E35" w:rsidP="00BF0508">
      <w:pPr>
        <w:pStyle w:val="FootnoteText"/>
        <w:ind w:left="567" w:hanging="567"/>
        <w:rPr>
          <w:sz w:val="24"/>
          <w:lang w:val="sv-SE"/>
        </w:rPr>
      </w:pPr>
      <w:r w:rsidRPr="00B46A2D">
        <w:rPr>
          <w:rStyle w:val="FootnoteReference"/>
          <w:sz w:val="24"/>
          <w:lang w:val="sv-SE"/>
        </w:rPr>
        <w:footnoteRef/>
      </w:r>
      <w:r w:rsidR="00BF0508" w:rsidRPr="00B46A2D">
        <w:rPr>
          <w:sz w:val="24"/>
          <w:lang w:val="sv-SE"/>
        </w:rPr>
        <w:t xml:space="preserve"> </w:t>
      </w:r>
      <w:r w:rsidR="00BF0508" w:rsidRPr="00B46A2D">
        <w:rPr>
          <w:sz w:val="24"/>
          <w:lang w:val="sv-SE"/>
        </w:rPr>
        <w:tab/>
      </w:r>
      <w:r w:rsidRPr="00B46A2D">
        <w:rPr>
          <w:sz w:val="24"/>
          <w:lang w:val="sv-SE"/>
        </w:rPr>
        <w:t>EUT C 73, 28.2.2023, s. 44.</w:t>
      </w:r>
    </w:p>
  </w:footnote>
  <w:footnote w:id="12">
    <w:p w14:paraId="6CA0D884" w14:textId="2FDA8E9A" w:rsidR="00435E35" w:rsidRPr="00BF0508" w:rsidRDefault="00435E35" w:rsidP="00BF0508">
      <w:pPr>
        <w:pStyle w:val="FootnoteText"/>
        <w:ind w:left="567" w:hanging="567"/>
        <w:rPr>
          <w:sz w:val="24"/>
          <w:lang w:val="sv-SE"/>
        </w:rPr>
      </w:pPr>
      <w:r w:rsidRPr="00B46A2D">
        <w:rPr>
          <w:rStyle w:val="FootnoteReference"/>
          <w:sz w:val="24"/>
          <w:lang w:val="sv-SE"/>
        </w:rPr>
        <w:footnoteRef/>
      </w:r>
      <w:r w:rsidR="00BF0508" w:rsidRPr="00B46A2D">
        <w:rPr>
          <w:sz w:val="24"/>
          <w:lang w:val="sv-SE"/>
        </w:rPr>
        <w:t xml:space="preserve"> </w:t>
      </w:r>
      <w:r w:rsidR="00BF0508" w:rsidRPr="00B46A2D">
        <w:rPr>
          <w:sz w:val="24"/>
          <w:lang w:val="sv-SE"/>
        </w:rPr>
        <w:tab/>
      </w:r>
      <w:r w:rsidRPr="00B46A2D">
        <w:rPr>
          <w:sz w:val="24"/>
          <w:lang w:val="sv-SE"/>
        </w:rPr>
        <w:t>Antagna texter, P9_TA(2024)0</w:t>
      </w:r>
      <w:r w:rsidR="00B46A2D" w:rsidRPr="00B46A2D">
        <w:rPr>
          <w:sz w:val="24"/>
          <w:lang w:val="sv-SE"/>
        </w:rPr>
        <w:t>280</w:t>
      </w:r>
      <w:r w:rsidRPr="00B46A2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77555" w14:textId="77777777" w:rsidR="00064002" w:rsidRPr="00BF05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33CFC" w14:textId="77777777" w:rsidR="00064002" w:rsidRPr="00BF05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121D6" w14:textId="77777777" w:rsidR="00064002" w:rsidRPr="00BF05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SV"/>
    <w:docVar w:name="dvnumam" w:val="0"/>
    <w:docVar w:name="dvpe" w:val="753.510"/>
    <w:docVar w:name="dvrapporteur" w:val="Föredragande: "/>
    <w:docVar w:name="dvtitre" w:val="Europaparlamentets beslut av den xx xx 2024 om ansvarsfrihet för genomförandet av budgeten för Europeiska unionens byrå för utbildning av tjänstemän inom brottsbekämpning (Cepol) för budgetåret 2022(2023/2144(DEC))"/>
  </w:docVars>
  <w:rsids>
    <w:rsidRoot w:val="005B3C15"/>
    <w:rsid w:val="00002272"/>
    <w:rsid w:val="00064002"/>
    <w:rsid w:val="000677B9"/>
    <w:rsid w:val="000831BA"/>
    <w:rsid w:val="000A42CC"/>
    <w:rsid w:val="000E7DD9"/>
    <w:rsid w:val="0010095E"/>
    <w:rsid w:val="00125B37"/>
    <w:rsid w:val="00187494"/>
    <w:rsid w:val="001F32AE"/>
    <w:rsid w:val="001F5B3A"/>
    <w:rsid w:val="002767FF"/>
    <w:rsid w:val="002B18FE"/>
    <w:rsid w:val="002B5493"/>
    <w:rsid w:val="00343214"/>
    <w:rsid w:val="00361C00"/>
    <w:rsid w:val="00395FA1"/>
    <w:rsid w:val="003E15D4"/>
    <w:rsid w:val="00411CCE"/>
    <w:rsid w:val="0041666E"/>
    <w:rsid w:val="00421060"/>
    <w:rsid w:val="00435E35"/>
    <w:rsid w:val="00471C19"/>
    <w:rsid w:val="004867E3"/>
    <w:rsid w:val="00494A28"/>
    <w:rsid w:val="004C0004"/>
    <w:rsid w:val="004C5D52"/>
    <w:rsid w:val="0050519A"/>
    <w:rsid w:val="005072A1"/>
    <w:rsid w:val="00514517"/>
    <w:rsid w:val="00545827"/>
    <w:rsid w:val="00560270"/>
    <w:rsid w:val="005B3C1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29E"/>
    <w:rsid w:val="00A1687D"/>
    <w:rsid w:val="00A43E52"/>
    <w:rsid w:val="00A4678D"/>
    <w:rsid w:val="00A778C7"/>
    <w:rsid w:val="00AB441E"/>
    <w:rsid w:val="00AB6293"/>
    <w:rsid w:val="00AE0928"/>
    <w:rsid w:val="00AF3B82"/>
    <w:rsid w:val="00B12E95"/>
    <w:rsid w:val="00B22876"/>
    <w:rsid w:val="00B46A2D"/>
    <w:rsid w:val="00B558F0"/>
    <w:rsid w:val="00BD48FE"/>
    <w:rsid w:val="00BD7BD8"/>
    <w:rsid w:val="00BE6ADC"/>
    <w:rsid w:val="00BF0508"/>
    <w:rsid w:val="00C05BFE"/>
    <w:rsid w:val="00C23CD4"/>
    <w:rsid w:val="00C53CF6"/>
    <w:rsid w:val="00C61C0C"/>
    <w:rsid w:val="00C941CB"/>
    <w:rsid w:val="00CC2357"/>
    <w:rsid w:val="00CF071A"/>
    <w:rsid w:val="00D058B8"/>
    <w:rsid w:val="00D56C11"/>
    <w:rsid w:val="00D834A0"/>
    <w:rsid w:val="00D872DF"/>
    <w:rsid w:val="00D91E21"/>
    <w:rsid w:val="00DA7FCD"/>
    <w:rsid w:val="00E12166"/>
    <w:rsid w:val="00E204D4"/>
    <w:rsid w:val="00E3046F"/>
    <w:rsid w:val="00E365E1"/>
    <w:rsid w:val="00E820A4"/>
    <w:rsid w:val="00EB006A"/>
    <w:rsid w:val="00EB4772"/>
    <w:rsid w:val="00ED169E"/>
    <w:rsid w:val="00ED4235"/>
    <w:rsid w:val="00F04346"/>
    <w:rsid w:val="00F075DC"/>
    <w:rsid w:val="00F149E9"/>
    <w:rsid w:val="00F5134D"/>
    <w:rsid w:val="00F74202"/>
    <w:rsid w:val="00F751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0B6BB"/>
  <w15:chartTrackingRefBased/>
  <w15:docId w15:val="{DEB45C56-6643-4084-B9FF-E80056A1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5E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E35"/>
    <w:pPr>
      <w:spacing w:before="480" w:after="240"/>
    </w:pPr>
  </w:style>
  <w:style w:type="paragraph" w:customStyle="1" w:styleId="PageHeading">
    <w:name w:val="PageHeading"/>
    <w:basedOn w:val="Normal"/>
    <w:rsid w:val="00435E35"/>
    <w:pPr>
      <w:keepNext/>
      <w:spacing w:after="480"/>
      <w:jc w:val="center"/>
    </w:pPr>
    <w:rPr>
      <w:rFonts w:ascii="Arial" w:hAnsi="Arial" w:cs="Arial"/>
      <w:b/>
    </w:rPr>
  </w:style>
  <w:style w:type="paragraph" w:customStyle="1" w:styleId="NormalBold">
    <w:name w:val="NormalBold"/>
    <w:basedOn w:val="Normal"/>
    <w:rsid w:val="00435E35"/>
    <w:rPr>
      <w:b/>
    </w:rPr>
  </w:style>
  <w:style w:type="paragraph" w:customStyle="1" w:styleId="NormalHanging12a">
    <w:name w:val="NormalHanging12a"/>
    <w:basedOn w:val="Normal"/>
    <w:link w:val="NormalHanging12aChar"/>
    <w:rsid w:val="00435E35"/>
    <w:pPr>
      <w:spacing w:after="240"/>
      <w:ind w:left="567" w:hanging="567"/>
    </w:pPr>
  </w:style>
  <w:style w:type="paragraph" w:customStyle="1" w:styleId="NormalCenter12a">
    <w:name w:val="NormalCenter12a"/>
    <w:basedOn w:val="Normal"/>
    <w:rsid w:val="00435E35"/>
    <w:pPr>
      <w:spacing w:after="240"/>
      <w:jc w:val="center"/>
    </w:pPr>
  </w:style>
  <w:style w:type="paragraph" w:styleId="Header">
    <w:name w:val="header"/>
    <w:basedOn w:val="Normal"/>
    <w:link w:val="HeaderChar"/>
    <w:rsid w:val="00435E35"/>
    <w:pPr>
      <w:tabs>
        <w:tab w:val="center" w:pos="4513"/>
        <w:tab w:val="right" w:pos="9026"/>
      </w:tabs>
    </w:pPr>
  </w:style>
  <w:style w:type="character" w:customStyle="1" w:styleId="HeaderChar">
    <w:name w:val="Header Char"/>
    <w:basedOn w:val="DefaultParagraphFont"/>
    <w:link w:val="Header"/>
    <w:rsid w:val="00435E35"/>
    <w:rPr>
      <w:sz w:val="24"/>
      <w:lang w:val="sv-SE"/>
    </w:rPr>
  </w:style>
  <w:style w:type="paragraph" w:customStyle="1" w:styleId="EPFooter">
    <w:name w:val="EPFooter"/>
    <w:basedOn w:val="Normal"/>
    <w:rsid w:val="00435E35"/>
    <w:pPr>
      <w:tabs>
        <w:tab w:val="center" w:pos="4535"/>
        <w:tab w:val="right" w:pos="9071"/>
      </w:tabs>
      <w:spacing w:before="240" w:after="240"/>
    </w:pPr>
    <w:rPr>
      <w:color w:val="010000"/>
      <w:sz w:val="22"/>
    </w:rPr>
  </w:style>
  <w:style w:type="paragraph" w:styleId="ListParagraph">
    <w:name w:val="List Paragraph"/>
    <w:basedOn w:val="Normal"/>
    <w:uiPriority w:val="34"/>
    <w:qFormat/>
    <w:rsid w:val="00435E3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435E35"/>
    <w:rPr>
      <w:sz w:val="24"/>
      <w:lang w:val="sv-SE"/>
    </w:rPr>
  </w:style>
  <w:style w:type="paragraph" w:styleId="BalloonText">
    <w:name w:val="Balloon Text"/>
    <w:basedOn w:val="Normal"/>
    <w:link w:val="BalloonTextChar"/>
    <w:rsid w:val="00E12166"/>
    <w:rPr>
      <w:rFonts w:ascii="Segoe UI" w:hAnsi="Segoe UI" w:cs="Segoe UI"/>
      <w:sz w:val="18"/>
      <w:szCs w:val="18"/>
    </w:rPr>
  </w:style>
  <w:style w:type="character" w:customStyle="1" w:styleId="BalloonTextChar">
    <w:name w:val="Balloon Text Char"/>
    <w:basedOn w:val="DefaultParagraphFont"/>
    <w:link w:val="BalloonText"/>
    <w:rsid w:val="00E12166"/>
    <w:rPr>
      <w:rFonts w:ascii="Segoe UI" w:hAnsi="Segoe UI" w:cs="Segoe UI"/>
      <w:sz w:val="18"/>
      <w:szCs w:val="18"/>
      <w:lang w:val="sv-SE"/>
    </w:rPr>
  </w:style>
  <w:style w:type="paragraph" w:styleId="Footer">
    <w:name w:val="footer"/>
    <w:basedOn w:val="Normal"/>
    <w:link w:val="FooterChar"/>
    <w:rsid w:val="00E3046F"/>
    <w:pPr>
      <w:tabs>
        <w:tab w:val="center" w:pos="4513"/>
        <w:tab w:val="right" w:pos="9026"/>
      </w:tabs>
    </w:pPr>
  </w:style>
  <w:style w:type="character" w:customStyle="1" w:styleId="FooterChar">
    <w:name w:val="Footer Char"/>
    <w:basedOn w:val="DefaultParagraphFont"/>
    <w:link w:val="Footer"/>
    <w:rsid w:val="00E3046F"/>
    <w:rPr>
      <w:sz w:val="24"/>
      <w:lang w:val="sv-SE"/>
    </w:rPr>
  </w:style>
  <w:style w:type="character" w:styleId="CommentReference">
    <w:name w:val="annotation reference"/>
    <w:basedOn w:val="DefaultParagraphFont"/>
    <w:rsid w:val="001F5B3A"/>
    <w:rPr>
      <w:sz w:val="16"/>
      <w:szCs w:val="16"/>
    </w:rPr>
  </w:style>
  <w:style w:type="paragraph" w:styleId="CommentText">
    <w:name w:val="annotation text"/>
    <w:basedOn w:val="Normal"/>
    <w:link w:val="CommentTextChar"/>
    <w:rsid w:val="001F5B3A"/>
    <w:rPr>
      <w:sz w:val="20"/>
    </w:rPr>
  </w:style>
  <w:style w:type="character" w:customStyle="1" w:styleId="CommentTextChar">
    <w:name w:val="Comment Text Char"/>
    <w:basedOn w:val="DefaultParagraphFont"/>
    <w:link w:val="CommentText"/>
    <w:rsid w:val="001F5B3A"/>
    <w:rPr>
      <w:lang w:val="sv-SE"/>
    </w:rPr>
  </w:style>
  <w:style w:type="paragraph" w:styleId="CommentSubject">
    <w:name w:val="annotation subject"/>
    <w:basedOn w:val="CommentText"/>
    <w:next w:val="CommentText"/>
    <w:link w:val="CommentSubjectChar"/>
    <w:rsid w:val="001F5B3A"/>
    <w:rPr>
      <w:b/>
      <w:bCs/>
    </w:rPr>
  </w:style>
  <w:style w:type="character" w:customStyle="1" w:styleId="CommentSubjectChar">
    <w:name w:val="Comment Subject Char"/>
    <w:basedOn w:val="CommentTextChar"/>
    <w:link w:val="CommentSubject"/>
    <w:rsid w:val="001F5B3A"/>
    <w:rPr>
      <w:b/>
      <w:bCs/>
      <w:lang w:val="sv-SE"/>
    </w:rPr>
  </w:style>
  <w:style w:type="paragraph" w:styleId="Revision">
    <w:name w:val="Revision"/>
    <w:hidden/>
    <w:uiPriority w:val="99"/>
    <w:semiHidden/>
    <w:rsid w:val="0098429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8EF2-EA9B-4D53-9E40-5317D3B9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4150</Words>
  <Characters>27124</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2024-05-17T08:29:00Z</dcterms:created>
  <dcterms:modified xsi:type="dcterms:W3CDTF">2024-05-17T08:29:00Z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P9_TA(2024)0254_</vt:lpwstr>
  </property>
  <property fmtid="{D5CDD505-2E9C-101B-9397-08002B2CF9AE}" pid="4" name="&lt;Type&gt;">
    <vt:lpwstr>RR</vt:lpwstr>
  </property>
</Properties>
</file>