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0A13" w14:paraId="05DF23CA" w14:textId="77777777" w:rsidTr="0010095E">
        <w:trPr>
          <w:trHeight w:hRule="exact" w:val="1418"/>
        </w:trPr>
        <w:tc>
          <w:tcPr>
            <w:tcW w:w="6804" w:type="dxa"/>
            <w:shd w:val="clear" w:color="auto" w:fill="auto"/>
            <w:vAlign w:val="center"/>
          </w:tcPr>
          <w:p w14:paraId="34DD621C" w14:textId="77777777" w:rsidR="00751A4A" w:rsidRPr="00140A13" w:rsidRDefault="008D469E" w:rsidP="0010095E">
            <w:pPr>
              <w:pStyle w:val="EPName"/>
            </w:pPr>
            <w:r w:rsidRPr="00140A13">
              <w:t>Europa-Parlamentet</w:t>
            </w:r>
          </w:p>
          <w:p w14:paraId="2C09A85F" w14:textId="77777777" w:rsidR="00751A4A" w:rsidRPr="00140A13" w:rsidRDefault="00817416" w:rsidP="00756632">
            <w:pPr>
              <w:pStyle w:val="EPTerm"/>
              <w:rPr>
                <w:rStyle w:val="HideTWBExt"/>
                <w:noProof w:val="0"/>
                <w:vanish w:val="0"/>
                <w:color w:val="auto"/>
              </w:rPr>
            </w:pPr>
            <w:r w:rsidRPr="00140A13">
              <w:t>2019-2024</w:t>
            </w:r>
          </w:p>
        </w:tc>
        <w:tc>
          <w:tcPr>
            <w:tcW w:w="2268" w:type="dxa"/>
            <w:shd w:val="clear" w:color="auto" w:fill="auto"/>
          </w:tcPr>
          <w:p w14:paraId="098D1EB1" w14:textId="77777777" w:rsidR="00751A4A" w:rsidRPr="00140A13" w:rsidRDefault="00187494" w:rsidP="0010095E">
            <w:pPr>
              <w:pStyle w:val="EPLogo"/>
            </w:pPr>
            <w:r w:rsidRPr="00140A13">
              <w:rPr>
                <w:noProof/>
                <w:lang w:val="en-GB"/>
              </w:rPr>
              <w:drawing>
                <wp:inline distT="0" distB="0" distL="0" distR="0" wp14:anchorId="027FCEEF" wp14:editId="7C324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6CB00B" w14:textId="77777777" w:rsidR="00D058B8" w:rsidRPr="00140A13" w:rsidRDefault="00D058B8" w:rsidP="004C5D52">
      <w:pPr>
        <w:pStyle w:val="LineTop"/>
      </w:pPr>
    </w:p>
    <w:p w14:paraId="50AA8C45" w14:textId="77777777" w:rsidR="00680577" w:rsidRPr="00140A13" w:rsidRDefault="008D469E" w:rsidP="00680577">
      <w:pPr>
        <w:pStyle w:val="EPBodyTA1"/>
      </w:pPr>
      <w:r w:rsidRPr="00140A13">
        <w:t>VEDTAGNE TEKSTER</w:t>
      </w:r>
    </w:p>
    <w:p w14:paraId="39D4155F" w14:textId="77777777" w:rsidR="00D058B8" w:rsidRPr="00140A13" w:rsidRDefault="00D058B8" w:rsidP="00D058B8">
      <w:pPr>
        <w:pStyle w:val="LineBottom"/>
      </w:pPr>
    </w:p>
    <w:p w14:paraId="1844C358" w14:textId="6B9D1818" w:rsidR="008D469E" w:rsidRPr="00140A13" w:rsidRDefault="008D469E" w:rsidP="008D469E">
      <w:pPr>
        <w:pStyle w:val="ATHeading1"/>
      </w:pPr>
      <w:bookmarkStart w:id="0" w:name="TANumber"/>
      <w:r w:rsidRPr="00140A13">
        <w:t>P9_</w:t>
      </w:r>
      <w:proofErr w:type="gramStart"/>
      <w:r w:rsidRPr="00140A13">
        <w:t>TA(</w:t>
      </w:r>
      <w:proofErr w:type="gramEnd"/>
      <w:r w:rsidRPr="00140A13">
        <w:t>2024)0</w:t>
      </w:r>
      <w:r w:rsidR="00741060">
        <w:t>255</w:t>
      </w:r>
      <w:bookmarkEnd w:id="0"/>
    </w:p>
    <w:p w14:paraId="2106B4AD" w14:textId="77777777" w:rsidR="008D469E" w:rsidRPr="00140A13" w:rsidRDefault="008D469E" w:rsidP="008D469E">
      <w:pPr>
        <w:pStyle w:val="ATHeading2"/>
      </w:pPr>
      <w:bookmarkStart w:id="1" w:name="title"/>
      <w:r w:rsidRPr="00140A13">
        <w:t>Decharge 2022: Det Europæiske Agentur for Grænse- og Kystbevogtning</w:t>
      </w:r>
      <w:bookmarkEnd w:id="1"/>
    </w:p>
    <w:p w14:paraId="194E230C" w14:textId="77777777" w:rsidR="008D469E" w:rsidRPr="00140A13" w:rsidRDefault="008D469E" w:rsidP="008D469E">
      <w:pPr>
        <w:rPr>
          <w:i/>
          <w:vanish/>
        </w:rPr>
      </w:pPr>
      <w:r w:rsidRPr="00140A13">
        <w:rPr>
          <w:i/>
        </w:rPr>
        <w:fldChar w:fldCharType="begin"/>
      </w:r>
      <w:r w:rsidRPr="00140A13">
        <w:rPr>
          <w:i/>
        </w:rPr>
        <w:instrText xml:space="preserve"> TC"(</w:instrText>
      </w:r>
      <w:bookmarkStart w:id="2" w:name="DocNumber"/>
      <w:r w:rsidRPr="00140A13">
        <w:rPr>
          <w:i/>
        </w:rPr>
        <w:instrText>A9-0113/2024</w:instrText>
      </w:r>
      <w:bookmarkEnd w:id="2"/>
      <w:r w:rsidRPr="00140A13">
        <w:rPr>
          <w:i/>
        </w:rPr>
        <w:instrText xml:space="preserve"> - Ordfører: Petri Sarvamaa)"\l3 \n&gt; \* MERGEFORMAT </w:instrText>
      </w:r>
      <w:r w:rsidRPr="00140A13">
        <w:rPr>
          <w:i/>
        </w:rPr>
        <w:fldChar w:fldCharType="end"/>
      </w:r>
    </w:p>
    <w:p w14:paraId="65A340CC" w14:textId="77777777" w:rsidR="008D469E" w:rsidRPr="00140A13" w:rsidRDefault="008D469E" w:rsidP="008D469E">
      <w:pPr>
        <w:rPr>
          <w:vanish/>
        </w:rPr>
      </w:pPr>
      <w:bookmarkStart w:id="3" w:name="Commission"/>
      <w:r w:rsidRPr="00140A13">
        <w:rPr>
          <w:vanish/>
        </w:rPr>
        <w:t>Budgetkontroludvalget</w:t>
      </w:r>
      <w:bookmarkEnd w:id="3"/>
    </w:p>
    <w:p w14:paraId="42F9D037" w14:textId="77777777" w:rsidR="008D469E" w:rsidRPr="00140A13" w:rsidRDefault="008D469E" w:rsidP="008D469E">
      <w:pPr>
        <w:rPr>
          <w:vanish/>
        </w:rPr>
      </w:pPr>
      <w:bookmarkStart w:id="4" w:name="PE"/>
      <w:r w:rsidRPr="00140A13">
        <w:rPr>
          <w:vanish/>
        </w:rPr>
        <w:t>PE753.543</w:t>
      </w:r>
      <w:bookmarkEnd w:id="4"/>
    </w:p>
    <w:p w14:paraId="04B59C5C" w14:textId="77777777" w:rsidR="008D469E" w:rsidRPr="00140A13" w:rsidRDefault="008D469E" w:rsidP="008D469E">
      <w:pPr>
        <w:pStyle w:val="ATHeading3"/>
      </w:pPr>
      <w:bookmarkStart w:id="5" w:name="Sujet"/>
      <w:r w:rsidRPr="00140A13">
        <w:t>1. Europa-Parlamentets afgørelse af 11. april 2024 om decharge for gennemførelsen af budgettet for Det Europæiske Agentur for Grænse- og Kystbevogtning for regnskabsåret 2022</w:t>
      </w:r>
      <w:bookmarkEnd w:id="5"/>
      <w:r w:rsidRPr="00140A13">
        <w:t xml:space="preserve"> </w:t>
      </w:r>
      <w:bookmarkStart w:id="6" w:name="References"/>
      <w:r w:rsidRPr="00140A13">
        <w:t>(2023/2172(DEC))</w:t>
      </w:r>
      <w:bookmarkEnd w:id="6"/>
    </w:p>
    <w:p w14:paraId="463C28BF" w14:textId="77777777" w:rsidR="00430D25" w:rsidRPr="00140A13" w:rsidRDefault="00430D25" w:rsidP="00430D25">
      <w:pPr>
        <w:pStyle w:val="EPComma"/>
      </w:pPr>
      <w:bookmarkStart w:id="7" w:name="TextBodyBegin"/>
      <w:bookmarkEnd w:id="7"/>
      <w:r w:rsidRPr="00140A13">
        <w:rPr>
          <w:i/>
          <w:iCs/>
        </w:rPr>
        <w:t>Europa-Parlamentet</w:t>
      </w:r>
      <w:r w:rsidRPr="00140A13">
        <w:t>,</w:t>
      </w:r>
    </w:p>
    <w:p w14:paraId="0CF4117D" w14:textId="77777777" w:rsidR="00430D25" w:rsidRPr="00140A13" w:rsidRDefault="00430D25" w:rsidP="00430D25">
      <w:pPr>
        <w:pStyle w:val="NormalHanging12a"/>
      </w:pPr>
      <w:r w:rsidRPr="00140A13">
        <w:t>–</w:t>
      </w:r>
      <w:r w:rsidRPr="00140A13">
        <w:tab/>
        <w:t>der henviser til det endelige årsregnskab for Det Europæiske Agentur for Grænse- og Kystbevogtning for regnskabsåret 2022,</w:t>
      </w:r>
    </w:p>
    <w:p w14:paraId="0A4FA3AF" w14:textId="77777777" w:rsidR="00430D25" w:rsidRPr="00140A13" w:rsidRDefault="00430D25" w:rsidP="00430D25">
      <w:pPr>
        <w:pStyle w:val="NormalHanging12a"/>
      </w:pPr>
      <w:r w:rsidRPr="00140A13">
        <w:t>–</w:t>
      </w:r>
      <w:r w:rsidRPr="00140A13">
        <w:tab/>
        <w:t>der henviser til Revisionsrettens årsberetning om EU-agenturerne for regnskabsåret 2022, med agenturernes svar</w:t>
      </w:r>
      <w:r w:rsidRPr="00140A13">
        <w:rPr>
          <w:rStyle w:val="FootnoteReference"/>
        </w:rPr>
        <w:footnoteReference w:id="1"/>
      </w:r>
      <w:r w:rsidRPr="00140A13">
        <w:t>,</w:t>
      </w:r>
    </w:p>
    <w:p w14:paraId="2C4717B0" w14:textId="77777777" w:rsidR="00430D25" w:rsidRPr="00140A13" w:rsidRDefault="00430D25" w:rsidP="00430D25">
      <w:pPr>
        <w:pStyle w:val="NormalHanging12a"/>
      </w:pPr>
      <w:r w:rsidRPr="00140A13">
        <w:t>–</w:t>
      </w:r>
      <w:r w:rsidRPr="00140A13">
        <w:tab/>
        <w:t>der henviser til Revisionsrettens erklæring for regnskabsåret 2022 om regnskabernes rigtighed</w:t>
      </w:r>
      <w:r w:rsidRPr="00140A13">
        <w:rPr>
          <w:rStyle w:val="FootnoteReference"/>
        </w:rPr>
        <w:footnoteReference w:id="2"/>
      </w:r>
      <w:r w:rsidRPr="00140A13">
        <w:t xml:space="preserve"> og de underliggende transaktioners lovlighed og formelle rigtighed, jf. artikel 287 i traktaten om Den Europæiske Unions funktionsmåde,</w:t>
      </w:r>
    </w:p>
    <w:p w14:paraId="3E648DBC" w14:textId="40A95A2A" w:rsidR="00430D25" w:rsidRPr="00140A13" w:rsidRDefault="00430D25" w:rsidP="00430D25">
      <w:pPr>
        <w:pStyle w:val="NormalHanging12a"/>
      </w:pPr>
      <w:r w:rsidRPr="00140A13">
        <w:t>–</w:t>
      </w:r>
      <w:r w:rsidRPr="00140A13">
        <w:tab/>
        <w:t>der henviser til Rådets henstilling af den 22. februar 2024 om decharge til agenturet for gennemførelsen af budgettet for regnskabsåret 2022 (0</w:t>
      </w:r>
      <w:r w:rsidR="00680DB8" w:rsidRPr="00140A13">
        <w:t>6180</w:t>
      </w:r>
      <w:r w:rsidRPr="00140A13">
        <w:t>/2024 – C9</w:t>
      </w:r>
      <w:r w:rsidRPr="00140A13">
        <w:noBreakHyphen/>
        <w:t>0</w:t>
      </w:r>
      <w:r w:rsidR="00680DB8" w:rsidRPr="00140A13">
        <w:t>110</w:t>
      </w:r>
      <w:r w:rsidRPr="00140A13">
        <w:t>/2024),</w:t>
      </w:r>
    </w:p>
    <w:p w14:paraId="329E341F" w14:textId="77777777" w:rsidR="00430D25" w:rsidRPr="00140A13" w:rsidRDefault="00430D25" w:rsidP="00430D25">
      <w:pPr>
        <w:pStyle w:val="NormalHanging12a"/>
      </w:pPr>
      <w:r w:rsidRPr="00140A13">
        <w:t>–</w:t>
      </w:r>
      <w:r w:rsidRPr="00140A13">
        <w:tab/>
        <w:t>der henviser til artikel 319 i traktaten om Den Europæiske Unions funktionsmåde,</w:t>
      </w:r>
    </w:p>
    <w:p w14:paraId="7A426665" w14:textId="77777777" w:rsidR="00430D25" w:rsidRPr="00140A13" w:rsidRDefault="00430D25" w:rsidP="00430D25">
      <w:pPr>
        <w:pStyle w:val="NormalHanging12a"/>
      </w:pPr>
      <w:r w:rsidRPr="00140A13">
        <w:t>–</w:t>
      </w:r>
      <w:r w:rsidRPr="00140A13">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140A13">
        <w:rPr>
          <w:rStyle w:val="FootnoteReference"/>
        </w:rPr>
        <w:footnoteReference w:id="3"/>
      </w:r>
      <w:r w:rsidRPr="00140A13">
        <w:t>, særlig artikel 70,</w:t>
      </w:r>
    </w:p>
    <w:p w14:paraId="605F286D" w14:textId="77777777" w:rsidR="00430D25" w:rsidRPr="00140A13" w:rsidRDefault="00430D25" w:rsidP="00430D25">
      <w:pPr>
        <w:pStyle w:val="NormalHanging12a"/>
      </w:pPr>
      <w:r w:rsidRPr="00140A13">
        <w:t>–</w:t>
      </w:r>
      <w:r w:rsidRPr="00140A13">
        <w:tab/>
        <w:t xml:space="preserve">der henviser til Europa-Parlamentets og Rådets forordning (EU) 2019/1896 af 13. november 2019 om den europæiske grænse- og kystvagt og om ophævelse af </w:t>
      </w:r>
      <w:r w:rsidRPr="00140A13">
        <w:lastRenderedPageBreak/>
        <w:t>forordning (EU) nr. 1052/2013 og (EU) 2016/1624</w:t>
      </w:r>
      <w:r w:rsidRPr="00140A13">
        <w:rPr>
          <w:rStyle w:val="FootnoteReference"/>
        </w:rPr>
        <w:footnoteReference w:id="4"/>
      </w:r>
      <w:r w:rsidRPr="00140A13">
        <w:t>, særlig artikel 116,</w:t>
      </w:r>
    </w:p>
    <w:p w14:paraId="3D9EC1A1" w14:textId="77777777" w:rsidR="00430D25" w:rsidRPr="00140A13" w:rsidRDefault="00430D25" w:rsidP="00430D25">
      <w:pPr>
        <w:pStyle w:val="NormalHanging12a"/>
      </w:pPr>
      <w:r w:rsidRPr="00140A13">
        <w:t>–</w:t>
      </w:r>
      <w:r w:rsidRPr="00140A13">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140A13">
        <w:rPr>
          <w:rStyle w:val="FootnoteReference"/>
        </w:rPr>
        <w:footnoteReference w:id="5"/>
      </w:r>
      <w:r w:rsidRPr="00140A13">
        <w:t>, særlig artikel 105,</w:t>
      </w:r>
    </w:p>
    <w:p w14:paraId="0E7703C6" w14:textId="77777777" w:rsidR="00430D25" w:rsidRPr="00140A13" w:rsidRDefault="00430D25" w:rsidP="00430D25">
      <w:pPr>
        <w:pStyle w:val="NormalHanging12a"/>
      </w:pPr>
      <w:r w:rsidRPr="00140A13">
        <w:t>–</w:t>
      </w:r>
      <w:r w:rsidRPr="00140A13">
        <w:tab/>
        <w:t>der henviser til forretningsordenens artikel 100 og bilag V,</w:t>
      </w:r>
    </w:p>
    <w:p w14:paraId="06D884F2" w14:textId="77777777" w:rsidR="00430D25" w:rsidRPr="00140A13" w:rsidRDefault="00430D25" w:rsidP="00430D25">
      <w:pPr>
        <w:pStyle w:val="NormalHanging12a"/>
      </w:pPr>
      <w:r w:rsidRPr="00140A13">
        <w:t>–</w:t>
      </w:r>
      <w:r w:rsidRPr="00140A13">
        <w:tab/>
        <w:t>der henviser til udtalelse fra Udvalget om Borgernes Rettigheder og Retlige og Indre Anliggender,</w:t>
      </w:r>
    </w:p>
    <w:p w14:paraId="3B70EC5D" w14:textId="77777777" w:rsidR="00430D25" w:rsidRPr="00140A13" w:rsidRDefault="00430D25" w:rsidP="00430D25">
      <w:pPr>
        <w:pStyle w:val="NormalHanging12a"/>
      </w:pPr>
      <w:r w:rsidRPr="00140A13">
        <w:t>–</w:t>
      </w:r>
      <w:r w:rsidRPr="00140A13">
        <w:tab/>
        <w:t>der henviser til betænkning fra Budgetkontroludvalget (A9-0113/2024),</w:t>
      </w:r>
    </w:p>
    <w:p w14:paraId="76288B51" w14:textId="77777777" w:rsidR="00430D25" w:rsidRPr="00140A13" w:rsidRDefault="00430D25" w:rsidP="00430D25">
      <w:pPr>
        <w:pStyle w:val="NormalHanging12a"/>
      </w:pPr>
      <w:r w:rsidRPr="00140A13">
        <w:t>1.</w:t>
      </w:r>
      <w:r w:rsidRPr="00140A13">
        <w:tab/>
        <w:t>meddeler den administrerende direktør for Det Europæiske Agentur for Grænse- og Kystbevogtning decharge for gennemførelsen af agenturets budget for regnskabsåret 2022;</w:t>
      </w:r>
    </w:p>
    <w:p w14:paraId="0C7592F9" w14:textId="77777777" w:rsidR="00430D25" w:rsidRPr="00140A13" w:rsidRDefault="00430D25" w:rsidP="00430D25">
      <w:pPr>
        <w:pStyle w:val="NormalHanging12a"/>
      </w:pPr>
      <w:r w:rsidRPr="00140A13">
        <w:t>2.</w:t>
      </w:r>
      <w:r w:rsidRPr="00140A13">
        <w:tab/>
        <w:t>fremsætter sine bemærkninger i nedenstående beslutning;</w:t>
      </w:r>
    </w:p>
    <w:p w14:paraId="15940758" w14:textId="77777777" w:rsidR="00430D25" w:rsidRPr="00140A13" w:rsidRDefault="00430D25" w:rsidP="00430D25">
      <w:pPr>
        <w:pStyle w:val="NormalHanging12a"/>
      </w:pPr>
      <w:r w:rsidRPr="00140A13">
        <w:t>3.</w:t>
      </w:r>
      <w:r w:rsidRPr="00140A13">
        <w:tab/>
        <w:t xml:space="preserve">pålægger sin formand at sende denne afgørelse og beslutningen, der er en integrerende del heraf, til den administrerende direktør for Det Europæiske Agentur for Grænse- og Kystbevogtning, Rådet, Kommissionen og Revisionsretten og drage omsorg for, at de offentliggøres i </w:t>
      </w:r>
      <w:r w:rsidRPr="00140A13">
        <w:rPr>
          <w:i/>
          <w:iCs/>
        </w:rPr>
        <w:t>Den Europæiske Unions Tidende</w:t>
      </w:r>
      <w:r w:rsidRPr="00140A13">
        <w:t xml:space="preserve"> (L-udgaven).</w:t>
      </w:r>
    </w:p>
    <w:p w14:paraId="6AEA66E0" w14:textId="77777777" w:rsidR="00430D25" w:rsidRPr="00140A13" w:rsidRDefault="00430D25" w:rsidP="00430D25"/>
    <w:p w14:paraId="3D798A26" w14:textId="77777777" w:rsidR="00430D25" w:rsidRPr="00140A13" w:rsidRDefault="00430D25" w:rsidP="00430D25">
      <w:pPr>
        <w:widowControl/>
        <w:rPr>
          <w:rFonts w:ascii="Arial" w:hAnsi="Arial" w:cs="Arial"/>
          <w:b/>
        </w:rPr>
        <w:sectPr w:rsidR="00430D25" w:rsidRPr="00140A13" w:rsidSect="002C5FC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7AB5A77F" w14:textId="77777777" w:rsidR="00430D25" w:rsidRPr="00140A13" w:rsidRDefault="00430D25" w:rsidP="005E2A0B">
      <w:pPr>
        <w:pStyle w:val="ATHeading3"/>
      </w:pPr>
      <w:bookmarkStart w:id="8" w:name="_Toc146795878"/>
      <w:bookmarkStart w:id="9" w:name="_Toc161223199"/>
      <w:bookmarkStart w:id="10" w:name="_Toc161828941"/>
      <w:r w:rsidRPr="00140A13">
        <w:t xml:space="preserve">2. </w:t>
      </w:r>
      <w:r w:rsidR="005E2A0B" w:rsidRPr="00140A13">
        <w:t>Europa-Parlamentets afgørelse</w:t>
      </w:r>
      <w:bookmarkEnd w:id="8"/>
      <w:bookmarkEnd w:id="9"/>
      <w:bookmarkEnd w:id="10"/>
      <w:r w:rsidR="005E2A0B" w:rsidRPr="00140A13">
        <w:t xml:space="preserve"> af 11. april 2024 </w:t>
      </w:r>
      <w:r w:rsidRPr="00140A13">
        <w:t>om afslutningen af regnskaberne for Det Europæiske Agentur for Grænse- og Kystbevogtning for regnskabsåret 2022</w:t>
      </w:r>
      <w:r w:rsidR="005E2A0B" w:rsidRPr="00140A13">
        <w:t xml:space="preserve"> </w:t>
      </w:r>
      <w:r w:rsidRPr="00140A13">
        <w:t>(2023/2172(DEC))</w:t>
      </w:r>
    </w:p>
    <w:p w14:paraId="25E7AF38" w14:textId="77777777" w:rsidR="00430D25" w:rsidRPr="00140A13" w:rsidRDefault="00430D25" w:rsidP="00430D25">
      <w:pPr>
        <w:pStyle w:val="EPComma"/>
      </w:pPr>
      <w:r w:rsidRPr="00140A13">
        <w:rPr>
          <w:i/>
          <w:iCs/>
        </w:rPr>
        <w:t>Europa-Parlamentet</w:t>
      </w:r>
      <w:r w:rsidRPr="00140A13">
        <w:t>,</w:t>
      </w:r>
    </w:p>
    <w:p w14:paraId="4439C964" w14:textId="77777777" w:rsidR="00430D25" w:rsidRPr="00140A13" w:rsidRDefault="00430D25" w:rsidP="00430D25">
      <w:pPr>
        <w:pStyle w:val="NormalHanging12a"/>
      </w:pPr>
      <w:r w:rsidRPr="00140A13">
        <w:t>–</w:t>
      </w:r>
      <w:r w:rsidRPr="00140A13">
        <w:tab/>
        <w:t>der henviser til det endelige årsregnskab for Det Europæiske Agentur for Grænse- og Kystbevogtning for regnskabsåret 2022,</w:t>
      </w:r>
    </w:p>
    <w:p w14:paraId="77EFD731" w14:textId="77777777" w:rsidR="00430D25" w:rsidRPr="00140A13" w:rsidRDefault="00430D25" w:rsidP="00430D25">
      <w:pPr>
        <w:pStyle w:val="NormalHanging12a"/>
      </w:pPr>
      <w:r w:rsidRPr="00140A13">
        <w:t>–</w:t>
      </w:r>
      <w:r w:rsidRPr="00140A13">
        <w:tab/>
        <w:t>der henviser til Revisionsrettens årsberetning om EU-agenturerne for regnskabsåret 2022, med agenturernes svar</w:t>
      </w:r>
      <w:r w:rsidRPr="00140A13">
        <w:rPr>
          <w:rStyle w:val="FootnoteReference"/>
        </w:rPr>
        <w:footnoteReference w:id="6"/>
      </w:r>
      <w:r w:rsidRPr="00140A13">
        <w:t>,</w:t>
      </w:r>
    </w:p>
    <w:p w14:paraId="471F7926" w14:textId="77777777" w:rsidR="00430D25" w:rsidRPr="00140A13" w:rsidRDefault="00430D25" w:rsidP="00430D25">
      <w:pPr>
        <w:pStyle w:val="NormalHanging12a"/>
      </w:pPr>
      <w:r w:rsidRPr="00140A13">
        <w:t>–</w:t>
      </w:r>
      <w:r w:rsidRPr="00140A13">
        <w:tab/>
        <w:t>der henviser til Revisionsrettens erklæring for regnskabsåret 2022 om regnskabernes rigtighed</w:t>
      </w:r>
      <w:r w:rsidRPr="00140A13">
        <w:rPr>
          <w:rStyle w:val="FootnoteReference"/>
        </w:rPr>
        <w:footnoteReference w:id="7"/>
      </w:r>
      <w:r w:rsidRPr="00140A13">
        <w:t xml:space="preserve"> og de underliggende transaktioners lovlighed og formelle rigtighed, jf. artikel 287 i traktaten om Den Europæiske Unions funktionsmåde,</w:t>
      </w:r>
    </w:p>
    <w:p w14:paraId="1D777482" w14:textId="656071F8" w:rsidR="00430D25" w:rsidRPr="00140A13" w:rsidRDefault="00430D25" w:rsidP="00430D25">
      <w:pPr>
        <w:pStyle w:val="NormalHanging12a"/>
      </w:pPr>
      <w:r w:rsidRPr="00140A13">
        <w:t>–</w:t>
      </w:r>
      <w:r w:rsidRPr="00140A13">
        <w:tab/>
        <w:t>der henviser til Rådets henstilling af den 22. februar 2024 om decharge til agenturet for gennemførelsen af budgettet for regnskabsåret 2022 (0</w:t>
      </w:r>
      <w:r w:rsidR="00680DB8" w:rsidRPr="00140A13">
        <w:t>6180</w:t>
      </w:r>
      <w:r w:rsidRPr="00140A13">
        <w:t>/2024 – C9</w:t>
      </w:r>
      <w:r w:rsidRPr="00140A13">
        <w:noBreakHyphen/>
        <w:t>0</w:t>
      </w:r>
      <w:r w:rsidR="00680DB8" w:rsidRPr="00140A13">
        <w:t>110</w:t>
      </w:r>
      <w:r w:rsidRPr="00140A13">
        <w:t>/2024),</w:t>
      </w:r>
    </w:p>
    <w:p w14:paraId="0ABD6091" w14:textId="77777777" w:rsidR="00430D25" w:rsidRPr="00140A13" w:rsidRDefault="00430D25" w:rsidP="00430D25">
      <w:pPr>
        <w:pStyle w:val="NormalHanging12a"/>
      </w:pPr>
      <w:r w:rsidRPr="00140A13">
        <w:t>–</w:t>
      </w:r>
      <w:r w:rsidRPr="00140A13">
        <w:tab/>
        <w:t>der henviser til artikel 319 i traktaten om Den Europæiske Unions funktionsmåde,</w:t>
      </w:r>
    </w:p>
    <w:p w14:paraId="1E2E5D24" w14:textId="77777777" w:rsidR="00430D25" w:rsidRPr="00140A13" w:rsidRDefault="00430D25" w:rsidP="00430D25">
      <w:pPr>
        <w:pStyle w:val="NormalHanging12a"/>
      </w:pPr>
      <w:r w:rsidRPr="00140A13">
        <w:t>–</w:t>
      </w:r>
      <w:r w:rsidRPr="00140A13">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140A13">
        <w:rPr>
          <w:rStyle w:val="FootnoteReference"/>
        </w:rPr>
        <w:footnoteReference w:id="8"/>
      </w:r>
      <w:r w:rsidRPr="00140A13">
        <w:t>, særlig artikel 70,</w:t>
      </w:r>
    </w:p>
    <w:p w14:paraId="73B7E5F9" w14:textId="77777777" w:rsidR="00430D25" w:rsidRPr="00140A13" w:rsidRDefault="00430D25" w:rsidP="00430D25">
      <w:pPr>
        <w:pStyle w:val="NormalHanging12a"/>
      </w:pPr>
      <w:r w:rsidRPr="00140A13">
        <w:t>–</w:t>
      </w:r>
      <w:r w:rsidRPr="00140A13">
        <w:tab/>
        <w:t>der henviser til Europa-Parlamentets og Rådets forordning (EU) 2019/1896 af 13. november 2019 om den europæiske grænse- og kystvagt og om ophævelse af forordning (EU) nr. 1052/2013 og (EU) 2016/1624</w:t>
      </w:r>
      <w:r w:rsidRPr="00140A13">
        <w:rPr>
          <w:rStyle w:val="FootnoteReference"/>
        </w:rPr>
        <w:footnoteReference w:id="9"/>
      </w:r>
      <w:r w:rsidRPr="00140A13">
        <w:t>, særlig artikel 116,</w:t>
      </w:r>
    </w:p>
    <w:p w14:paraId="70FE6EA0" w14:textId="77777777" w:rsidR="00430D25" w:rsidRPr="00140A13" w:rsidRDefault="00430D25" w:rsidP="00430D25">
      <w:pPr>
        <w:pStyle w:val="NormalHanging12a"/>
      </w:pPr>
      <w:r w:rsidRPr="00140A13">
        <w:t>–</w:t>
      </w:r>
      <w:r w:rsidRPr="00140A13">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140A13">
        <w:rPr>
          <w:rStyle w:val="FootnoteReference"/>
        </w:rPr>
        <w:footnoteReference w:id="10"/>
      </w:r>
      <w:r w:rsidRPr="00140A13">
        <w:t>, særlig artikel 105,</w:t>
      </w:r>
    </w:p>
    <w:p w14:paraId="6BE6E2FD" w14:textId="77777777" w:rsidR="00430D25" w:rsidRPr="00140A13" w:rsidRDefault="00430D25" w:rsidP="00430D25">
      <w:pPr>
        <w:pStyle w:val="NormalHanging12a"/>
      </w:pPr>
      <w:r w:rsidRPr="00140A13">
        <w:t>–</w:t>
      </w:r>
      <w:r w:rsidRPr="00140A13">
        <w:tab/>
        <w:t>der henviser til forretningsordenens artikel 100 og bilag V,</w:t>
      </w:r>
    </w:p>
    <w:p w14:paraId="139EEF49" w14:textId="77777777" w:rsidR="00430D25" w:rsidRPr="00140A13" w:rsidRDefault="00430D25" w:rsidP="00430D25">
      <w:pPr>
        <w:pStyle w:val="NormalHanging12a"/>
      </w:pPr>
      <w:r w:rsidRPr="00140A13">
        <w:t>–</w:t>
      </w:r>
      <w:r w:rsidRPr="00140A13">
        <w:tab/>
        <w:t>der henviser til udtalelse fra Udvalget om Borgernes Rettigheder og Retlige og Indre Anliggender,</w:t>
      </w:r>
    </w:p>
    <w:p w14:paraId="534E823C" w14:textId="77777777" w:rsidR="00430D25" w:rsidRPr="00140A13" w:rsidRDefault="00430D25" w:rsidP="00430D25">
      <w:pPr>
        <w:pStyle w:val="NormalHanging12a"/>
      </w:pPr>
      <w:r w:rsidRPr="00140A13">
        <w:t>–</w:t>
      </w:r>
      <w:r w:rsidRPr="00140A13">
        <w:tab/>
        <w:t>der henviser til betænkning fra Budgetkontroludvalget (A9-0113/2024),</w:t>
      </w:r>
    </w:p>
    <w:p w14:paraId="05E712EA" w14:textId="77777777" w:rsidR="00430D25" w:rsidRPr="00140A13" w:rsidRDefault="00430D25" w:rsidP="00430D25">
      <w:pPr>
        <w:pStyle w:val="NormalHanging12a"/>
      </w:pPr>
      <w:r w:rsidRPr="00140A13">
        <w:t>1.</w:t>
      </w:r>
      <w:r w:rsidRPr="00140A13">
        <w:tab/>
        <w:t>godkender afslutningen af regnskaberne for Det Europæiske Agentur for Grænse- og Kystbevogtning for regnskabsåret 2022;</w:t>
      </w:r>
    </w:p>
    <w:p w14:paraId="0CCD49B1" w14:textId="77777777" w:rsidR="00430D25" w:rsidRPr="00140A13" w:rsidRDefault="00430D25" w:rsidP="00430D25">
      <w:pPr>
        <w:pStyle w:val="NormalHanging12a"/>
      </w:pPr>
      <w:r w:rsidRPr="00140A13">
        <w:t>2.</w:t>
      </w:r>
      <w:r w:rsidRPr="00140A13">
        <w:tab/>
        <w:t xml:space="preserve">pålægger sin formand at sende denne afgørelse til den administrerende direktør for Det Europæiske Agentur for Grænse- og Kystbevogtning, Rådet, Kommissionen og Revisionsretten og drage omsorg for, at den offentliggøres i </w:t>
      </w:r>
      <w:r w:rsidRPr="00140A13">
        <w:rPr>
          <w:i/>
          <w:iCs/>
        </w:rPr>
        <w:t>Den Europæiske Unions Tidende</w:t>
      </w:r>
      <w:r w:rsidRPr="00140A13">
        <w:t xml:space="preserve"> (L-udgaven).</w:t>
      </w:r>
    </w:p>
    <w:p w14:paraId="3A90C4FF" w14:textId="77777777" w:rsidR="00430D25" w:rsidRPr="00140A13" w:rsidRDefault="00430D25" w:rsidP="00430D25"/>
    <w:p w14:paraId="5EE23F3B" w14:textId="77777777" w:rsidR="00430D25" w:rsidRPr="00140A13" w:rsidRDefault="00430D25" w:rsidP="00430D25">
      <w:pPr>
        <w:widowControl/>
        <w:rPr>
          <w:rFonts w:ascii="Arial" w:hAnsi="Arial" w:cs="Arial"/>
          <w:b/>
        </w:rPr>
        <w:sectPr w:rsidR="00430D25" w:rsidRPr="00140A13" w:rsidSect="002C5FCF">
          <w:footnotePr>
            <w:numRestart w:val="eachPage"/>
          </w:footnotePr>
          <w:endnotePr>
            <w:numFmt w:val="decimal"/>
          </w:endnotePr>
          <w:pgSz w:w="11906" w:h="16838"/>
          <w:pgMar w:top="1134" w:right="1418" w:bottom="1418" w:left="1418" w:header="567" w:footer="567" w:gutter="0"/>
          <w:cols w:space="720"/>
          <w:docGrid w:linePitch="326"/>
        </w:sectPr>
      </w:pPr>
    </w:p>
    <w:p w14:paraId="28A0970C" w14:textId="77777777" w:rsidR="00430D25" w:rsidRPr="00140A13" w:rsidRDefault="00430D25" w:rsidP="005E2A0B">
      <w:pPr>
        <w:pStyle w:val="ATHeading3"/>
      </w:pPr>
      <w:bookmarkStart w:id="11" w:name="_Toc146795879"/>
      <w:bookmarkStart w:id="12" w:name="_Toc161223200"/>
      <w:bookmarkStart w:id="13" w:name="_Toc161828942"/>
      <w:r w:rsidRPr="00140A13">
        <w:t xml:space="preserve">3. </w:t>
      </w:r>
      <w:r w:rsidR="005E2A0B" w:rsidRPr="00140A13">
        <w:t>Europa-Parlamentets beslutning</w:t>
      </w:r>
      <w:bookmarkEnd w:id="11"/>
      <w:bookmarkEnd w:id="12"/>
      <w:bookmarkEnd w:id="13"/>
      <w:r w:rsidR="005E2A0B" w:rsidRPr="00140A13">
        <w:t xml:space="preserve"> af 11. april 2024 </w:t>
      </w:r>
      <w:r w:rsidRPr="00140A13">
        <w:t>med bemærkningerne, der er en integrerende del af afgørelsen om decharge for gennemførelsen af budgettet for Det Europæiske Agentur for Grænse- og Kystbevogtning for regnskabsåret 2022</w:t>
      </w:r>
      <w:r w:rsidR="005E2A0B" w:rsidRPr="00140A13">
        <w:t xml:space="preserve"> </w:t>
      </w:r>
      <w:r w:rsidRPr="00140A13">
        <w:t>(2023/2172(DEC))</w:t>
      </w:r>
    </w:p>
    <w:p w14:paraId="33CF6E51" w14:textId="77777777" w:rsidR="00430D25" w:rsidRPr="00140A13" w:rsidRDefault="00430D25" w:rsidP="00430D25">
      <w:pPr>
        <w:pStyle w:val="EPComma"/>
      </w:pPr>
      <w:r w:rsidRPr="00140A13">
        <w:rPr>
          <w:i/>
          <w:iCs/>
        </w:rPr>
        <w:t>Europa-Parlamentet</w:t>
      </w:r>
      <w:r w:rsidRPr="00140A13">
        <w:t>,</w:t>
      </w:r>
    </w:p>
    <w:p w14:paraId="37C7F3CA" w14:textId="77777777" w:rsidR="00430D25" w:rsidRPr="00140A13" w:rsidRDefault="00430D25" w:rsidP="00430D25">
      <w:pPr>
        <w:pStyle w:val="NormalHanging12a"/>
        <w:rPr>
          <w:szCs w:val="24"/>
        </w:rPr>
      </w:pPr>
      <w:r w:rsidRPr="00140A13">
        <w:rPr>
          <w:szCs w:val="24"/>
        </w:rPr>
        <w:t>–</w:t>
      </w:r>
      <w:r w:rsidRPr="00140A13">
        <w:rPr>
          <w:szCs w:val="24"/>
        </w:rPr>
        <w:tab/>
        <w:t>der henviser til sin afgørelse om decharge for gennemførelsen af budgettet for Det Europæiske Agentur for Grænse- og Kystbevogtning for regnskabsåret 2022,</w:t>
      </w:r>
    </w:p>
    <w:p w14:paraId="0CE06879" w14:textId="77777777" w:rsidR="00430D25" w:rsidRPr="00140A13" w:rsidRDefault="00430D25" w:rsidP="00430D25">
      <w:pPr>
        <w:pStyle w:val="NormalHanging12a"/>
        <w:rPr>
          <w:szCs w:val="24"/>
        </w:rPr>
      </w:pPr>
      <w:r w:rsidRPr="00140A13">
        <w:rPr>
          <w:szCs w:val="24"/>
        </w:rPr>
        <w:t>–</w:t>
      </w:r>
      <w:r w:rsidRPr="00140A13">
        <w:rPr>
          <w:szCs w:val="24"/>
        </w:rPr>
        <w:tab/>
        <w:t>der henviser til forretningsordenens artikel 100 og bilag V,</w:t>
      </w:r>
    </w:p>
    <w:p w14:paraId="1814A680" w14:textId="77777777" w:rsidR="00430D25" w:rsidRPr="00140A13" w:rsidRDefault="00430D25" w:rsidP="00430D25">
      <w:pPr>
        <w:pStyle w:val="NormalHanging12a"/>
        <w:rPr>
          <w:szCs w:val="24"/>
        </w:rPr>
      </w:pPr>
      <w:r w:rsidRPr="00140A13">
        <w:rPr>
          <w:szCs w:val="24"/>
        </w:rPr>
        <w:t>–</w:t>
      </w:r>
      <w:r w:rsidRPr="00140A13">
        <w:rPr>
          <w:szCs w:val="24"/>
        </w:rPr>
        <w:tab/>
        <w:t>der henviser til udtalelse fra Udvalget om Borgernes Rettigheder og Retlige og Indre Anliggender,</w:t>
      </w:r>
    </w:p>
    <w:p w14:paraId="6B444D58" w14:textId="77777777" w:rsidR="00430D25" w:rsidRPr="00140A13" w:rsidRDefault="00430D25" w:rsidP="00430D25">
      <w:pPr>
        <w:pStyle w:val="NormalHanging12a"/>
        <w:rPr>
          <w:szCs w:val="24"/>
        </w:rPr>
      </w:pPr>
      <w:r w:rsidRPr="00140A13">
        <w:rPr>
          <w:szCs w:val="24"/>
        </w:rPr>
        <w:t>–</w:t>
      </w:r>
      <w:r w:rsidRPr="00140A13">
        <w:rPr>
          <w:szCs w:val="24"/>
        </w:rPr>
        <w:tab/>
        <w:t>der henviser til betænkning fra Budgetkontroludvalget (A9-0113/2024),</w:t>
      </w:r>
    </w:p>
    <w:p w14:paraId="365828CC" w14:textId="77777777" w:rsidR="00430D25" w:rsidRPr="00140A13" w:rsidRDefault="00430D25" w:rsidP="00430D25">
      <w:pPr>
        <w:pStyle w:val="Normal12Hanging"/>
        <w:rPr>
          <w:rFonts w:ascii="Times New Roman" w:hAnsi="Times New Roman" w:cs="Times New Roman"/>
          <w:lang w:val="da-DK"/>
        </w:rPr>
      </w:pPr>
      <w:r w:rsidRPr="00140A13">
        <w:rPr>
          <w:rFonts w:ascii="Times New Roman" w:hAnsi="Times New Roman" w:cs="Times New Roman"/>
          <w:lang w:val="da-DK"/>
        </w:rPr>
        <w:t>A.</w:t>
      </w:r>
      <w:r w:rsidRPr="00140A13">
        <w:rPr>
          <w:rFonts w:ascii="Times New Roman" w:hAnsi="Times New Roman" w:cs="Times New Roman"/>
          <w:lang w:val="da-DK"/>
        </w:rPr>
        <w:tab/>
        <w:t>der henviser til, at det endelige budget for Det Europæiske Agentur for Grænse- og Kystbevogtning ("agenturet") for regnskabsåret 2022 ifølge dets oversigt over indtægter og udgifter</w:t>
      </w:r>
      <w:r w:rsidRPr="00140A13">
        <w:rPr>
          <w:rFonts w:ascii="Times New Roman" w:hAnsi="Times New Roman" w:cs="Times New Roman"/>
          <w:vertAlign w:val="superscript"/>
          <w:lang w:val="da-DK"/>
        </w:rPr>
        <w:footnoteReference w:id="11"/>
      </w:r>
      <w:r w:rsidRPr="00140A13">
        <w:rPr>
          <w:rFonts w:ascii="Times New Roman" w:hAnsi="Times New Roman" w:cs="Times New Roman"/>
          <w:lang w:val="da-DK"/>
        </w:rPr>
        <w:t xml:space="preserve"> var på 693 122 859 EUR, hvilket svarer til en stigning på 29,50 % i forhold til 2021; der henviser til, at agenturets budget hovedsageligt stammer fra Unionens budget;</w:t>
      </w:r>
    </w:p>
    <w:p w14:paraId="6F21EF73" w14:textId="77777777" w:rsidR="00430D25" w:rsidRPr="00140A13" w:rsidRDefault="00430D25" w:rsidP="00430D25">
      <w:pPr>
        <w:widowControl/>
        <w:autoSpaceDE w:val="0"/>
        <w:autoSpaceDN w:val="0"/>
        <w:adjustRightInd w:val="0"/>
        <w:spacing w:after="240"/>
        <w:ind w:left="567" w:hanging="567"/>
        <w:rPr>
          <w:rFonts w:eastAsiaTheme="minorHAnsi"/>
          <w:szCs w:val="24"/>
        </w:rPr>
      </w:pPr>
      <w:r w:rsidRPr="00140A13">
        <w:rPr>
          <w:szCs w:val="24"/>
        </w:rPr>
        <w:t>B.</w:t>
      </w:r>
      <w:r w:rsidRPr="00140A13">
        <w:rPr>
          <w:szCs w:val="24"/>
        </w:rPr>
        <w:tab/>
        <w:t>der henviser til, at alle Unionens organer, kontorer og agenturer bør udvise gennemsigtighed og fuldt ud stå til regnskab over for EU-borgerne for de midler, som de er blevet betroet;</w:t>
      </w:r>
    </w:p>
    <w:p w14:paraId="03EC0AB6" w14:textId="77777777" w:rsidR="00430D25" w:rsidRPr="00140A13" w:rsidRDefault="00430D25" w:rsidP="00430D25">
      <w:pPr>
        <w:pStyle w:val="NormalHanging12a"/>
        <w:widowControl/>
        <w:rPr>
          <w:rFonts w:eastAsiaTheme="minorHAnsi"/>
          <w:szCs w:val="24"/>
        </w:rPr>
      </w:pPr>
      <w:r w:rsidRPr="00140A13">
        <w:rPr>
          <w:szCs w:val="24"/>
        </w:rPr>
        <w:t>C.</w:t>
      </w:r>
      <w:r w:rsidRPr="00140A13">
        <w:rPr>
          <w:szCs w:val="24"/>
        </w:rPr>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1163AC61" w14:textId="77777777" w:rsidR="00430D25" w:rsidRPr="00140A13" w:rsidRDefault="00430D25" w:rsidP="00430D25">
      <w:pPr>
        <w:pStyle w:val="NormalHanging12a"/>
        <w:widowControl/>
        <w:rPr>
          <w:szCs w:val="24"/>
        </w:rPr>
      </w:pPr>
      <w:r w:rsidRPr="00140A13">
        <w:rPr>
          <w:szCs w:val="24"/>
        </w:rPr>
        <w:t>D.</w:t>
      </w:r>
      <w:r w:rsidRPr="00140A13">
        <w:rPr>
          <w:szCs w:val="24"/>
        </w:rPr>
        <w:tab/>
        <w:t>der henviser til, at agenturet siden december 2019 har gennemført et nyt mandat med en væsentlig opskalering, som har betydning i forhold til opgaver og personale, og som kræver et tilstrækkeligt budget;</w:t>
      </w:r>
    </w:p>
    <w:p w14:paraId="37D8CAEC" w14:textId="77777777" w:rsidR="00430D25" w:rsidRPr="00140A13" w:rsidRDefault="00430D25" w:rsidP="00430D25">
      <w:pPr>
        <w:pStyle w:val="NormalHanging12a"/>
        <w:widowControl/>
        <w:rPr>
          <w:szCs w:val="24"/>
        </w:rPr>
      </w:pPr>
      <w:r w:rsidRPr="00140A13">
        <w:rPr>
          <w:szCs w:val="24"/>
        </w:rPr>
        <w:t>E.</w:t>
      </w:r>
      <w:r w:rsidRPr="00140A13">
        <w:rPr>
          <w:szCs w:val="24"/>
        </w:rPr>
        <w:tab/>
        <w:t>der henviser til, at der i 2022 var en betydelig stigning i agenturets budget og gennemførelse af stillingsfortegnelsen som følge af det udvidede mandat i henhold til forordning (EU) 2019/1896;</w:t>
      </w:r>
    </w:p>
    <w:p w14:paraId="12ED96BB" w14:textId="77777777" w:rsidR="00430D25" w:rsidRPr="00140A13" w:rsidRDefault="00430D25" w:rsidP="00430D25">
      <w:pPr>
        <w:widowControl/>
        <w:autoSpaceDE w:val="0"/>
        <w:autoSpaceDN w:val="0"/>
        <w:adjustRightInd w:val="0"/>
        <w:spacing w:after="240"/>
        <w:ind w:left="567" w:hanging="567"/>
        <w:rPr>
          <w:szCs w:val="24"/>
        </w:rPr>
      </w:pPr>
      <w:r w:rsidRPr="00140A13">
        <w:rPr>
          <w:szCs w:val="24"/>
        </w:rPr>
        <w:t>F.</w:t>
      </w:r>
      <w:r w:rsidRPr="00140A13">
        <w:rPr>
          <w:szCs w:val="24"/>
        </w:rPr>
        <w:tab/>
        <w:t>der henviser til, at Revisionsretten i sin særberetning 08/2021 om agenturets støtte til forvaltningen af de ydre grænser konkluderede, at der var adskillige mangler i forbindelse med agenturets primære aktiviteter, nemlig situationsovervågning, risikoanalyse, sårbarhedsvurdering, fælles operationer, hurtige grænseindsatser, tilbagesendelsesoperationer og agenturets uddannelse samt manglende behovs- og konsekvensanalyser forud for den eksponentielle stigning i agenturets udgifter;</w:t>
      </w:r>
    </w:p>
    <w:p w14:paraId="3FBC32FD" w14:textId="0AEC9827" w:rsidR="00430D25" w:rsidRPr="00140A13" w:rsidRDefault="00430D25" w:rsidP="00430D25">
      <w:pPr>
        <w:pStyle w:val="NormalHanging12a"/>
        <w:rPr>
          <w:szCs w:val="24"/>
        </w:rPr>
      </w:pPr>
      <w:r w:rsidRPr="00140A13">
        <w:rPr>
          <w:szCs w:val="24"/>
        </w:rPr>
        <w:t>1.</w:t>
      </w:r>
      <w:r w:rsidRPr="00140A13">
        <w:rPr>
          <w:szCs w:val="24"/>
        </w:rPr>
        <w:tab/>
        <w:t xml:space="preserve">minder om, at agenturet efter konklusionerne fra Det Europæiske Kontor for Bekæmpelse af Svig (OLAF) og agenturets tidligere administrerende direktørs fratræden i april 2022 har udarbejdet en handlingsplan med specifikke foranstaltninger, der skal træffes for at afhjælpe forskellige mangler på områder, hvor der er behov forbedringer, såsom organisationskultur, gennemsigtighed og ansvarlighed og rammen for grundlæggende rettigheder; noterer sig på baggrund af agenturets rapport (underskrevet den 24. oktober 2023) vedrørende tredje kvartal af 2023 til Europa-Parlamentets arbejdsgruppe om kontrol med Frontex (FSWG) gennemførelsen af de fleste foranstaltninger vedrørende henstillingerne fra FSWG, arbejdsgruppen under agenturets bestyrelse om grundlæggende rettigheder og juridiske og operationelle aktiviteter (FRaLO), Den Europæiske Ombudsmand og OLAF; opfordrer agenturet til at gennemføre handlingsplanen fuldt ud og til at underrette dechargemyndigheden om de fremskridt, der gøres i den henseende; opfordrer agenturet til som en prioritet fuldt ud at gennemføre alle udestående henstillinger fra FSWG, arbejdsgruppen under agenturets bestyrelse, FRaLO, EO, Revisionsretten og OLAF; gentager, </w:t>
      </w:r>
      <w:r w:rsidR="00680DB8" w:rsidRPr="00140A13">
        <w:rPr>
          <w:szCs w:val="24"/>
        </w:rPr>
        <w:t>betydningen af</w:t>
      </w:r>
      <w:r w:rsidRPr="00140A13">
        <w:rPr>
          <w:szCs w:val="24"/>
        </w:rPr>
        <w:t xml:space="preserve"> løbende at gennemgå og kontrollere ledelsesteamets aktiviteter med henblik på at </w:t>
      </w:r>
      <w:r w:rsidR="00680DB8" w:rsidRPr="00140A13">
        <w:rPr>
          <w:szCs w:val="24"/>
        </w:rPr>
        <w:t xml:space="preserve">sikre rettidig identifikation </w:t>
      </w:r>
      <w:r w:rsidRPr="00140A13">
        <w:rPr>
          <w:szCs w:val="24"/>
        </w:rPr>
        <w:t xml:space="preserve">og </w:t>
      </w:r>
      <w:r w:rsidR="00680DB8" w:rsidRPr="00140A13">
        <w:rPr>
          <w:szCs w:val="24"/>
        </w:rPr>
        <w:t xml:space="preserve">løsning af </w:t>
      </w:r>
      <w:r w:rsidRPr="00140A13">
        <w:rPr>
          <w:szCs w:val="24"/>
        </w:rPr>
        <w:t>problemer; bemærker, at lederen af det nyoprettede inspektions- og kontrolkontor (ICO) for yderligere at følge op på de problemer, der blev taget op i OLAF's rapport, og som førte til, at agenturets tidligere administrerende direktør trådte tilbage, har udarbejdet en handlingsplan, som blev forelagt bestyrelsen i januar 2023; anmoder agenturet om at intensivere den igangværende indsats og træffe alle de foranstaltninger, der er nødvendige for at sikre fuld overholdelse af EU's standarder, navnlig inden for budgetmæssig og økonomisk forvaltning, grundlæggende rettigheder, organisationskultur og gennemsigtighed. minder om OLAF's anden undersøgelse af agenturets ledelsespraksis, som er i gang, blot ni måneder efter at OLAF's første undersøgelse blev afsluttet; anmoder om, at påstande om embedsmisbrug kontrolleres og undersøges grundigt; opfordrer agenturet til at sikre et fuldstændigt og oprigtigt samarbejde med OLAF i alle faser af undersøgelsen og til regelmæssigt at underrette Parlamentet om status for og resultaterne af undersøgelsen;</w:t>
      </w:r>
    </w:p>
    <w:p w14:paraId="31FCF073" w14:textId="77777777" w:rsidR="00430D25" w:rsidRPr="00140A13" w:rsidRDefault="00430D25" w:rsidP="00430D25">
      <w:pPr>
        <w:pStyle w:val="NormalHanging12a"/>
        <w:rPr>
          <w:szCs w:val="24"/>
        </w:rPr>
      </w:pPr>
      <w:r w:rsidRPr="00140A13">
        <w:rPr>
          <w:szCs w:val="24"/>
        </w:rPr>
        <w:t>2.</w:t>
      </w:r>
      <w:r w:rsidRPr="00140A13">
        <w:rPr>
          <w:szCs w:val="24"/>
        </w:rPr>
        <w:tab/>
        <w:t>udtrykker bekymring over de mange verserende retssager og kritikken vedrørende agenturets involvering i menneskerettighedskrænkelser, hvilket ikke er i overensstemmelse med dets egen forordning og dets forpligtelser på menneskerettighedsområdet;</w:t>
      </w:r>
    </w:p>
    <w:p w14:paraId="4FA12BC4" w14:textId="3195C658" w:rsidR="00430D25" w:rsidRPr="00140A13" w:rsidRDefault="00430D25" w:rsidP="00430D25">
      <w:pPr>
        <w:pStyle w:val="NormalHanging12a"/>
        <w:rPr>
          <w:szCs w:val="24"/>
        </w:rPr>
      </w:pPr>
      <w:r w:rsidRPr="00140A13">
        <w:rPr>
          <w:szCs w:val="24"/>
        </w:rPr>
        <w:t>3.</w:t>
      </w:r>
      <w:r w:rsidRPr="00140A13">
        <w:rPr>
          <w:szCs w:val="24"/>
        </w:rPr>
        <w:tab/>
        <w:t>noterer sig agenturets foranstaltninger vedrørende gennemsigtighed og kontrol, navnlig at give Parlamentet og Rådet et overblik over dets aktiviteter via et nyt rapporteringsværktøj kaldet "dashboard"; opfordrer</w:t>
      </w:r>
      <w:r w:rsidR="00C25014" w:rsidRPr="00140A13">
        <w:rPr>
          <w:szCs w:val="24"/>
        </w:rPr>
        <w:t xml:space="preserve"> agenturets</w:t>
      </w:r>
      <w:r w:rsidRPr="00140A13">
        <w:rPr>
          <w:szCs w:val="24"/>
        </w:rPr>
        <w:t xml:space="preserve"> bestyrelsesformænd til fortsat at invitere Parlamentets observatører til deres møder og til at overveje at udvide invitationerne, således at de omfatter alle punkter på dagsordenen, herunder punkter for lukkede døre, og til fortsat at fremlægge alle bilag uden undtagelse og, hvis det skønnes nødvendigt, på en fortrolig måde;</w:t>
      </w:r>
    </w:p>
    <w:p w14:paraId="7518DCAF" w14:textId="77777777" w:rsidR="00430D25" w:rsidRPr="00140A13" w:rsidRDefault="00430D25" w:rsidP="00430D25">
      <w:pPr>
        <w:pStyle w:val="Normal12Hanging"/>
        <w:keepNext/>
        <w:keepLines/>
        <w:rPr>
          <w:rFonts w:ascii="Times New Roman" w:hAnsi="Times New Roman" w:cs="Times New Roman"/>
          <w:b/>
          <w:i/>
          <w:lang w:val="da-DK"/>
        </w:rPr>
      </w:pPr>
      <w:r w:rsidRPr="00140A13">
        <w:rPr>
          <w:rFonts w:ascii="Times New Roman" w:hAnsi="Times New Roman" w:cs="Times New Roman"/>
          <w:b/>
          <w:i/>
          <w:lang w:val="da-DK"/>
        </w:rPr>
        <w:t>Budgetmæssig og økonomisk forvaltning</w:t>
      </w:r>
    </w:p>
    <w:p w14:paraId="55D727A6" w14:textId="77777777" w:rsidR="00430D25" w:rsidRPr="00140A13" w:rsidRDefault="00430D25" w:rsidP="00430D25">
      <w:pPr>
        <w:pStyle w:val="Normal12Hanging"/>
        <w:rPr>
          <w:rFonts w:ascii="Times New Roman" w:hAnsi="Times New Roman" w:cs="Times New Roman"/>
          <w:lang w:val="da-DK"/>
        </w:rPr>
      </w:pPr>
      <w:r w:rsidRPr="00140A13">
        <w:rPr>
          <w:rFonts w:ascii="Times New Roman" w:hAnsi="Times New Roman" w:cs="Times New Roman"/>
          <w:lang w:val="da-DK"/>
        </w:rPr>
        <w:t>4.</w:t>
      </w:r>
      <w:r w:rsidRPr="00140A13">
        <w:rPr>
          <w:rFonts w:ascii="Times New Roman" w:hAnsi="Times New Roman" w:cs="Times New Roman"/>
          <w:lang w:val="da-DK"/>
        </w:rPr>
        <w:tab/>
        <w:t>bemærker, at budgetovervågningsindsatsen i løbet af året efter to budgetændringer, der reducerede agenturets budget for 2022 med ca. 47 mio. EUR, resulterede i en budgetgennemførelsesgrad for forpligtelsesbevillinger på 99,40 %, hvilket svarer til en stigning på 4,70 % i forhold til 2021;</w:t>
      </w:r>
    </w:p>
    <w:p w14:paraId="3A18F1BB" w14:textId="77777777" w:rsidR="00430D25" w:rsidRPr="00140A13" w:rsidRDefault="00430D25" w:rsidP="00430D25">
      <w:pPr>
        <w:pStyle w:val="Normal12Hanging"/>
        <w:rPr>
          <w:rFonts w:ascii="Times New Roman" w:hAnsi="Times New Roman" w:cs="Times New Roman"/>
          <w:lang w:val="da-DK"/>
        </w:rPr>
      </w:pPr>
      <w:r w:rsidRPr="00140A13">
        <w:rPr>
          <w:rFonts w:ascii="Times New Roman" w:hAnsi="Times New Roman" w:cs="Times New Roman"/>
          <w:lang w:val="da-DK"/>
        </w:rPr>
        <w:t>5.</w:t>
      </w:r>
      <w:r w:rsidRPr="00140A13">
        <w:rPr>
          <w:rFonts w:ascii="Times New Roman" w:hAnsi="Times New Roman" w:cs="Times New Roman"/>
          <w:lang w:val="da-DK"/>
        </w:rPr>
        <w:tab/>
        <w:t>bemærker med bekymring, at udnyttelsesgraden for betalingsbevillinger stadig var lav i 2022 (50,25 %), med et fald på 0,17 % i forhold til 2021 til trods for agenturets vedholdende indsats for at forbedre sin budgetgennemførelse, som det rapporterede om i 2021; anerkender ikke desto mindre, at den årlige værdi af betalingerne i absolutte tal er steget mellem 2020 og 2022; noterer sig agenturets fornyede forklaring, der knytter den lave budgetgennemførelsesgrad til arten af agenturets udgifter;</w:t>
      </w:r>
    </w:p>
    <w:p w14:paraId="69FE7862" w14:textId="77777777" w:rsidR="00430D25" w:rsidRPr="00140A13" w:rsidRDefault="00430D25" w:rsidP="00430D25">
      <w:pPr>
        <w:pStyle w:val="NormalHanging12a"/>
        <w:rPr>
          <w:szCs w:val="24"/>
        </w:rPr>
      </w:pPr>
      <w:r w:rsidRPr="00140A13">
        <w:rPr>
          <w:szCs w:val="24"/>
        </w:rPr>
        <w:t>6.</w:t>
      </w:r>
      <w:r w:rsidRPr="00140A13">
        <w:rPr>
          <w:szCs w:val="24"/>
        </w:rPr>
        <w:tab/>
        <w:t>udtrykker sin dybe bekymring over et stigende niveau af agenturets C8-midler (automatiske fremførsler) i de seneste år med 240,4 mio. EUR i 2022, mens det i de to foregående år var på 159,4 mio. EUR (i 2021) og 102 mio. EUR (i 2020); bemærker i den forbindelse også stigningen i agenturets C8-midler i forhold til stigningen i agenturets årlige budget, som fra 2019 til 2022 er steget med en faktor på 2,1, mens C8-midler er steget med en faktor på 2,9; bemærker, at niveauet af betalinger (84 %) af C8-midler er faldet yderligere i 2022 (87 % i 2021); noterer sig imidlertid agenturets bemærkning om, at denne indikator er blevet påvirket af en vanskelig situation i forsyningskæden, som resulterede i forsinkelser i leveringen af bestilte tjenesteydelser og produkter; opfordrer desuden agenturet og Kommissionen til at give dechargemyndigheden detaljerede oplysninger om oprindelsen og udviklingen i den finansielle forpligtelse på 9,3 mio. EUR, der blev opført i 2022;</w:t>
      </w:r>
    </w:p>
    <w:p w14:paraId="625D458E" w14:textId="77777777" w:rsidR="00430D25" w:rsidRPr="00140A13" w:rsidRDefault="00430D25" w:rsidP="00430D25">
      <w:pPr>
        <w:pStyle w:val="Normal12Hanging"/>
        <w:tabs>
          <w:tab w:val="left" w:pos="1276"/>
        </w:tabs>
        <w:rPr>
          <w:rFonts w:ascii="Times New Roman" w:hAnsi="Times New Roman" w:cs="Times New Roman"/>
          <w:lang w:val="da-DK"/>
        </w:rPr>
      </w:pPr>
      <w:r w:rsidRPr="00140A13">
        <w:rPr>
          <w:rFonts w:ascii="Times New Roman" w:hAnsi="Times New Roman" w:cs="Times New Roman"/>
          <w:lang w:val="da-DK"/>
        </w:rPr>
        <w:t>7.</w:t>
      </w:r>
      <w:r w:rsidRPr="00140A13">
        <w:rPr>
          <w:rFonts w:ascii="Times New Roman" w:hAnsi="Times New Roman" w:cs="Times New Roman"/>
          <w:lang w:val="da-DK"/>
        </w:rPr>
        <w:tab/>
        <w:t>noterer sig med bekymring på baggrund af Revisionsrettens beretning under "Supplerende oplysninger", at agenturets regnskabsfører for andet år i træk erklærer, at agenturets regnskabssystem ikke kunne valideres, fordi der manglede oplysninger om et IT-system ejet af Kommissionen, som leverer regnskabsdata; noterer sig på baggrund af Revisionsrettens beretning agenturets svar i denne sag, ifølge hvilket den del, der mangler, for at agenturet kan validere regnskabssystemet, er systemet til forvaltning af tjenesterejser (MiPS);</w:t>
      </w:r>
    </w:p>
    <w:p w14:paraId="2F423F64" w14:textId="59E6DDF5" w:rsidR="00430D25" w:rsidRPr="00140A13" w:rsidRDefault="00430D25" w:rsidP="00430D25">
      <w:pPr>
        <w:pStyle w:val="NormalHanging12a"/>
        <w:rPr>
          <w:szCs w:val="24"/>
        </w:rPr>
      </w:pPr>
      <w:r w:rsidRPr="00140A13">
        <w:rPr>
          <w:szCs w:val="24"/>
        </w:rPr>
        <w:t>8.</w:t>
      </w:r>
      <w:r w:rsidRPr="00140A13">
        <w:rPr>
          <w:szCs w:val="24"/>
        </w:rPr>
        <w:tab/>
        <w:t xml:space="preserve">bemærker for tredje år i træk de tilbagevendende "Supplerende oplysninger", som Revisionsretten har fremhævet på grundlag af noterne til agenturets endelige årsregnskab, vedrørende en undervurdering af bidraget fra de associerede Schengenlande, som i 2022 svarede til et beløb på 3,2 mio. EUR, mens Unionens bidrag var sat for højt med det samme beløb; er bekymret over, at de aftaler mellem Unionen og de associerede Schengenlande, der tjener som retsgrundlag for beregningen af deres bidrag til Unionens budget, er uklare og giver mulighed for forskellige fortolkninger, hvilket resulterer i beregning af bidrag fra de associerede Schengenlande, der er ca. 7 % lavere, end de burde være; noterer sig på baggrund af Revisionsrettens beretning agenturets svar om, at forståelsen mellem agenturets regnskabsfører på den ene side og agenturets bestyrelse, Kommissionen og de associerede Schengenlande på den anden side er forskellig med hensyn til, hvilken metode der skal anvendes til at beregne bidraget fra de associerede Schengenlande baseret på de nuværende aftaler med de associerede Schengenlande; bemærker, at den metode, der er anvendt siden 2016, ifølge agenturets fortolkning er i overensstemmelse med de gældende retlige rammer og aftaler, og </w:t>
      </w:r>
      <w:r w:rsidR="00C25014" w:rsidRPr="00140A13">
        <w:rPr>
          <w:szCs w:val="24"/>
        </w:rPr>
        <w:t xml:space="preserve">agenturets </w:t>
      </w:r>
      <w:r w:rsidRPr="00140A13">
        <w:rPr>
          <w:szCs w:val="24"/>
        </w:rPr>
        <w:t>bestyrelse i 2021 konkluderede, at beregningsmetoden for bidragene fra de særlige bevaringsområder ikke ville blive revideret; noterer sig Revisionsrettens fornyede argumenter om, at agenturets fortolkning er fejlagtig; er af den opfattelse, at de associerede Schengenlande på ingen måde bør bidrage mindre end forventet til agenturets budget, og opfordrer til en revision af agenturets fortolkning af metoden;</w:t>
      </w:r>
    </w:p>
    <w:p w14:paraId="1B869AE6" w14:textId="77777777" w:rsidR="00430D25" w:rsidRPr="00140A13" w:rsidRDefault="00430D25" w:rsidP="00430D25">
      <w:pPr>
        <w:pStyle w:val="Normal12Hanging"/>
        <w:tabs>
          <w:tab w:val="left" w:pos="1276"/>
        </w:tabs>
        <w:rPr>
          <w:rFonts w:ascii="Times New Roman" w:hAnsi="Times New Roman" w:cs="Times New Roman"/>
          <w:lang w:val="da-DK"/>
        </w:rPr>
      </w:pPr>
      <w:r w:rsidRPr="00140A13">
        <w:rPr>
          <w:rFonts w:ascii="Times New Roman" w:hAnsi="Times New Roman" w:cs="Times New Roman"/>
          <w:lang w:val="da-DK"/>
        </w:rPr>
        <w:t>9.</w:t>
      </w:r>
      <w:r w:rsidRPr="00140A13">
        <w:rPr>
          <w:rFonts w:ascii="Times New Roman" w:hAnsi="Times New Roman" w:cs="Times New Roman"/>
          <w:lang w:val="da-DK"/>
        </w:rPr>
        <w:tab/>
        <w:t>noterer sig med bekymring på baggrund af Revisionsrettens beretning bemærkningerne med hensyn til en overvurdering af påløbne udgifter afholdt i 2022 for så vidt angår agenturets udgifter til tjenesterejser og manglen på formaliseret vejledning eller formaliserede procedurer i agenturet til at sikre en konsekvent beregning af de påløbne udgifter; opfordrer agenturet til at rette op på situationen og rapportere tilbage til dechargemyndigheden;</w:t>
      </w:r>
    </w:p>
    <w:p w14:paraId="15F12C8B" w14:textId="77777777" w:rsidR="00430D25" w:rsidRPr="00140A13" w:rsidRDefault="00430D25" w:rsidP="00430D25">
      <w:pPr>
        <w:pStyle w:val="Normal12Hanging"/>
        <w:rPr>
          <w:rFonts w:ascii="Times New Roman" w:hAnsi="Times New Roman" w:cs="Times New Roman"/>
          <w:b/>
          <w:i/>
          <w:lang w:val="da-DK"/>
        </w:rPr>
      </w:pPr>
      <w:r w:rsidRPr="00140A13">
        <w:rPr>
          <w:rFonts w:ascii="Times New Roman" w:hAnsi="Times New Roman" w:cs="Times New Roman"/>
          <w:b/>
          <w:i/>
          <w:lang w:val="da-DK"/>
        </w:rPr>
        <w:t>Performance</w:t>
      </w:r>
    </w:p>
    <w:p w14:paraId="604692CE" w14:textId="77777777" w:rsidR="00430D25" w:rsidRPr="00140A13" w:rsidRDefault="00430D25" w:rsidP="00430D25">
      <w:pPr>
        <w:pStyle w:val="NormalHanging12a"/>
        <w:widowControl/>
        <w:rPr>
          <w:szCs w:val="24"/>
        </w:rPr>
      </w:pPr>
      <w:r w:rsidRPr="00140A13">
        <w:rPr>
          <w:szCs w:val="24"/>
        </w:rPr>
        <w:t>10.</w:t>
      </w:r>
      <w:r w:rsidRPr="00140A13">
        <w:rPr>
          <w:szCs w:val="24"/>
        </w:rPr>
        <w:tab/>
        <w:t>bemærker, at agenturet i 2022 anvendte en bred vifte af foranstaltninger (240) som centrale resultatindikatorer (KPI'er) til at vurdere performance for så vidt angår dets aktiviteter, som er vedtaget af agenturets bestyrelse, og som stammer fra det samlede programmeringsdokument for 2022-2024; bemærker en gennemførelsesgrad for agenturets årlige arbejdsprogram for 2022 på 85,20 %, ifølge agenturets egen evaluering; roser den generelle forbedring af agenturets kvalitative KPI'er; bemærker imidlertid forværringen af nogle af agenturets KPI'er, såsom andelen af forsinkede betalinger, som var på 20 % i 2022 (sammenlignet med 12 % i 2021);</w:t>
      </w:r>
    </w:p>
    <w:p w14:paraId="0E7ADF87" w14:textId="0B0EB4B1" w:rsidR="00430D25" w:rsidRPr="00140A13" w:rsidRDefault="00430D25" w:rsidP="00430D25">
      <w:pPr>
        <w:pStyle w:val="NormalHanging12a"/>
        <w:widowControl/>
        <w:rPr>
          <w:szCs w:val="24"/>
        </w:rPr>
      </w:pPr>
      <w:r w:rsidRPr="00140A13">
        <w:rPr>
          <w:szCs w:val="24"/>
        </w:rPr>
        <w:t>11.</w:t>
      </w:r>
      <w:r w:rsidRPr="00140A13">
        <w:rPr>
          <w:szCs w:val="24"/>
        </w:rPr>
        <w:tab/>
        <w:t>udtrykker sin taknemmelighed over de hurtige foranstaltninger, som agenturet har truffet i kølvandet på den ulovlige og uprovokerede russiske invasion af Ukraine, der fik millioner af ukrainere til at flygte fra deres land og ankomme til Unionen; roser i denne forbindelse agenturet for: aktiveringen af en krisereaktionsmekanisme og et særligt kriseberedskabshold, der har fungeret 24/7, undertegnelsen på rekordtid af statusaftalen med Moldova, som førte til iværksættelsen af en ny fælles operation JO Moldova 2022, indsættelsen af ca. 500 medarbejdere fra det stående korps, som arbejder ved Unionens grænse til Ukraine og langs hele den østlige EU-grænse fra Finland til Rumænien og mobiliseringen af andre aktiver (til søs, fra luften, på land) på 102 nye operationelle steder; bemærker, at krigen i Ukraine har ændret Unionen og den måde, hvorpå Unionens borgere ser på dens sikkerhed, navnlig ved de østlige grænser; fremhæver, at Unionen er oppe mod det højeste antal ulovlige grænsepassager siden 2016;</w:t>
      </w:r>
    </w:p>
    <w:p w14:paraId="1ADDE6BB" w14:textId="220D38EC" w:rsidR="00430D25" w:rsidRPr="00140A13" w:rsidRDefault="00430D25" w:rsidP="00430D25">
      <w:pPr>
        <w:pStyle w:val="NormalHanging12a"/>
        <w:rPr>
          <w:szCs w:val="24"/>
        </w:rPr>
      </w:pPr>
      <w:r w:rsidRPr="00140A13">
        <w:rPr>
          <w:szCs w:val="24"/>
        </w:rPr>
        <w:t>12.</w:t>
      </w:r>
      <w:r w:rsidRPr="00140A13">
        <w:rPr>
          <w:szCs w:val="24"/>
        </w:rPr>
        <w:tab/>
        <w:t xml:space="preserve">bemærker de forskellige initiativer, som agenturet tog i 2022, herunder undertegnelsen af en statusaftale med Nordmakedonien og et aftalememorandum og en operationel handlingsplan med Cypern samt fordoblingen af agenturets tilstedeværelse i den fælles operation JO Serbia Land 2022 og åbningen af et nyt operationelt område ved den serbisk-ungarske grænse; understreger, at Den Europæiske Unions Domstol har fastslået, at Ungarns aktiviteter er uforenelige med tilbagesendelsesdirektivet og </w:t>
      </w:r>
      <w:r w:rsidR="00883929" w:rsidRPr="00140A13">
        <w:rPr>
          <w:szCs w:val="24"/>
        </w:rPr>
        <w:t xml:space="preserve">Den Europæiske Unions </w:t>
      </w:r>
      <w:r w:rsidRPr="00140A13">
        <w:rPr>
          <w:szCs w:val="24"/>
        </w:rPr>
        <w:t>charte</w:t>
      </w:r>
      <w:r w:rsidR="00883929" w:rsidRPr="00140A13">
        <w:rPr>
          <w:szCs w:val="24"/>
        </w:rPr>
        <w:t>r</w:t>
      </w:r>
      <w:r w:rsidRPr="00140A13">
        <w:rPr>
          <w:szCs w:val="24"/>
        </w:rPr>
        <w:t xml:space="preserve"> om grundlæggende rettigheder; bemærker med bekymring, at agenturet, selv om det meddelte, at det trak operationer ud af Ungarn i 2021, fortsatte med at støtte Ungarns tilbagesendelsesoperationer; gentager FSWG's opfordringer til agenturets administrerende direktør om at suspendere operationerne fra Ungarn;</w:t>
      </w:r>
    </w:p>
    <w:p w14:paraId="4DE95F9C" w14:textId="77777777" w:rsidR="00430D25" w:rsidRPr="00140A13" w:rsidRDefault="00430D25" w:rsidP="00430D25">
      <w:pPr>
        <w:pStyle w:val="NormalHanging12a"/>
        <w:widowControl/>
        <w:rPr>
          <w:szCs w:val="24"/>
        </w:rPr>
      </w:pPr>
      <w:r w:rsidRPr="00140A13">
        <w:rPr>
          <w:szCs w:val="24"/>
        </w:rPr>
        <w:t>13.</w:t>
      </w:r>
      <w:r w:rsidRPr="00140A13">
        <w:rPr>
          <w:szCs w:val="24"/>
        </w:rPr>
        <w:tab/>
        <w:t>bemærker, at agenturet afsluttede og evaluerede pilotprojektet om udsendelse af medlemsstaternes forbindelsesofficerer til agenturets hovedkvarter; glæder sig over, at der blev foretaget en intern evaluering af dette pilotprojekt, og at agenturet har besluttet at fortsætte denne form for samarbejde med medlemsstaterne; opfordrer alle medlemsstater til at udsende forbindelsesofficerer til agenturet;</w:t>
      </w:r>
    </w:p>
    <w:p w14:paraId="0D05CF0C" w14:textId="66BB57EA" w:rsidR="00430D25" w:rsidRPr="00140A13" w:rsidRDefault="00430D25" w:rsidP="00430D25">
      <w:pPr>
        <w:pStyle w:val="NormalHanging12a"/>
        <w:rPr>
          <w:szCs w:val="24"/>
        </w:rPr>
      </w:pPr>
      <w:r w:rsidRPr="00140A13">
        <w:rPr>
          <w:szCs w:val="24"/>
        </w:rPr>
        <w:t>14.</w:t>
      </w:r>
      <w:r w:rsidRPr="00140A13">
        <w:rPr>
          <w:szCs w:val="24"/>
        </w:rPr>
        <w:tab/>
        <w:t>bemærker, at de operationelle aktiviteter, der blev gennemført ved landegrænserne i 2022, resulterede i ca. 49 000 indberettede hændelser, der involverede 26 000 pågrebne irregulære migranter og 700 anholdte menneskesmuglere; noterer sig agenturets indsats, der førte til tilbagesendelse med fly af 24 850 tredjelandsstatsborgere (</w:t>
      </w:r>
      <w:r w:rsidR="003F3BB4" w:rsidRPr="00140A13">
        <w:rPr>
          <w:szCs w:val="24"/>
        </w:rPr>
        <w:t xml:space="preserve">en stigning på </w:t>
      </w:r>
      <w:r w:rsidRPr="00140A13">
        <w:rPr>
          <w:szCs w:val="24"/>
        </w:rPr>
        <w:t>35 % sammenlignet med 2021), heraf 9 919 personer på 291 operationer med charterfly til 32 tilbagesendelseslande og 14 931 personer (</w:t>
      </w:r>
      <w:r w:rsidR="003F3BB4" w:rsidRPr="00140A13">
        <w:rPr>
          <w:szCs w:val="24"/>
        </w:rPr>
        <w:t xml:space="preserve">en stigning på </w:t>
      </w:r>
      <w:r w:rsidRPr="00140A13">
        <w:rPr>
          <w:szCs w:val="24"/>
        </w:rPr>
        <w:t>84 % sammenlignet med 2021) med 8 789 rutefly til 116 tilbagesendelseslande; noterer sig endvidere agenturets indsats i forbindelse med alle fælles maritime operationer i 2022, som førte til afsløring af 1 105 menneskesmuglere og 11 menneskehandlere, beslaglæggelse af tonsvis af smuglet narkotika og redning af tusindvis af migranter; bemærker samtidig de mange nylige tragedier med skibbrud og andre dødbringende hændelser med migranter i Middelhavet; opfordrer agenturet til at samarbejde fuldt ud med Ombudsmandens undersøgelse; bemærker, at agenturet gennemførte 1 422 overvågningsmissioner med flere formål i 2022, og at der som følge heraf blev konstateret 1 177 hændelser og opdaget 51 362 migranter;</w:t>
      </w:r>
    </w:p>
    <w:p w14:paraId="32E4BE00" w14:textId="2F93E283" w:rsidR="00430D25" w:rsidRPr="00140A13" w:rsidRDefault="00430D25" w:rsidP="00430D25">
      <w:pPr>
        <w:pStyle w:val="NormalHanging12a"/>
        <w:widowControl/>
        <w:rPr>
          <w:szCs w:val="24"/>
        </w:rPr>
      </w:pPr>
      <w:r w:rsidRPr="00140A13">
        <w:rPr>
          <w:szCs w:val="24"/>
        </w:rPr>
        <w:t>15.</w:t>
      </w:r>
      <w:r w:rsidRPr="00140A13">
        <w:rPr>
          <w:szCs w:val="24"/>
        </w:rPr>
        <w:tab/>
        <w:t>noterer sig stigningen i Frontex-støttede tilbagesendelser, der gennemføres på frivillig basis, fra 26 % i 2021 til 39 % i 2022; roser gennemførelsen af de første fuldt udbyggede Frontexledede tilbagesendelsesoperationer, hvorved agenturet – som overtog den organiserende medlemsstats rolle – sendte 80 tredjelandsstatsborgere tilbage til Albanien og Nigeria; noterer sig agenturets rapport om samarbejdet mellem agenturet og tredjelande i 2022, hvori agenturet går i detaljer omkring sine aktiviteter under den eksterne dimension såsom: videreudvikling af dialogen og samarbejdet med forskellige partnere (f.eks. Vestbalkan, regionen for Det Østlige Partnerskab, Afrika og Mellemøsten), sit arbejde med databeskyttelsesstandarder og grundlæggende rettigheder, levering af teknisk og operativ bistand til tredjelande for bl.a. at bekæmpe grænseoverskridende kriminalitet og kapacitetsopbyggende foranstaltninger (f.eks. uddannelse); udtrykker bekymring over visse rapporter, der kan tyde på, at agenturet er involveret i menneskerettighedskrænkelser, herunder i dets aktiviteter inden for den eksterne dimension, navnlig den påståede hjælp til ulovlige tilbagedrivelser ved Unionens ydre grænser; bemærker, at agenturet ifølge de nylige oplysninger, det har fremlagt, har udvekslet koordinater for migranter i nød med libyske aktører i de seneste tre år; noterer sig to uafsluttede rapporter om alvorlige hændelser vedrørende Tareq Bin Zeyad-militsens tilbageholdelse af migranter, efter at agenturet havde opdaget dem;</w:t>
      </w:r>
    </w:p>
    <w:p w14:paraId="0C59DA26" w14:textId="77777777" w:rsidR="00430D25" w:rsidRPr="00140A13" w:rsidRDefault="00430D25" w:rsidP="00430D25">
      <w:pPr>
        <w:pStyle w:val="NormalHanging12a"/>
        <w:widowControl/>
        <w:rPr>
          <w:szCs w:val="24"/>
        </w:rPr>
      </w:pPr>
      <w:r w:rsidRPr="00140A13">
        <w:rPr>
          <w:szCs w:val="24"/>
        </w:rPr>
        <w:t>16.</w:t>
      </w:r>
      <w:r w:rsidRPr="00140A13">
        <w:rPr>
          <w:szCs w:val="24"/>
        </w:rPr>
        <w:tab/>
        <w:t>glæder sig over agenturets første rapport om, hvordan Eurosur fungerer – et centralt instrument, der har til formål at forbedre situationsbevidstheden og øge reaktionskapaciteten med henblik på grænseforvaltning gennem informationsudveksling og samarbejde mellem medlemsstaterne og agenturet; bemærker med tilfredshed på baggrund af denne rapport de fremskridt, der er gjort på forskellige områder såsom den tekniske udvikling af de applikationer, der anvendes til Eurosurs formål, udviklingen af 17 tjenester under Eurosurs fusionstjenester (med et relativt stort antal tjenesteanmodninger fra medlemsstaterne om satellitbilleder og kystovervågning) og udviklingen af en køreplan for omlægning og udvikling af Eurosur 2.0 med sigte på fuld interoperabilitet mellem de forskellige applikationer og systemer senest i 2026; noterer sig på baggrund af agenturets konsoliderede årlige aktivitetsrapport for 2022 de fremskridt, som agenturet har gjort med hensyn til Eurosur i 2022, og opfordrer agenturet til at fremskynde sine bestræbelser på fuldt ud at tilpasse det til kravene i forordning (EU) 2019/1896 og gennemførelsesforordningerne for Eurosur;</w:t>
      </w:r>
    </w:p>
    <w:p w14:paraId="6E12969B" w14:textId="77777777" w:rsidR="00430D25" w:rsidRPr="00140A13" w:rsidRDefault="00430D25" w:rsidP="00430D25">
      <w:pPr>
        <w:pStyle w:val="NormalHanging12a"/>
        <w:widowControl/>
        <w:rPr>
          <w:szCs w:val="24"/>
        </w:rPr>
      </w:pPr>
      <w:r w:rsidRPr="00140A13">
        <w:rPr>
          <w:szCs w:val="24"/>
        </w:rPr>
        <w:t>17.</w:t>
      </w:r>
      <w:r w:rsidRPr="00140A13">
        <w:rPr>
          <w:szCs w:val="24"/>
        </w:rPr>
        <w:tab/>
        <w:t>roser agenturet for de betydelige fremskridt, der er gjort i 2022 med hensyn til oprettelsen af centralenheden i det europæiske system vedrørende rejseinformation og rejsetilladelse (ETIAS) gennem aktiviteter såsom udvikling af interne regler og procedurer, en midtvejsstrategi, en ramme for inddragelse, en forretningskonsekvensanalyse samt udarbejdelse af sikkerheds-, forretningskontinuitets- og katastrofeberedskabsplaner og gennemførelsen af den første risikovurdering for den centrale ETIAS-enhed; bemærker, at agenturet i forbindelse med oprettelsen af ETIAS-centralenheden i 2022 afsluttede rekrutteringen af den anden bølge af personale til enheden og nåede op på 55 % af alle planlagte stillinger og iværksatte andre ansættelsesprocedurer; glæder sig over, at Kommissionen i 2022 med støtte fra agenturet iværksatte en offentlig oplysningskampagne til fremme af ETIAS blandt statsborgere fra 60 visumfrie lande; bemærker agenturets øvrige operationelle resultater såsom indledningen af udviklingen af en ny kommandovej for det stående korps med en fælles operativ koordineringsstruktur og uddelegering af flere beslutningsbeføjelser til felten;</w:t>
      </w:r>
    </w:p>
    <w:p w14:paraId="5A2897FE" w14:textId="77777777" w:rsidR="00430D25" w:rsidRPr="00140A13" w:rsidRDefault="00430D25" w:rsidP="00430D25">
      <w:pPr>
        <w:pStyle w:val="NormalHanging12a"/>
        <w:widowControl/>
        <w:rPr>
          <w:szCs w:val="24"/>
        </w:rPr>
      </w:pPr>
      <w:r w:rsidRPr="00140A13">
        <w:rPr>
          <w:szCs w:val="24"/>
        </w:rPr>
        <w:t>18.</w:t>
      </w:r>
      <w:r w:rsidRPr="00140A13">
        <w:rPr>
          <w:szCs w:val="24"/>
        </w:rPr>
        <w:tab/>
        <w:t>glæder sig over agenturets årsberetning om den praktiske anvendelse af forordning (EU) nr. 656/2014 for så vidt angår agenturets maritime operationer i 2022, nemlig de fælles operationer: Themis (Italien), Poseidon (Grækenland), Indalo (Spanien), Opal Coast (Belgien og Frankrig) og maritime operationer med flere formål i Sortehavet (Bulgarien og Rumænien); noterer sig agenturets bemærkning om, at der er en asymmetri mellem de standarder og krav, der gælder for agenturet i henhold til forordning (EU) nr. 656/2014, og dem, der gælder for andre aktører (f.eks. NATO, EMSA, EFCA), der er involveret i maritime operationer, mens sådanne aktører, når de handler med agenturets støtte, følger den internationale søret; støtter agenturet i at undersøge mulighederne for i de relevante statusaftaler at medtage standarder svarende til dem, der er fastlagt i forordning (EU) nr. 656/2014;</w:t>
      </w:r>
    </w:p>
    <w:p w14:paraId="625BC376" w14:textId="77777777" w:rsidR="00430D25" w:rsidRPr="00140A13" w:rsidRDefault="00430D25" w:rsidP="00430D25">
      <w:pPr>
        <w:pStyle w:val="NormalHanging12a"/>
        <w:widowControl/>
        <w:rPr>
          <w:szCs w:val="24"/>
        </w:rPr>
      </w:pPr>
      <w:r w:rsidRPr="00140A13">
        <w:rPr>
          <w:szCs w:val="24"/>
          <w:shd w:val="clear" w:color="auto" w:fill="FFFFFF"/>
        </w:rPr>
        <w:t>19.</w:t>
      </w:r>
      <w:r w:rsidRPr="00140A13">
        <w:rPr>
          <w:szCs w:val="24"/>
          <w:shd w:val="clear" w:color="auto" w:fill="FFFFFF"/>
        </w:rPr>
        <w:tab/>
      </w:r>
      <w:r w:rsidRPr="00140A13">
        <w:rPr>
          <w:szCs w:val="24"/>
        </w:rPr>
        <w:t>fremhæver betydningen af et stærkt, effektivt og velfungerende agentur, der kan bistå medlemsstaterne med at forvalte Unionens fælles ydre grænser og sikre en integreret grænseforvaltning med henblik på at forvalte disse grænser effektivt og under fuld overholdelse af de grundlæggende rettigheder; bemærker det fælles ansvar, som agenturet og medlemsstaterne har med hensyn til opfyldelsen af forpligtelserne vedrørende grundlæggende rettigheder; understreger, at en effektiv og retfærdig forvaltning af de ydre grænser er af afgørende betydning for beskyttelsen af Schengenområdet som et område med frihed, sikkerhed og retfærdighed; understreger, at tæt samarbejde og aftaler med tredjelande på områder som tilbagetagelsesaftaler, teknisk bistand, uddannelse og lovlige tilbagesendelsesaktiviteter sammen med udviklingsbistand er vigtige for at fremme en effektiv grænseforvaltning i Unionen, hvis de respekterer de grundlæggende rettigheder fuldt ud;</w:t>
      </w:r>
      <w:r w:rsidRPr="00140A13">
        <w:rPr>
          <w:color w:val="FF0000"/>
          <w:szCs w:val="24"/>
        </w:rPr>
        <w:t xml:space="preserve"> </w:t>
      </w:r>
      <w:r w:rsidRPr="00140A13">
        <w:rPr>
          <w:szCs w:val="24"/>
        </w:rPr>
        <w:t>opfordrer agenturet og medlemsstaterne til at videreudvikle samarbejdsstrukturer, informationsudveksling og udveksling af bedste praksis;</w:t>
      </w:r>
    </w:p>
    <w:p w14:paraId="75667E0D" w14:textId="77777777" w:rsidR="00430D25" w:rsidRPr="00140A13" w:rsidRDefault="00430D25" w:rsidP="00430D25">
      <w:pPr>
        <w:pStyle w:val="NormalHanging12a"/>
        <w:rPr>
          <w:szCs w:val="24"/>
        </w:rPr>
      </w:pPr>
      <w:r w:rsidRPr="00140A13">
        <w:rPr>
          <w:szCs w:val="24"/>
        </w:rPr>
        <w:t>20.</w:t>
      </w:r>
      <w:r w:rsidRPr="00140A13">
        <w:rPr>
          <w:szCs w:val="24"/>
        </w:rPr>
        <w:tab/>
        <w:t>anerkender den centrale rolle, som den ansvarlige for grundlæggende rettigheder har spillet siden 2021 i forbindelse med gennemførelsen af forskellige henstillinger vedrørende grundlæggende rettigheder fra Den Europæiske Ombudsmand, FSWG og FRaLO; bemærker på baggrund af årsberetningen for 2022 fra agenturets ansvarlige for grundlæggende rettigheder, at størstedelen af disse henstillinger er blevet gennemført; opfordrer agenturet til at samarbejde fuldt ud med den ansvarlige for grundlæggende rettigheder og gennemføre alle dennes henstillinger;</w:t>
      </w:r>
    </w:p>
    <w:p w14:paraId="77FEA00C" w14:textId="77FFFEEE" w:rsidR="00430D25" w:rsidRDefault="00430D25" w:rsidP="00430D25">
      <w:pPr>
        <w:pStyle w:val="NormalHanging12a"/>
        <w:rPr>
          <w:szCs w:val="24"/>
        </w:rPr>
      </w:pPr>
      <w:r w:rsidRPr="00140A13">
        <w:rPr>
          <w:szCs w:val="24"/>
        </w:rPr>
        <w:t>21.</w:t>
      </w:r>
      <w:r w:rsidRPr="00140A13">
        <w:rPr>
          <w:szCs w:val="24"/>
        </w:rPr>
        <w:tab/>
        <w:t>minder om, at agenturet og de relevante myndigheder i medlemsstaterne tilsammen udgør den vigtigste garant for stærke og beskyttede ydre grænser i EU, samtidig med at de grundlæggende rettigheder og internationale beskyttelsesforpligtelser respekteres; bemærker, at den ansvarlige for grundlæggende rettigheder i sin udtalelse af 1. september 2022 konkluderede, at betingelserne for at udløse artikel 46 i Frontexforordningen var opfyldt; bemærker endvidere, at agenturets arbejdsgruppe om grundlæggende rettigheder i henhold til artikel 46 fremsatte en række henstillinger vedrørende de grundlæggende rettigheder i Grækenland, hvoraf fire var gennemført fuldt ud i oktober 2023; bemærker, at agenturets arbejdsgruppe har til hensigt at overvåge yderligere fremskridt, og at de anbefalede foranstaltninger fortsat anvendes; opfordrer til, at alle henstillinger gennemføres fuldt ud som en prioritet, og opfordrer Frontex til fortsat at underrette Parlamentet om de fremskridt, der gøres;</w:t>
      </w:r>
    </w:p>
    <w:p w14:paraId="32E3E4AD" w14:textId="47557629" w:rsidR="00741060" w:rsidRPr="00140A13" w:rsidRDefault="00741060" w:rsidP="00430D25">
      <w:pPr>
        <w:pStyle w:val="NormalHanging12a"/>
        <w:rPr>
          <w:szCs w:val="24"/>
        </w:rPr>
      </w:pPr>
      <w:r w:rsidRPr="00741060">
        <w:rPr>
          <w:szCs w:val="24"/>
        </w:rPr>
        <w:t>2</w:t>
      </w:r>
      <w:r w:rsidR="00F25D65">
        <w:rPr>
          <w:szCs w:val="24"/>
        </w:rPr>
        <w:t>2</w:t>
      </w:r>
      <w:r w:rsidRPr="00741060">
        <w:rPr>
          <w:szCs w:val="24"/>
        </w:rPr>
        <w:t>.</w:t>
      </w:r>
      <w:r w:rsidRPr="00741060">
        <w:rPr>
          <w:szCs w:val="24"/>
        </w:rPr>
        <w:tab/>
        <w:t>noterer sig Den Europæiske Ombudsmands undersøgelse af agenturets rolle i eftersøgnings- og redningsoperationer (OI/3/2023/MHZ), som blev iværksat efter Adriana-tragedien i juni 2023; bemærker med bekymring Ombudsmandens konklusioner om, at agenturet ikke er i stand til at opfylde sine forpligtelser vedrørende grundlæggende rettigheder og er for afhængigt af, at medlemsstaterne skrider til handling, når migranter er i nød, fordi agenturet mangler interne retningslinjer for udsendelse af nødsignaler, og agenturets observatører af grundlæggende rettigheder ikke altid er tilstrækkeligt involveret i beslutninger om nødsituationer, og at der siden Adriana-tragedien ikke er foretaget tilstrækkelige ændringer til at forhindre, at sådanne hændelser sker igen; minder om, at dechargemyndigheden gentagne gange har påpeget disse mangler i tidligere dechargebeslutninger, og beklager, at problemet stadig ikke er løst; noterer sig Ombudsmandens opfordring til agenturet om at afhjælpe de konstaterede mangler og ombudsmandsinstitutionens opfordring til Parlamentet, Kommissionen og Rådet om at nedsætte en uafhængig undersøgelseskommission i sagen;</w:t>
      </w:r>
    </w:p>
    <w:p w14:paraId="7E4ED8C7" w14:textId="362F0CF1" w:rsidR="00430D25" w:rsidRPr="00140A13" w:rsidRDefault="00830F67" w:rsidP="00430D25">
      <w:pPr>
        <w:pStyle w:val="NormalHanging12a"/>
        <w:widowControl/>
        <w:rPr>
          <w:szCs w:val="24"/>
        </w:rPr>
      </w:pPr>
      <w:r>
        <w:rPr>
          <w:szCs w:val="24"/>
        </w:rPr>
        <w:t>23</w:t>
      </w:r>
      <w:r w:rsidR="00430D25" w:rsidRPr="00140A13">
        <w:rPr>
          <w:szCs w:val="24"/>
        </w:rPr>
        <w:t>.</w:t>
      </w:r>
      <w:r w:rsidR="00430D25" w:rsidRPr="00140A13">
        <w:rPr>
          <w:szCs w:val="24"/>
        </w:rPr>
        <w:tab/>
        <w:t>glæder sig over agenturets bestyrelses afgørelse af 20. juli 2022, som har styrket samarbejdet og kommunikationen mellem agenturets forskellige enheder, herunder det rådgivende forum og den ansvarlige for grundlæggende rettigheder gennem regler om, at agenturets administrerende direktør og bestyrelse skal underrette det rådgivende forum om opfølgningen på dets henstillinger og sikre, at der træffes foranstaltninger med hensyn til henstillingerne fra den ansvarlige for grundlæggende rettigheder;</w:t>
      </w:r>
      <w:r w:rsidR="00430D25" w:rsidRPr="00140A13">
        <w:rPr>
          <w:szCs w:val="24"/>
          <w:shd w:val="clear" w:color="auto" w:fill="FFFFFF"/>
        </w:rPr>
        <w:t xml:space="preserve"> </w:t>
      </w:r>
      <w:r w:rsidR="00430D25" w:rsidRPr="00140A13">
        <w:rPr>
          <w:szCs w:val="24"/>
        </w:rPr>
        <w:t>glæder sig endvidere over vedtagelsen i 2022 af den operative standardprocedure vedrørende artikel 46 i forordning (EU) 201</w:t>
      </w:r>
      <w:r w:rsidR="00AE7D33">
        <w:rPr>
          <w:szCs w:val="24"/>
        </w:rPr>
        <w:t>9</w:t>
      </w:r>
      <w:bookmarkStart w:id="14" w:name="_GoBack"/>
      <w:bookmarkEnd w:id="14"/>
      <w:r w:rsidR="00430D25" w:rsidRPr="00140A13">
        <w:rPr>
          <w:szCs w:val="24"/>
        </w:rPr>
        <w:t>/1896 og den operative standardprocedure for arbejdsmetoder i forbindelse med den ansvarlige for grundlæggende rettigheders undersøgelsesbeføjelser;</w:t>
      </w:r>
    </w:p>
    <w:p w14:paraId="31DF4434" w14:textId="266EE6EA" w:rsidR="00430D25" w:rsidRPr="00140A13" w:rsidRDefault="00830F67" w:rsidP="00430D25">
      <w:pPr>
        <w:pStyle w:val="NormalHanging12a"/>
        <w:widowControl/>
        <w:rPr>
          <w:szCs w:val="24"/>
        </w:rPr>
      </w:pPr>
      <w:r>
        <w:rPr>
          <w:szCs w:val="24"/>
        </w:rPr>
        <w:t>24</w:t>
      </w:r>
      <w:r w:rsidR="00430D25" w:rsidRPr="00140A13">
        <w:rPr>
          <w:szCs w:val="24"/>
        </w:rPr>
        <w:t>.</w:t>
      </w:r>
      <w:r w:rsidR="00430D25" w:rsidRPr="00140A13">
        <w:rPr>
          <w:szCs w:val="24"/>
        </w:rPr>
        <w:tab/>
        <w:t>glæder sig over, at der på baggrund af henstillingerne om et effektivt grænseagentur, som overholder de grundlæggende rettigheder, og for at forbedre ansvarligheden, den formelle rigtighed og lovligheden af alle agenturets aktiviteter blev rekrutteret yderligere 22 observatører af grundlæggende rettigheder eksternt;</w:t>
      </w:r>
      <w:r w:rsidR="00430D25" w:rsidRPr="00140A13">
        <w:rPr>
          <w:color w:val="FF0000"/>
          <w:szCs w:val="24"/>
        </w:rPr>
        <w:t xml:space="preserve"> </w:t>
      </w:r>
      <w:r w:rsidR="00430D25" w:rsidRPr="00140A13">
        <w:rPr>
          <w:szCs w:val="24"/>
        </w:rPr>
        <w:t>minder om, at alle observatører af grundlæggende rettigheder snarest muligt bør rekrutteres på AD-niveau gennem passende procedurer; bemærker, at der på grundlag af agenturets ajourførte mandat vil blive fremsat et krav om flere ansvarlige for grundlæggende rettigheder i fremtiden; glæder sig over, at kontoret for grundlæggende rettigheder havde over 1 183 udsendelsesdage med besøg i 50 lande, hvilket er en betydelig stigning i forhold til det foregående år;</w:t>
      </w:r>
    </w:p>
    <w:p w14:paraId="5D4846BF" w14:textId="079D5E1A" w:rsidR="00430D25" w:rsidRPr="00140A13" w:rsidRDefault="00830F67" w:rsidP="00430D25">
      <w:pPr>
        <w:pStyle w:val="NormalHanging12a"/>
        <w:widowControl/>
        <w:rPr>
          <w:szCs w:val="24"/>
        </w:rPr>
      </w:pPr>
      <w:r>
        <w:rPr>
          <w:szCs w:val="24"/>
          <w:shd w:val="clear" w:color="auto" w:fill="FFFFFF"/>
        </w:rPr>
        <w:t>25</w:t>
      </w:r>
      <w:r w:rsidR="00430D25" w:rsidRPr="00140A13">
        <w:rPr>
          <w:szCs w:val="24"/>
          <w:shd w:val="clear" w:color="auto" w:fill="FFFFFF"/>
        </w:rPr>
        <w:t>.</w:t>
      </w:r>
      <w:r w:rsidR="00430D25" w:rsidRPr="00140A13">
        <w:rPr>
          <w:szCs w:val="24"/>
          <w:shd w:val="clear" w:color="auto" w:fill="FFFFFF"/>
        </w:rPr>
        <w:tab/>
        <w:t>understreger, at agenturets direkte og indirekte inddragelse i grænseforvaltning og grænseovervågningsaktiviteter skal gå hånd i hånd med respekt for de grundlæggende rettigheder;</w:t>
      </w:r>
    </w:p>
    <w:p w14:paraId="38CEEEA5" w14:textId="3B2FBCAC" w:rsidR="00430D25" w:rsidRPr="00140A13" w:rsidRDefault="00830F67" w:rsidP="00430D25">
      <w:pPr>
        <w:pStyle w:val="NormalHanging12a"/>
        <w:widowControl/>
        <w:rPr>
          <w:szCs w:val="24"/>
        </w:rPr>
      </w:pPr>
      <w:r>
        <w:rPr>
          <w:szCs w:val="24"/>
        </w:rPr>
        <w:t>26</w:t>
      </w:r>
      <w:r w:rsidR="00430D25" w:rsidRPr="00140A13">
        <w:rPr>
          <w:szCs w:val="24"/>
        </w:rPr>
        <w:t>.</w:t>
      </w:r>
      <w:r w:rsidR="00430D25" w:rsidRPr="00140A13">
        <w:rPr>
          <w:szCs w:val="24"/>
        </w:rPr>
        <w:tab/>
        <w:t>bemærker i rapporten fra den ansvarlige for grundlæggende rettigheder en yderligere stigning i antallet af indberetninger af alvorlige hændelser (SIR'er) fra 62 SIR'er i 2021 til 72 SIR'er i 2022, som alle er omfattet af standardproceduren som ændret i 2021; roser den ansvarlige for grundlæggende rettigheder for udviklingen af procedurer, der standardiserer, hvordan vedkommendes kontor evaluerer og behandler de modtagne oplysninger om hændelser; bemærker, at den primære informationskilde i de fleste SIR-sager (38 ud af 72) i 2022 var agenturets udsendte medarbejdere, men at den ansvarlige for grundlæggende rettigheder også var afhængig af andre informationskilder såsom medier (4 tilfælde) og ikkestatslige organisationer (10 tilfælde); minder om, at den nødvendige yderligere revision af standardproceduren for SIR-mekanismen er blevet forsinket;</w:t>
      </w:r>
      <w:r w:rsidR="00430D25" w:rsidRPr="00140A13">
        <w:rPr>
          <w:color w:val="1E1E1F"/>
          <w:szCs w:val="24"/>
          <w:shd w:val="clear" w:color="auto" w:fill="FFFFFF"/>
        </w:rPr>
        <w:t xml:space="preserve"> forventer, at agenturet gennemfører henstillingerne fra den ansvarlige for grundlæggende rettigheder som angivet i dennes årsrapport for 2022;</w:t>
      </w:r>
    </w:p>
    <w:p w14:paraId="75A600F0" w14:textId="3165F94A" w:rsidR="00430D25" w:rsidRPr="00140A13" w:rsidRDefault="00830F67" w:rsidP="00430D25">
      <w:pPr>
        <w:pStyle w:val="NormalHanging12a"/>
        <w:widowControl/>
        <w:rPr>
          <w:szCs w:val="24"/>
        </w:rPr>
      </w:pPr>
      <w:r>
        <w:rPr>
          <w:szCs w:val="24"/>
        </w:rPr>
        <w:t>27</w:t>
      </w:r>
      <w:r w:rsidR="00430D25" w:rsidRPr="00140A13">
        <w:rPr>
          <w:szCs w:val="24"/>
        </w:rPr>
        <w:t>.</w:t>
      </w:r>
      <w:r w:rsidR="00430D25" w:rsidRPr="00140A13">
        <w:rPr>
          <w:szCs w:val="24"/>
        </w:rPr>
        <w:tab/>
        <w:t>bemærker på baggrund af rapporten fra den ansvarlige for grundlæggende rettigheder, at den ansvarlige for grundlæggende rettigheder i 2022 modtog i alt 69 klager (en stigning fra 27 i 2021); bemærker endvidere, at ni af disse klager opfyldte betingelserne for behandling (en stigning fra seks i 2021), og glæder sig over de reviderede regler om klagemekanismen, som agenturets bestyrelse vedtog i 2022, og som fastsætter en forbedring af tidsfrister og passende opfølgning; roser den ansvarlige for grundlæggende rettigheder for dennes yderligere indsats på det område, der vedrører klagemekanismen, såsom foranstaltninger til at øge bevidstheden ved f.eks. at ajourføre informationsmaterialet og kapacitetopbygningsaktiviteterne i form af uddannelse af agenturets udsendte medarbejdere og lokale partnere under besøg i agenturets operative områder;</w:t>
      </w:r>
    </w:p>
    <w:p w14:paraId="7C7EDE96" w14:textId="30194774" w:rsidR="00430D25" w:rsidRPr="00140A13" w:rsidRDefault="00830F67" w:rsidP="00430D25">
      <w:pPr>
        <w:pStyle w:val="NormalHanging12a"/>
        <w:rPr>
          <w:szCs w:val="24"/>
        </w:rPr>
      </w:pPr>
      <w:r>
        <w:rPr>
          <w:szCs w:val="24"/>
        </w:rPr>
        <w:t>28</w:t>
      </w:r>
      <w:r w:rsidR="00430D25" w:rsidRPr="00140A13">
        <w:rPr>
          <w:szCs w:val="24"/>
        </w:rPr>
        <w:t>.</w:t>
      </w:r>
      <w:r w:rsidR="00430D25" w:rsidRPr="00140A13">
        <w:rPr>
          <w:szCs w:val="24"/>
        </w:rPr>
        <w:tab/>
        <w:t>roser agenturet for de fremskridt, der er gjort med gennemførelsen af handlingsplanen for grundlæggende rettigheder, som omfatter 87 aktiviteter; bemærker på baggrund af rapporten fra den ansvarlige for grundlæggende rettigheder, at 18 af disse aktiviteter er blevet gennemført fuldt ud (dvs. at der ikke er behov for yderligere foranstaltninger), 62 er i gang (dvs. at de gennemføres systematisk og løbende), én er delvist gennemført, og seks er forsinkede; beklager disse forsinkelser og opfordrer agenturet til hurtigt at gøre fremskridt med de udestående foranstaltninger; minder i denne forbindelse om den vigtige rolle, som observatørerne af grundlæggende rettigheder har, bl.a. med hensyn til deres adgang til de operative områder og tætte samarbejde med agenturets operative personale, samt deres bestræbelser på at gennemføre aktiviteterne i handlingsplanen for grundlæggende rettigheder (bl.a. nr. 23, 63 og 83); sætter pris på, at den operative standardprocedure for observatørerne af grundlæggende rettigheders roller og ansvarsområder i agenturets operative aktiviteter blev afsluttet og godkendt; glæder sig over, at et netværk af kontaktpunkter for grundlæggende rettigheder blev oprettet i begyndelsen af 2022 i alle agenturets enheder med henblik på at udvikle ekspertise i grundlæggende rettigheder inden for alle aktivitetsområder;</w:t>
      </w:r>
    </w:p>
    <w:p w14:paraId="2A2E13CF" w14:textId="77777777" w:rsidR="00430D25" w:rsidRPr="00140A13" w:rsidRDefault="00430D25" w:rsidP="00430D25">
      <w:pPr>
        <w:pStyle w:val="NormalHanging12a"/>
        <w:widowControl/>
        <w:rPr>
          <w:b/>
          <w:i/>
          <w:szCs w:val="24"/>
        </w:rPr>
      </w:pPr>
      <w:r w:rsidRPr="00140A13">
        <w:rPr>
          <w:b/>
          <w:i/>
          <w:szCs w:val="24"/>
        </w:rPr>
        <w:t>Effektivitet og gevinster</w:t>
      </w:r>
    </w:p>
    <w:p w14:paraId="44BAB4A8" w14:textId="54D6F020" w:rsidR="00430D25" w:rsidRPr="00140A13" w:rsidRDefault="00830F67" w:rsidP="00430D25">
      <w:pPr>
        <w:pStyle w:val="NormalHanging12a"/>
        <w:widowControl/>
        <w:rPr>
          <w:szCs w:val="24"/>
        </w:rPr>
      </w:pPr>
      <w:r>
        <w:rPr>
          <w:szCs w:val="24"/>
        </w:rPr>
        <w:t>29</w:t>
      </w:r>
      <w:r w:rsidR="00430D25" w:rsidRPr="00140A13">
        <w:rPr>
          <w:szCs w:val="24"/>
        </w:rPr>
        <w:t>.</w:t>
      </w:r>
      <w:r w:rsidR="00430D25" w:rsidRPr="00140A13">
        <w:rPr>
          <w:szCs w:val="24"/>
        </w:rPr>
        <w:tab/>
        <w:t>roser agenturet for dets tætte samarbejde og/eller ressourcedeling med forskellige agenturer og andre interessenter såsom Kommissionen, medlemsstaterne eller tredjelande; påpeger de horisontale fordele ved at arbejde sammen og tilpasse bedste praksis, og at fælles initiativer samler forskellige perspektiver, mindsker dobbeltarbejde, fremmer læring og styrker forbindelserne mellem deltagerne; bemærker i den forbindelse agenturets foranstaltninger i forbindelse med bl.a.: forhandlingerne om fornyelse af samarbejdsordninger, der strukturerer det bilaterale samarbejde med flere agenturer på området for retlige og indre anliggender (RIA), flytning af en del af dets personale til eu-LISA for perioden 2022-2024 til projekter vedrørende EES og ETIAS og til Europol fra den 1. januar 2024 for så vidt angår projekter på området for interoperabilitet mellem Unionens systemer, - agenturets regelmæssige bidrag til andre agenturers årlige arbejdsprogrammer med henblik på tilpasning af aktiviteter;</w:t>
      </w:r>
    </w:p>
    <w:p w14:paraId="49B15D4F" w14:textId="54C6E44D" w:rsidR="00430D25" w:rsidRPr="00140A13" w:rsidRDefault="00830F67" w:rsidP="00430D25">
      <w:pPr>
        <w:pStyle w:val="NormalHanging12a"/>
        <w:widowControl/>
        <w:rPr>
          <w:szCs w:val="24"/>
        </w:rPr>
      </w:pPr>
      <w:r>
        <w:rPr>
          <w:szCs w:val="24"/>
        </w:rPr>
        <w:t>30</w:t>
      </w:r>
      <w:r w:rsidR="00430D25" w:rsidRPr="00140A13">
        <w:rPr>
          <w:szCs w:val="24"/>
        </w:rPr>
        <w:t>.</w:t>
      </w:r>
      <w:r w:rsidR="00430D25" w:rsidRPr="00140A13">
        <w:rPr>
          <w:szCs w:val="24"/>
        </w:rPr>
        <w:tab/>
        <w:t>bemærker navnlig agenturets samarbejde gennem en trepartsaftale med Det Europæiske Fiskerikontrolagentur (EFCA) og Det Europæiske Agentur for Søfartssikkerhed (EMSA) med henblik på at koordinere og dele ressourcer på forskellige områder såsom informationsudveksling, overvågnings- og kommunikationstjenester eller kapacitetsdeling; roser iværksættelsen af maritime operationer med flere formål, som sikrer gennemførelsen af forskellige kystvagtfunktioner i én operation, der berører mandaterne for disse tre agenturer og styrker det tværsektorielle og grænseoverskridende samarbejde; glæder sig over, at konceptet om maritime operationer med flere formål blev videreudviklet med gennemførelsen af den maritime operation med flere formål i Sortehavet fra august til november 2022 i samarbejde med EFCA, EMSA og seks myndigheder fra Rumænien og Bulgarien; glæder sig endvidere over, at disse tre agenturer blev enige om at udvide gennemførelsen af konceptet til også at omfatte Adriaterhavet og Østersøen i 2023;</w:t>
      </w:r>
    </w:p>
    <w:p w14:paraId="34557618" w14:textId="6D312E4B" w:rsidR="00430D25" w:rsidRPr="00140A13" w:rsidRDefault="00830F67" w:rsidP="00430D25">
      <w:pPr>
        <w:pStyle w:val="NormalHanging12a"/>
        <w:widowControl/>
        <w:rPr>
          <w:szCs w:val="24"/>
        </w:rPr>
      </w:pPr>
      <w:r>
        <w:rPr>
          <w:szCs w:val="24"/>
        </w:rPr>
        <w:t>31</w:t>
      </w:r>
      <w:r w:rsidR="00430D25" w:rsidRPr="00140A13">
        <w:rPr>
          <w:szCs w:val="24"/>
        </w:rPr>
        <w:t>.</w:t>
      </w:r>
      <w:r w:rsidR="00430D25" w:rsidRPr="00140A13">
        <w:rPr>
          <w:szCs w:val="24"/>
        </w:rPr>
        <w:tab/>
        <w:t>støtter agenturets planer vedrørende udformning og opførelse af en ny bygning til dets fremtidige hovedkvarter (permanente lokaler) og mener, at en sådan bygning, der forventes at opfylde de højeste bæredygtighedsstandarder, skal forblive miljøvenlig i hele sin levetid; bemærker, at udbudsproceduren, der blev indledt i juli 2022, er baseret på retningslinjerne for grønne offentlige udbud; bemærker endvidere, at agenturet i den forbindelse har udviklet et koncept, der bygger på idéen om aktivitetsbaseret arbejde, og som støtter de underliggende principper om tids- og steduafhængigt arbejde, diversificerede arbejdsområder og fokus på samarbejde på tværs af enheder og videnudveksling, og som først vil blive testet i agenturets nuværende lokaler; opfordrer agenturet til at holde dechargemyndigheden underrettet om resultatet af denne undersøgelse og opfølgningen herpå;</w:t>
      </w:r>
    </w:p>
    <w:p w14:paraId="4DA03AC1" w14:textId="12C9E8A9"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32</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 xml:space="preserve">bemærker, at agenturet på sin vej mod integration af miljømæssig bæredygtighed i alle sine processer, politikker og operationer og i sidste ende hen imod kulstofneutralitet senest i 2050 i 2021 har lanceret og i 2022 offentliggjort et studie med titlen "The Green Deal and the European Border and Coast Guard (EBCG)", der hovedsagelig er baseret på casestudier af bedste praksis i forskellige internationale organisationer (bl.a. Den Europæiske Centralbank, det franske indenrigsministerium, det amerikanske ministerium for national sikkerhed); bemærker med tilfredshed, at rapporten kortlægger ti forskellige områder (herunder med hensyn til bæredygtighed i forbindelse med operative aktiviteter, hvor den europæiske grænse- og kystvagt har den største indvirkning på miljøet) med køreplaner på kort-, mellem- og lang sigt; bemærker på baggrund af dette studie, at rammen for forvaltning af ændringer, rapporterings- og risikostyringssystemerne samt EMAS-gennemførelsen og </w:t>
      </w:r>
      <w:r w:rsidR="00430D25" w:rsidRPr="00140A13">
        <w:rPr>
          <w:rFonts w:ascii="Times New Roman" w:hAnsi="Times New Roman" w:cs="Times New Roman"/>
          <w:lang w:val="da-DK"/>
        </w:rPr>
        <w:noBreakHyphen/>
        <w:t>certificeringen er afgørende for den vellykkede omstilling, som agenturet søger sammen med alle aktører under den europæiske grænse- og kystvagt;</w:t>
      </w:r>
    </w:p>
    <w:p w14:paraId="16FAD542" w14:textId="66EF6725"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33</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bemærker, at agenturet integrerer miljøkriterier i sine udbudsprocedurer i forbindelse med f.eks. flyvninger, catering og agenturets permanente lokaler; anerkender imidlertid, at de særlige forhold, der gør sig gældende for agenturets indkøb (f.eks. indkøb af armerede beskyttelsesdragter), ikke altid gør det muligt at integrere sådanne kriterier; noterer sig endvidere agenturets eksterne konsulentprojekt om, hvordan der kan etableres et referencescenarie for måling af personalets og det tekniske operationelle udstyrs energi- og miljøfodaftryk, samt den pilotuddannelse i miljøvenlig kørsel, der gennemføres for en gruppe medlemmer af det stående korps, og inddragelsen af bevidstgørelseskurser om økokørselspraksis i onlinegrunduddannelsen for nytilkomne (medlemmer af det stående korps);</w:t>
      </w:r>
    </w:p>
    <w:p w14:paraId="2FD401F8" w14:textId="77777777" w:rsidR="00430D25" w:rsidRPr="00140A13" w:rsidRDefault="00430D25" w:rsidP="00430D25">
      <w:pPr>
        <w:pStyle w:val="Normal12Hanging"/>
        <w:rPr>
          <w:rFonts w:ascii="Times New Roman" w:hAnsi="Times New Roman" w:cs="Times New Roman"/>
          <w:b/>
          <w:i/>
          <w:lang w:val="da-DK"/>
        </w:rPr>
      </w:pPr>
      <w:r w:rsidRPr="00140A13">
        <w:rPr>
          <w:rFonts w:ascii="Times New Roman" w:hAnsi="Times New Roman" w:cs="Times New Roman"/>
          <w:b/>
          <w:i/>
          <w:lang w:val="da-DK"/>
        </w:rPr>
        <w:t>Personalepolitik</w:t>
      </w:r>
    </w:p>
    <w:p w14:paraId="735C5B63" w14:textId="0954E8C9"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34</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anerkender agenturets vedvarende indsats og afgørende forbedringer på rekrutteringsområdet på trods af forsinkelser; bemærker, at stillingsfortegnelsen pr. 31. december 2022 var gennemført med 88,46 % (82 % i 2021) med 1 150 midlertidigt ansatte ud af de 1 300 midlertidigt ansatte, som var godkendt i henhold til Unionens budget; bemærker, at der desuden arbejdede 723 kontraktansatte (hvoraf 11 ansatte blev finansieret via et eksternt budget) og 190 udstationerede nationale eksperter for agenturet (mens der var godkendt 964 kontraktansatte og 220 udstationerede nationale eksperter til agenturet i 2022); glæder sig over en stigning (på ca. 6,5 % i forhold til 2021) i agenturets besættelsesgrad for andet år i træk takket være rekrutteringen i 2022 af 509 nytilkomne, hvilket førte til en nettostigning i agenturets samlede antal ansatte fra 1 554 i 2021 til 2 063 i 2022 og navnlig i det stående korps i kategori 1 fra 595 i 2021 til 963 i 2022; glæder sig i den forbindelse over, at 65 nye medarbejdere blev ansat og integreret i ETIAS-centralenheden samt 22 nye observatører af grundlæggende rettigheder, mens agenturet pr. 31. december 2022 havde besat 44 stillinger som observatører af grundlæggende rettigheder (46 pr. 1. september 2023) og dermed nærmede sig den fulde gennemførelse af agenturets udvidede mandat; bemærker endvidere, at agenturets pulje af observatører af tvangsmæssig tilbagesendelse pr. oktober 2022 omfattede 60 observatører fra 24 EU-medlemsstater og de associerede Schengenlande, hvoraf fem var fra puljen af observatører af grundlæggende rettigheder; roser den faldende tendens i agenturets årlige antal ledige stillinger i alle typer kontrakter inden for både søjle A og B;</w:t>
      </w:r>
    </w:p>
    <w:p w14:paraId="392ACC11" w14:textId="1973218B" w:rsidR="00430D25" w:rsidRPr="00140A13" w:rsidRDefault="00830F67" w:rsidP="00430D25">
      <w:pPr>
        <w:pStyle w:val="NormalHanging12a"/>
        <w:rPr>
          <w:szCs w:val="24"/>
        </w:rPr>
      </w:pPr>
      <w:r>
        <w:rPr>
          <w:szCs w:val="24"/>
        </w:rPr>
        <w:t>35</w:t>
      </w:r>
      <w:r w:rsidR="00430D25" w:rsidRPr="00140A13">
        <w:rPr>
          <w:szCs w:val="24"/>
        </w:rPr>
        <w:t>.</w:t>
      </w:r>
      <w:r w:rsidR="00430D25" w:rsidRPr="00140A13">
        <w:rPr>
          <w:szCs w:val="24"/>
        </w:rPr>
        <w:tab/>
        <w:t>er dybt bekymret over den kønsfordeling, der blev rapporteret for agenturet i 2022 i den øverste ledelse og på mellemlederniveau med 19 mænd (79 %) og 7 kvinder (21 %), i bestyrelsen med 54 mænd (87 %) og 8 kvinder (13 %) og for agenturets samlede medarbejderstab med 1 473 mænd (71 %) og 590 kvinder (29 %); minder om vigtigheden af at sikre kønsbalance og opfordrer agenturet til at tage dette aspekt i betragtning med hensyn til fremtidige ansættelser af personale og udnævnelser inden for den øverste ledelse og på mellemlederniveau; anmoder Kommissionen og medlemsstaterne om at tage hensyn til vigtigheden af at sikre kønsbalance, når de indstiller deres medlemmer til agenturets bestyrelse; noterer sig på baggrund af agenturets rapport om Frontex' individuelle opfølgningsrapport om decharge for 2021 (i det følgende benævnt "agenturets opfølgningsrapport") de foranstaltninger og initiativer, som agenturet har truffet for at forbedre kønsbalancen; bemærker, at agenturets erklærede mål om at have mindst 40 % af det underrepræsenterede køn på alle ledelsesniveauer på trods af disse bestræbelser stadig langt fra er nået; opfordrer agenturet til at behandle dette spørgsmål og rapportere tilbage til dechargemyndigheden; bemærker ikke desto mindre på baggrund af agenturets opfølgningsrapport, at kønsbalancen overvåges ved også at tage hensyn til fem store personalekategorier, i forbindelse med hvilke rekrutteringspuljen (de nationale retshåndhævende myndigheder) hovedsagelig består af mænd, f.eks. ledende stillinger; bemærker ikke desto mindre, at agenturet i kategorien administrative stillinger i maj 2023 nåede en næsten ideel kønsbalance (417 mænd og 426 kvinder);</w:t>
      </w:r>
    </w:p>
    <w:p w14:paraId="39E37F9E" w14:textId="70DA7FA6" w:rsidR="00430D25" w:rsidRPr="00140A13" w:rsidRDefault="00830F67" w:rsidP="00430D25">
      <w:pPr>
        <w:pStyle w:val="NormalHanging12a"/>
        <w:rPr>
          <w:szCs w:val="24"/>
        </w:rPr>
      </w:pPr>
      <w:r>
        <w:rPr>
          <w:szCs w:val="24"/>
        </w:rPr>
        <w:t>36</w:t>
      </w:r>
      <w:r w:rsidR="00430D25" w:rsidRPr="00140A13">
        <w:rPr>
          <w:szCs w:val="24"/>
        </w:rPr>
        <w:t>.</w:t>
      </w:r>
      <w:r w:rsidR="00430D25" w:rsidRPr="00140A13">
        <w:rPr>
          <w:szCs w:val="24"/>
        </w:rPr>
        <w:tab/>
        <w:t>glæder sig over agenturets omfattende foranstaltninger og politikker til bekæmpelse af chikane med støtte fra fortrolige rådgivere (17 medarbejdere, heraf 6 fra det stående korps), hvis rolle er afgørende for at beskytte agenturets personales værdighed og forebygge psykisk og seksuel chikane; glæder sig på baggrund af agenturets opfølgningsrapport over de foranstaltninger, der allerede er gennemført, og dem, der er i gang, samt listen over foreslåede foranstaltninger, der alle har til formål at sikre nultolerance over for seksuel chikane i forbindelse med alle agenturets aktiviteter; opfordrer agenturet til fortsat at være proaktivt og fuldt ud gennemføre sin handlingsplan med hensyn til foranstaltninger til bekæmpelse af chikane; fremhæver, at dette er et væsentligt element i reformen af agenturets organisationskultur, og opfordrer agenturet til regelmæssigt at aflægge rapport om de fremskridt, der er gjort i denne henseende;</w:t>
      </w:r>
    </w:p>
    <w:p w14:paraId="67A3A943" w14:textId="095FFF51" w:rsidR="00430D25" w:rsidRPr="00140A13" w:rsidRDefault="00830F67" w:rsidP="00430D25">
      <w:pPr>
        <w:pStyle w:val="NormalHanging12a"/>
        <w:rPr>
          <w:szCs w:val="24"/>
        </w:rPr>
      </w:pPr>
      <w:r>
        <w:rPr>
          <w:szCs w:val="24"/>
        </w:rPr>
        <w:t>37</w:t>
      </w:r>
      <w:r w:rsidR="00430D25" w:rsidRPr="00140A13">
        <w:rPr>
          <w:szCs w:val="24"/>
        </w:rPr>
        <w:t>.</w:t>
      </w:r>
      <w:r w:rsidR="00430D25" w:rsidRPr="00140A13">
        <w:rPr>
          <w:szCs w:val="24"/>
        </w:rPr>
        <w:tab/>
        <w:t>noterer sig med bekymring på baggrund af agenturets svar på Parlamentets skriftlige spørgsmål, at der blev indberettet 31 anonyme chikanesager i 2022 (psykologisk: 27 eller seksuel: fire), hvoraf 22 blev afsluttet i den anonyme fase, fire var genstand for en mæglingsprocedure med den formodede krænkende part og fem overgik til en formel procedure; bemærker endvidere, at der blev indledt 11 sager om psykisk (7) eller seksuel chikane (4) i 2022, mens fem sager blev afsluttet efter den indledende vurderingsfase, og der i seks tilfælde blev fremsat henstillinger, der spænder fra afholdelse af kurser om forebyggelse af chikane til opsigelse af kontrakten; opfordrer agenturet til nøje at vurdere hver enkelt uafsluttet sag og anlægge en nultolerancetilgang over for psykisk, seksuel eller anden form for chikane og til hurtigt at drage de ansvarlige for denne uacceptable adfærd til ansvar; noterer sig på baggrund af agenturets opfølgningsrapport agenturets konklusion på den genåbnede undersøgelse af en medarbejders tragiske død i 2020, ifølge hvilken der ikke var belæg for chikane, og at der derfor heller ikke kunne fastslås en direkte eller indirekte forbindelse mellem det påståede offers selvmord og arbejdsmiljøet;</w:t>
      </w:r>
    </w:p>
    <w:p w14:paraId="0CA15984" w14:textId="42D26B37"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38</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roser agenturet for de mange kurser, som dets personale blev tilbudt i 2022; bemærker i den forbindelse, at agenturet leverede 21 specialkurser til det stående korps i kategori 1 (1 194 deltagere), 15 forskellige kurser for det stående korps kategori 2 og 3 (med mere end 1 450 deltagere), 34 kurser for forskellige kategorier af medarbejdere (næsten 4 000 deltagere) og et udvidet grundlæggende uddannelsesprogram for 325 medarbejdere i det stående korps, og at aspekter vedrørende grundlæggende rettigheder, herunder databeskyttelse, fortsat var centrale elementer i uddannelsen; bemærker endvidere vedtagelsen af chartret om mangfoldighed og inklusion og de mange forskellige foranstaltninger, som agenturet har truffet for at integrere personer med handicap og forbedre personalets trivsel og balancen mellem arbejdsliv og privatliv;</w:t>
      </w:r>
    </w:p>
    <w:p w14:paraId="24F3DF31" w14:textId="1D67FDF1"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39</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bemærker med bekymring oplysningerne fra Den Europæiske Ombudsmand vedrørende agenturets stående korps, der udførte beredskabstjeneste inden den 5. oktober 2022, for hvilke de ikke modtog nogen finansiel kompensation; er i denne forbindelse bekymret over, at Ombudsmanden på grund af manglen på yderligere oplysninger og korrekte undersøgelser konkluderede, at det fortsat er uklart, hvorfor agenturet mener, at der ikke er noget retsgrundlag for at foretage de nødvendige betalinger; opfordrer indtrængende agenturet til at oprette en særlig taskforce med henblik på at indsamle og kontrollere alle erklæringer om beredskabstjeneste udført inden den 5. oktober 2022 og holde dechargemyndigheden underrettet om de fremskridt, der gøres på dette område;</w:t>
      </w:r>
    </w:p>
    <w:p w14:paraId="3AC62428" w14:textId="3985BBAD" w:rsidR="00430D25" w:rsidRPr="00140A13" w:rsidRDefault="00830F67" w:rsidP="00430D25">
      <w:pPr>
        <w:pStyle w:val="NormalHanging12a"/>
        <w:rPr>
          <w:szCs w:val="24"/>
        </w:rPr>
      </w:pPr>
      <w:r>
        <w:rPr>
          <w:szCs w:val="24"/>
        </w:rPr>
        <w:t>40</w:t>
      </w:r>
      <w:r w:rsidR="00430D25" w:rsidRPr="00140A13">
        <w:rPr>
          <w:szCs w:val="24"/>
        </w:rPr>
        <w:t>.</w:t>
      </w:r>
      <w:r w:rsidR="00430D25" w:rsidRPr="00140A13">
        <w:rPr>
          <w:szCs w:val="24"/>
        </w:rPr>
        <w:tab/>
        <w:t>glæder sig over de skridt, som agenturet har taget for at gennemgå en omstillingsproces, forbedre ledelseskulturen og fremme personalets trivsel; opfordrer den nye ledelse til fortsat at engagere sig i en dybdegående reform af agenturets organisatoriske struktur;</w:t>
      </w:r>
    </w:p>
    <w:p w14:paraId="5E65E5B3" w14:textId="77777777" w:rsidR="00430D25" w:rsidRPr="00140A13" w:rsidRDefault="00430D25" w:rsidP="00430D25">
      <w:pPr>
        <w:pStyle w:val="Normal12Hanging"/>
        <w:rPr>
          <w:rFonts w:ascii="Times New Roman" w:hAnsi="Times New Roman" w:cs="Times New Roman"/>
          <w:b/>
          <w:i/>
          <w:lang w:val="da-DK"/>
        </w:rPr>
      </w:pPr>
      <w:r w:rsidRPr="00140A13">
        <w:rPr>
          <w:rFonts w:ascii="Times New Roman" w:hAnsi="Times New Roman" w:cs="Times New Roman"/>
          <w:b/>
          <w:i/>
          <w:lang w:val="da-DK"/>
        </w:rPr>
        <w:t>Udbud</w:t>
      </w:r>
    </w:p>
    <w:p w14:paraId="0629F5B3" w14:textId="5A7DAD5E"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41</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noterer sig på baggrund af Revisionsrettens beretning bemærkningen om en stigning (fra 79 000 EUR til 502 900 EUR via fire ændringer) i værdien af en kontrakt ud over den grænse (50 %), der er tilladt i henhold til finansforordningen (artikel 172, stk. 3, litra a), nr. iii)); bemærker, at forhøjelsen førte til betalinger, hvoraf 384 000 EUR var betalt regelstridigt; anerkender i den forbindelse på baggrund af agenturets svar, at der for ikke at forsinke rekrutteringen af det stående korps var behov for undtagelser fra reglerne, som blev registreret i agenturets register over undtagelser og manglende overholdelse;</w:t>
      </w:r>
    </w:p>
    <w:p w14:paraId="12C37633" w14:textId="2270E0F7"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42</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bemærker, at agenturet i 2022 iværksatte 53 offentlige udbud, hvoraf 20 resulterede i underskrevne kontrakter til en samlet værdi af 140,5 mio. EUR, og at 25 af disse (til en anslået værdi af 486,51 mio. EUR ) stadig er i gang; bemærker endvidere, at agenturet håndterede 33 udbud med lav og mellemstor værdi (forhandlet med tre og fem ansøgere) til en samlet værdi af 3,4 mio. EUR, hvoraf 20 ud af de 33 procedurer resulterede i underskrevne kontrakter i 2022 til en samlet værdi af 2,03 mio. EUR, mens fire af dem (til en samlet værdi af 524 000 EUR) stadig er i gang; bemærker endvidere, at agenturet i 2022 håndterede 228 udbud med meget lav værdi (forhandlet med én kandidat) til en samlet værdi af 1,62 mio. EUR; bemærker endelig, at der i 2022 blev håndteret 1116 procedurer under de eksisterende rammekontrakter til en samlet værdi af 188,9 mio. EUR, hvoraf 983 resulterede i underskrevne specifikke kontrakter eller bestillingssedler til en samlet værdi af 153,4 mio. EUR, mens 32 af dem (til en samlet værdi af 16,6 mio. EUR) stadig er i gang; bemærker et fald på ca. 15 % i den samlede værdi af afsluttede udbudsprocedurer fra 406,9 mio. EUR i 2021 til 348,5 mio. EUR i 2022;</w:t>
      </w:r>
    </w:p>
    <w:p w14:paraId="6F9A2F68" w14:textId="5F733A32"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43</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roser agenturets bestræbelser i 2022 på at sikre strategisk vigtige kontrakter på områder, der spænder fra levering af midlertidige personaletjenester til levering af tjenester til geografiske informationssystemer, geospatiale efterretninger og billedefterretning; bemærker, at der blev gjort betydelige fremskridt med kritiske udbudsprocedurer for betydelige beløb med hensyn til agenturets faste hjemsted (140 mio. EUR, levering af rejserelaterede tjenesteydelser (666 mio. EUR) og infrastruktur- og softwarerelaterede tjenesteydelser (32 mio. EUR);</w:t>
      </w:r>
    </w:p>
    <w:p w14:paraId="0919A16B" w14:textId="628C8187"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44</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noterer sig agenturets rapportering om at have forbedret planlægningen og overvågningen af den årlige udbudsplan; opfordrer IAS til at medtage denne plan i sine fremtidige revisioner;</w:t>
      </w:r>
    </w:p>
    <w:p w14:paraId="37524A6E" w14:textId="77777777" w:rsidR="00430D25" w:rsidRPr="00140A13" w:rsidRDefault="00430D25" w:rsidP="00430D25">
      <w:pPr>
        <w:pStyle w:val="NormalHanging12a"/>
        <w:widowControl/>
        <w:rPr>
          <w:b/>
          <w:i/>
          <w:szCs w:val="24"/>
        </w:rPr>
      </w:pPr>
      <w:r w:rsidRPr="00140A13">
        <w:rPr>
          <w:b/>
          <w:i/>
          <w:szCs w:val="24"/>
        </w:rPr>
        <w:t>Forebyggelse og håndtering af interessekonflikter samt gennemsigtighed</w:t>
      </w:r>
    </w:p>
    <w:p w14:paraId="6AFE3F84" w14:textId="4352116D" w:rsidR="00430D25" w:rsidRPr="00140A13" w:rsidRDefault="00830F67" w:rsidP="00430D25">
      <w:pPr>
        <w:pStyle w:val="NormalHanging12a"/>
        <w:rPr>
          <w:szCs w:val="24"/>
        </w:rPr>
      </w:pPr>
      <w:r>
        <w:rPr>
          <w:szCs w:val="24"/>
        </w:rPr>
        <w:t>45</w:t>
      </w:r>
      <w:r w:rsidR="00430D25" w:rsidRPr="00140A13">
        <w:rPr>
          <w:szCs w:val="24"/>
        </w:rPr>
        <w:t>.</w:t>
      </w:r>
      <w:r w:rsidR="00430D25" w:rsidRPr="00140A13">
        <w:rPr>
          <w:szCs w:val="24"/>
        </w:rPr>
        <w:tab/>
        <w:t>bemærker med tilfredshed, at CV'er og interesseerklæringer fra næsten alle medlemmerne af agenturets bestyrelse og dets ledelse er blevet offentliggjort på agenturets websted; bemærker endvidere, at der i 2022 blev behandlet fem tilfælde af whistleblowing, hvoraf tre blev afsluttet eller afgjort i den indledende vurderingsfase, og to sager i øjeblikket er ved at blive undersøgt af OLAF; opfordrer de berørte parter og agenturet til at sikre fuldt samarbejde med OLAF i løbet af undersøgelsen; bemærker endelig, at der i 2022 ikke blev undersøgt nogen tilfælde af interessekonflikter;</w:t>
      </w:r>
    </w:p>
    <w:p w14:paraId="36D797D3" w14:textId="3E736654" w:rsidR="00430D25" w:rsidRPr="00140A13" w:rsidRDefault="00830F67" w:rsidP="00430D25">
      <w:pPr>
        <w:pStyle w:val="NormalHanging12a"/>
        <w:rPr>
          <w:szCs w:val="24"/>
        </w:rPr>
      </w:pPr>
      <w:r>
        <w:rPr>
          <w:szCs w:val="24"/>
        </w:rPr>
        <w:t>46</w:t>
      </w:r>
      <w:r w:rsidR="00430D25" w:rsidRPr="00140A13">
        <w:rPr>
          <w:szCs w:val="24"/>
        </w:rPr>
        <w:t>.</w:t>
      </w:r>
      <w:r w:rsidR="00430D25" w:rsidRPr="00140A13">
        <w:rPr>
          <w:szCs w:val="24"/>
        </w:rPr>
        <w:tab/>
        <w:t>noterer sig på baggrund af agenturets svar på Parlamentets skriftlige spørgsmål, at agenturet arbejder på en politik for overvågning af at agenturets nuværende og tidligere ledende medarbejdere overholder bestemmelserne på området "svingdørssituationer"; opfordrer agenturet til at holde dechargemyndigheden underrettet om fremskridt på dette område; gentager sin opfordring til agenturet om også at indføre principper, procedurer og specifikke mekanismer for medlemmerne af dets bestyrelse til håndtering af disse medlemmers interessekonflikter og "svingdørssituationer";</w:t>
      </w:r>
    </w:p>
    <w:p w14:paraId="07E850A6" w14:textId="6C297549" w:rsidR="00430D25" w:rsidRPr="00140A13" w:rsidRDefault="00830F67" w:rsidP="00430D25">
      <w:pPr>
        <w:pStyle w:val="NormalHanging12a"/>
        <w:widowControl/>
        <w:rPr>
          <w:szCs w:val="24"/>
        </w:rPr>
      </w:pPr>
      <w:r>
        <w:rPr>
          <w:szCs w:val="24"/>
        </w:rPr>
        <w:t>47</w:t>
      </w:r>
      <w:r w:rsidR="00430D25" w:rsidRPr="00140A13">
        <w:rPr>
          <w:szCs w:val="24"/>
        </w:rPr>
        <w:t>.</w:t>
      </w:r>
      <w:r w:rsidR="00430D25" w:rsidRPr="00140A13">
        <w:rPr>
          <w:szCs w:val="24"/>
        </w:rPr>
        <w:tab/>
        <w:t>noterer sig svaret til dechargemyndigheden, som indeholder oplysninger om de kontakter og møder, der er registreret og dokumenteret i agenturets åbenhedsregister i 2022; noterer sig agenturets forskellige møder (industridage), som gav virksomheder fra industrien mulighed for at præsentere deres produkter og tjenesteydelser, som kan støtte grænseforvaltningsaktiviteter og tilskynde til dialog mellem aktørerne under den europæiske grænse- og kystvagt og industrien; bemærker, at agenturet inden for rammerne af industridagene for 2022 modtog 277 ansøgninger om løsninger, opfordrede 88 virksomheder til at fremvise deres teknologier og afholdt onlinemøder, hvor der blev udvekslet oplysninger om 175 løsninger; glæder sig over, at listen over deltagende virksomheder er offentliggjort på agenturets websted;</w:t>
      </w:r>
    </w:p>
    <w:p w14:paraId="766A9F5B" w14:textId="0D856A62" w:rsidR="00430D25" w:rsidRPr="00140A13" w:rsidRDefault="00830F67" w:rsidP="00430D25">
      <w:pPr>
        <w:pStyle w:val="NormalHanging12a"/>
        <w:rPr>
          <w:szCs w:val="24"/>
        </w:rPr>
      </w:pPr>
      <w:r>
        <w:rPr>
          <w:szCs w:val="24"/>
        </w:rPr>
        <w:t>48</w:t>
      </w:r>
      <w:r w:rsidR="00430D25" w:rsidRPr="00140A13">
        <w:rPr>
          <w:szCs w:val="24"/>
        </w:rPr>
        <w:t>.</w:t>
      </w:r>
      <w:r w:rsidR="00430D25" w:rsidRPr="00140A13">
        <w:rPr>
          <w:szCs w:val="24"/>
        </w:rPr>
        <w:tab/>
        <w:t>bemærker på baggrund af agenturets konsoliderede årlige aktivitetsrapport, at agenturets gennemsigtighedskontor behandlede et betydeligt højere antal begæringer (469) om aktindsigt, hvilket svarer til en stigning på næsten 34 % på årsbasis; bemærker endvidere, at agenturets websted for det offentlige dokumentregister blev oprettet med ca. 1 900 centrale dokumenter uploadet i 2022; noterer sig Den Europæiske Ombudsmands konklusioner fra undersøgelsen på eget initiativ (sag OI/2022/PB), ifølge hvilke agenturet systematisk bruger for lang tid på at behandle begæringer om aktindsigt, navnlig når det drejer sig om en stor mængde dokumenter, og når agenturet anser anmodningen for at være upræcis, og at dette udgør fejl eller forsømmelser; beklager, at agenturet ikke har accepteret Ombudsmandens henstilling, og opfordrer agenturet til at begynde at behandle begæringer om aktindsigt hurtigere og mere gennemsigtigt som en prioritet;</w:t>
      </w:r>
    </w:p>
    <w:p w14:paraId="737068F5" w14:textId="524EE4A0" w:rsidR="00430D25" w:rsidRPr="00140A13" w:rsidRDefault="00830F67" w:rsidP="00430D25">
      <w:pPr>
        <w:spacing w:after="240"/>
        <w:ind w:left="567" w:hanging="567"/>
        <w:rPr>
          <w:szCs w:val="24"/>
        </w:rPr>
      </w:pPr>
      <w:r>
        <w:rPr>
          <w:szCs w:val="24"/>
        </w:rPr>
        <w:t>49</w:t>
      </w:r>
      <w:r w:rsidR="00430D25" w:rsidRPr="00140A13">
        <w:rPr>
          <w:szCs w:val="24"/>
        </w:rPr>
        <w:t>.</w:t>
      </w:r>
      <w:r w:rsidR="00430D25" w:rsidRPr="00140A13">
        <w:rPr>
          <w:szCs w:val="24"/>
        </w:rPr>
        <w:tab/>
        <w:t>anerkender den generelle formodning om, at der ikke gives aktindsigt i dokumenter vedrørende igangværende OLAF-undersøgelser</w:t>
      </w:r>
      <w:r w:rsidR="00430D25" w:rsidRPr="00140A13">
        <w:rPr>
          <w:rStyle w:val="FootnoteReference"/>
          <w:szCs w:val="24"/>
        </w:rPr>
        <w:footnoteReference w:id="12"/>
      </w:r>
      <w:r w:rsidR="00430D25" w:rsidRPr="00140A13">
        <w:rPr>
          <w:szCs w:val="24"/>
        </w:rPr>
        <w:t>; gentager ikke desto mindre sin opfordring til, at OLAF's rapporter om agenturet offentliggøres i tilfælde, hvor dette er af tungtvejende offentlig interesse, og til, at de relevante medlemmer af Parlamentet under alle omstændigheder får adgang til sådanne rapporter inden for en rimelig frist, således at de effektivt kan foretage demokratisk kontrol og sørge for, at agenturet drages til ansvar for sine handlinger; mener, at de nuværende regler skal revideres for at sikre, at Parlamentet i sin rolle som politisk beslutningstager og medlovgiver informeres fuldt ud, navnlig når det gælder dets budgetbeføjelser;</w:t>
      </w:r>
    </w:p>
    <w:p w14:paraId="3A77656E" w14:textId="3999A965" w:rsidR="00430D25" w:rsidRPr="00140A13" w:rsidRDefault="00830F67" w:rsidP="00430D25">
      <w:pPr>
        <w:pStyle w:val="NormalHanging12a"/>
        <w:rPr>
          <w:szCs w:val="24"/>
        </w:rPr>
      </w:pPr>
      <w:r>
        <w:rPr>
          <w:szCs w:val="24"/>
        </w:rPr>
        <w:t>50</w:t>
      </w:r>
      <w:r w:rsidR="00430D25" w:rsidRPr="00140A13">
        <w:rPr>
          <w:szCs w:val="24"/>
        </w:rPr>
        <w:t>.</w:t>
      </w:r>
      <w:r w:rsidR="00430D25" w:rsidRPr="00140A13">
        <w:rPr>
          <w:szCs w:val="24"/>
        </w:rPr>
        <w:tab/>
        <w:t>noterer sig Ombudsmandens undersøgelse af agenturets afslag på aktindsigt i en rapport fra dets ansvarlige for grundlæggende rettigheder om agenturets operation i Albanien (sag 652/2023/VB)</w:t>
      </w:r>
      <w:r w:rsidR="00430D25" w:rsidRPr="00140A13">
        <w:rPr>
          <w:rStyle w:val="FootnoteReference"/>
          <w:szCs w:val="24"/>
        </w:rPr>
        <w:footnoteReference w:id="13"/>
      </w:r>
      <w:r w:rsidR="00430D25" w:rsidRPr="00140A13">
        <w:rPr>
          <w:szCs w:val="24"/>
        </w:rPr>
        <w:t>;</w:t>
      </w:r>
    </w:p>
    <w:p w14:paraId="117B127E" w14:textId="57044941" w:rsidR="00430D25" w:rsidRPr="00140A13" w:rsidRDefault="00830F67" w:rsidP="00430D25">
      <w:pPr>
        <w:pStyle w:val="NormalHanging12a"/>
        <w:widowControl/>
        <w:rPr>
          <w:szCs w:val="24"/>
        </w:rPr>
      </w:pPr>
      <w:r>
        <w:rPr>
          <w:color w:val="1E1E1F"/>
          <w:szCs w:val="24"/>
          <w:shd w:val="clear" w:color="auto" w:fill="FFFFFF"/>
        </w:rPr>
        <w:t>51</w:t>
      </w:r>
      <w:r w:rsidR="00430D25" w:rsidRPr="00140A13">
        <w:rPr>
          <w:color w:val="1E1E1F"/>
          <w:szCs w:val="24"/>
          <w:shd w:val="clear" w:color="auto" w:fill="FFFFFF"/>
        </w:rPr>
        <w:t>.</w:t>
      </w:r>
      <w:r w:rsidR="00430D25" w:rsidRPr="00140A13">
        <w:rPr>
          <w:color w:val="1E1E1F"/>
          <w:szCs w:val="24"/>
          <w:shd w:val="clear" w:color="auto" w:fill="FFFFFF"/>
        </w:rPr>
        <w:tab/>
        <w:t xml:space="preserve">minder om Den Europæiske Ombudsmands afgørelse i sin undersøgelse på eget initiativ (sag OI/4/2021/MHZ) om agenturets overholdelse af sine forpligtelser med hensyn til grundlæggende rettigheder; </w:t>
      </w:r>
      <w:r w:rsidR="00430D25" w:rsidRPr="00140A13">
        <w:rPr>
          <w:szCs w:val="24"/>
        </w:rPr>
        <w:t xml:space="preserve">minder i den forbindelse om, at agenturet er forpligtet til at sikre proaktiv gennemsigtighed som fastsat i artikel 114, stk. 2, i forordning (EU) 2019/1896; </w:t>
      </w:r>
      <w:r w:rsidR="00430D25" w:rsidRPr="00140A13">
        <w:rPr>
          <w:color w:val="1E1E1F"/>
          <w:szCs w:val="24"/>
          <w:shd w:val="clear" w:color="auto" w:fill="FFFFFF"/>
        </w:rPr>
        <w:t>opfordrer agenturet til afslutte gennemførelsen af alle Ombudsmandens henstillinger; noterer sig på baggrund af agenturets opfølgningsrapport, at arbejdet med at samle de tre adfærdskodekser (to med hensyn til operative områder og en for hele agenturets personale) i én adfærdskodeks, der dækker de specifikke bestemmelser for de operative områder, er i gang; opfordrer agenturet til at holde dechargemyndigheden opdateret om fremskridt i den henseende;</w:t>
      </w:r>
    </w:p>
    <w:p w14:paraId="398123F8" w14:textId="5A7B19FA" w:rsidR="00430D25" w:rsidRPr="00140A13" w:rsidRDefault="00830F67" w:rsidP="00430D25">
      <w:pPr>
        <w:pStyle w:val="NormalHanging12a"/>
        <w:rPr>
          <w:szCs w:val="24"/>
        </w:rPr>
      </w:pPr>
      <w:r>
        <w:rPr>
          <w:szCs w:val="24"/>
        </w:rPr>
        <w:t>52</w:t>
      </w:r>
      <w:r w:rsidR="00430D25" w:rsidRPr="00140A13">
        <w:rPr>
          <w:szCs w:val="24"/>
        </w:rPr>
        <w:t>.</w:t>
      </w:r>
      <w:r w:rsidR="00430D25" w:rsidRPr="00140A13">
        <w:rPr>
          <w:szCs w:val="24"/>
        </w:rPr>
        <w:tab/>
        <w:t>noterer sig agenturets briefingnotat af 27. juni 2022 om de foranstaltninger, som agenturets ledelse har truffet i omstillingsperioden, navnlig dets bestræbelser på at styrke de procedurer, der er nødvendige for god forvaltning og ansvarlighed i organisationen, gennem øget gennemsigtighed, proaktiv kommunikation og samarbejde med interne og eksterne interessenter; glæder sig over agenturets initiativ til en operativ briefing, der på omfattende vis informerer offentligheden om dets operative aktiviteter; opfordrer den nye ledelse til at gennemføre de nødvendige reformer med hensyn til gennemsigtighed og effektivitet i interne procedurer, og til at øge ansvarligheden over for Parlamentet og Rådet i overensstemmelse med de gældende retlige rammer;</w:t>
      </w:r>
    </w:p>
    <w:p w14:paraId="2A4DC3C7" w14:textId="77777777" w:rsidR="00430D25" w:rsidRPr="00140A13" w:rsidRDefault="00430D25" w:rsidP="00430D25">
      <w:pPr>
        <w:pStyle w:val="Normal12Hanging"/>
        <w:rPr>
          <w:rFonts w:ascii="Times New Roman" w:hAnsi="Times New Roman" w:cs="Times New Roman"/>
          <w:b/>
          <w:i/>
          <w:lang w:val="da-DK"/>
        </w:rPr>
      </w:pPr>
      <w:r w:rsidRPr="00140A13">
        <w:rPr>
          <w:rFonts w:ascii="Times New Roman" w:hAnsi="Times New Roman" w:cs="Times New Roman"/>
          <w:b/>
          <w:i/>
          <w:lang w:val="da-DK"/>
        </w:rPr>
        <w:t>Intern kontrol</w:t>
      </w:r>
    </w:p>
    <w:p w14:paraId="045C653D" w14:textId="3FA08415" w:rsidR="00430D25" w:rsidRPr="00140A13" w:rsidRDefault="00830F67" w:rsidP="00430D25">
      <w:pPr>
        <w:pStyle w:val="NormalHanging12a"/>
        <w:rPr>
          <w:szCs w:val="24"/>
        </w:rPr>
      </w:pPr>
      <w:r>
        <w:rPr>
          <w:szCs w:val="24"/>
        </w:rPr>
        <w:t>53</w:t>
      </w:r>
      <w:r w:rsidR="00430D25" w:rsidRPr="00140A13">
        <w:rPr>
          <w:szCs w:val="24"/>
        </w:rPr>
        <w:t>.</w:t>
      </w:r>
      <w:r w:rsidR="00430D25" w:rsidRPr="00140A13">
        <w:rPr>
          <w:szCs w:val="24"/>
        </w:rPr>
        <w:tab/>
        <w:t>glæder sig over agenturets beslutning om i et forbedret format at udarbejde en kvartalsrapport til FSWG om status for gennemførelsen af henstillingerne fra forskellige kontrolorganer; anerkender modtagelsen af denne rapport for tredje kvartal af 2023 (i det følgende benævnt "Q3 2023-rapporten"); roser i den forbindelse de betydelige fremskridt, som agenturet har gjort med gennemførelsen af 36 ud af FSWG's 42 henstillinger; noterer sig på baggrund af Q3 2023-rapporten gennemførelsesgraden for henstillingerne og/eller krævede foranstaltninger fra FSWG (91 %), FRaLO (87 %), Ombudsmanden (79 %) og OLAF (54 %); anerkender den rolle, som agenturets kontor for inspektion og kontrol spiller i den støtte, der ydes til at imødekomme disse henstillinger gennem forbindelsesfunktioner og koordineringsopgaver; bemærker endvidere på baggrund af Q3 2023-rapporten, at 10 henstillinger fra IAS (omfattende i alt 32 foranstaltninger) stadig er åbne, mens 21 foranstaltninger er markeret som meget vigtige, men at ingen af dem anses for at være kritiske; roser endvidere de fremskridt, som agenturet har gjort med hensyn til at imødekomme de resterende åbne anbefalinger fra Revisionsrettens særberetning 22/2020 (anbefaling 2) og 08/2021 (anbefaling 1, 2 og 4); gentager sin opfordring til agenturet om fuldt ud at behandle alle udestående anbefalinger og relaterede foranstaltninger, herunder med hensyn til Revisionsrettens relevante bemærkninger fra Revisionsrettens årlige revisionsberetninger fra tidligere år (2015, 2016, 2018, 2019, 2020 og 2021); opfordrer agenturet til fortsat regelmæssigt at underrette dechargemyndigheden om de fremskridt, der gøres;</w:t>
      </w:r>
    </w:p>
    <w:p w14:paraId="67A4949F" w14:textId="0BF7E190"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54</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noterer sig med bekymring på baggrund af Revisionsrettens beretning en række bemærkninger, der tyder på svagheder i agenturets forvaltnings- og interne kontrolsystemer inden for udbuds- og kontraktforvaltning, ansættelsesprocedurer og delegering af beføjelser til de ved delegation bemyndigede anvisningsberettigede; er dybt bekymret over, at Revisionsretten for andet år i træk fremsatte bemærkninger vedrørende indkøb af rejserelaterede tjenesteydelser, og at de pågældende beløb er meget høje; understreger, at det er yderst vigtigt, at agenturet overholder princippet om forsvarlig økonomisk forvaltning i forbindelse med gennemførelsen af EU-midler som fastsat i finansforordningen, og at agenturet er førende blandt Unionens decentrale agenturer for så vidt angår agenturets årlige budget, som er mere end fordoblet siden 2019;</w:t>
      </w:r>
    </w:p>
    <w:p w14:paraId="2FE69232" w14:textId="3F95132D"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55</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noterer sig med bekymring på baggrund af bilag 12 til agenturets konsoliderede årlige aktivitetsrapport bemærkningerne fra den tidligere midlertidige administrerende direktør (i øjeblikket stedfortrædende administrerende direktør for forvaltningen af det stående korps), ifølge hvilke der i løbet af 2021 forekom overprissætning, betalinger uden dokumentation og påstået manglende levering af kontraktlige tjenesteydelser i forbindelse med en kontrakt om tjenesteydelser i forbindelse med rejser og indkvartering for medarbejdere i det stående korps;</w:t>
      </w:r>
    </w:p>
    <w:p w14:paraId="3B835A5C" w14:textId="550D7239"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56</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noterer sig i Revisionsrettens beretning bemærkningen om en betydelig risiko for overfakturering, når det drejer sig om betalinger for rejseydelser (rammekontrakt på 30 mio. EUR), navnlig indkvartering, og at de fakturaer, som var udstedt af rejsebureauet, ikke var underbygget af de faktiske fakturaer fra hotellerne, men af et rejsebureaus datterselskab; opfordrer agenturet til at forbedre sin interne kontrol, således at de relevante fakturaer udarbejdes af den faktiske tjenesteyder;</w:t>
      </w:r>
    </w:p>
    <w:p w14:paraId="392E5F3A" w14:textId="7FE3DC7B"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57</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bemærker endvidere risikoen for, at betalinger i forbindelse med rejsebureauets omkostninger muligvis ikke er korrekte, fordi oplysningerne i agenturets system til forvaltning af dets rejserelaterede omkostninger ikke afstemmer de faktiske udgifter med rejsebureauets omkostninger, som indberettes og behandles adskilt fra de udgifter, der afholdes af ansatte på tjenesterejse; forstår på baggrund af agenturets svar årsagen til, at der er uoverensstemmelser mellem (MiPS) og regnskabssystemet (ABAC), og at der efter agenturets opfattelse ikke er nogen risiko for, at der foretages betalinger med et forkert beløb;</w:t>
      </w:r>
    </w:p>
    <w:p w14:paraId="43080BD0" w14:textId="638E4A7A"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58</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noterer sig på baggrund af Revisionsrettens beretning for andet år i træk en bemærkning om agenturets svagheder i den interne kontrol på området ansættelsesprocedurer; bemærker i den forbindelse, at medlemmer af udvælgelseskomitéen i 2022 i en procedure for ansættelse af midlertidigt ansatte havde lagt medlemmernes individuelle vurderinger sammen i stedet for at anvende en konsensusbaseret metode som fastsat i agenturets interne regler; beklager, at der igen er opstået en sådan svaghed, til trods for at agenturet i januar 2022 vedtog nye gennemførelsesbestemmelser med klarere instrukser til udvælgelseskomitéens medlemmer med henblik på at sikre en mere konsekvent vurdering og harmoniserede procedurer;</w:t>
      </w:r>
      <w:r w:rsidR="00430D25" w:rsidRPr="00140A13">
        <w:rPr>
          <w:rFonts w:ascii="Times New Roman" w:hAnsi="Times New Roman" w:cs="Times New Roman"/>
          <w:shd w:val="clear" w:color="auto" w:fill="FFFFFF"/>
          <w:lang w:val="da-DK"/>
        </w:rPr>
        <w:t xml:space="preserve"> glæder sig over agenturets tilsagn om at udvide reglerne om, at der kun tages hensyn til én endelig evalueringsrapport, som der er opnået enighed om mellem medlemmerne af udvælgelseskomitéen, til også at omfatte ansættelse af midlertidigt ansatte, uden at der tages hensyn til deres individuelle pointtal;</w:t>
      </w:r>
      <w:r w:rsidR="00430D25" w:rsidRPr="00140A13">
        <w:rPr>
          <w:rFonts w:ascii="Times New Roman" w:hAnsi="Times New Roman" w:cs="Times New Roman"/>
          <w:lang w:val="da-DK"/>
        </w:rPr>
        <w:t xml:space="preserve"> opfordrer agenturet til at styrke anvendelsen af de nye regler og dets interne kontrol i forbindelse med ansættelsesprocedurer;</w:t>
      </w:r>
    </w:p>
    <w:p w14:paraId="26B9F8F0" w14:textId="64CC0475"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59</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noterer sig vurderingen af, at det interne kontrolsystem, som blev udført i 2022; noterer sig konklusionen i vurderingen om, at det interne kontrolsystem er til stede og fungerer effektivt, og at nogle områder kræver forbedringer med hensyn til komponenterne "Kontrolmiljø" (navnlig princip 1 med overskriften "Viser en forpligtelse til integritet og etiske værdier"), "Kontrolaktiviteter" (navnlig punkt 10.5 med titlen "Følsomme positioner identificeret") og "Information og kommunikation" (navnlig punkt 15.1 med overskriften "Ekstern kommunikation"); bemærker en generel forbedring i 2022 i forhold til 2021 med hensyn til de point, der er givet til principperne i alle fem komponenter i det interne kontrolsystem;</w:t>
      </w:r>
    </w:p>
    <w:p w14:paraId="478FE8E0" w14:textId="01D3EA0E"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60</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bemærker med tilfredshed styrkelsen af agenturets interne tilsyn i 2022 gennem oprettelsen af den interne revisionsfunktion (IAC) og vedtagelsen af kapitlet om intern revision; glæder sig over, at lederen af den interne revisionsfunktion tiltrådte i 2023, og at den første årlige revisionsplan allerede er blevet vedtaget af bestyrelsen;</w:t>
      </w:r>
    </w:p>
    <w:p w14:paraId="76E5C378" w14:textId="39C6BDA1" w:rsidR="00430D25" w:rsidRPr="00140A13" w:rsidRDefault="00830F67" w:rsidP="00430D25">
      <w:pPr>
        <w:pStyle w:val="Normal12Hanging"/>
        <w:rPr>
          <w:rFonts w:ascii="Times New Roman" w:hAnsi="Times New Roman" w:cs="Times New Roman"/>
          <w:lang w:val="da-DK"/>
        </w:rPr>
      </w:pPr>
      <w:r>
        <w:rPr>
          <w:rFonts w:ascii="Times New Roman" w:hAnsi="Times New Roman" w:cs="Times New Roman"/>
          <w:lang w:val="da-DK"/>
        </w:rPr>
        <w:t>61</w:t>
      </w:r>
      <w:r w:rsidR="00430D25" w:rsidRPr="00140A13">
        <w:rPr>
          <w:rFonts w:ascii="Times New Roman" w:hAnsi="Times New Roman" w:cs="Times New Roman"/>
          <w:lang w:val="da-DK"/>
        </w:rPr>
        <w:t>.</w:t>
      </w:r>
      <w:r w:rsidR="00430D25" w:rsidRPr="00140A13">
        <w:rPr>
          <w:rFonts w:ascii="Times New Roman" w:hAnsi="Times New Roman" w:cs="Times New Roman"/>
          <w:lang w:val="da-DK"/>
        </w:rPr>
        <w:tab/>
        <w:t>minder om anbefalingen i Revisionsrettens beretning for 2018 om, at agenturet bør vedtage og gennemføre en politik vedrørende følsomme poster; noterer sig agenturets rapportering om forberedelserne til en afgørelse om en sådan politik, som i mellemtiden blev vedtaget (ved udgangen af 2023);</w:t>
      </w:r>
    </w:p>
    <w:p w14:paraId="6788DA96" w14:textId="77777777" w:rsidR="00430D25" w:rsidRPr="00140A13" w:rsidRDefault="00430D25" w:rsidP="00430D25">
      <w:pPr>
        <w:pStyle w:val="Normal12Hanging"/>
        <w:rPr>
          <w:rFonts w:ascii="Times New Roman" w:hAnsi="Times New Roman" w:cs="Times New Roman"/>
          <w:b/>
          <w:i/>
          <w:lang w:val="da-DK"/>
        </w:rPr>
      </w:pPr>
      <w:r w:rsidRPr="00140A13">
        <w:rPr>
          <w:rFonts w:ascii="Times New Roman" w:hAnsi="Times New Roman" w:cs="Times New Roman"/>
          <w:b/>
          <w:i/>
          <w:lang w:val="da-DK"/>
        </w:rPr>
        <w:t>Øvrige bemærkninger</w:t>
      </w:r>
    </w:p>
    <w:p w14:paraId="0836A069" w14:textId="18659938" w:rsidR="00430D25" w:rsidRPr="00140A13" w:rsidRDefault="00830F67" w:rsidP="00430D25">
      <w:pPr>
        <w:pStyle w:val="NormalHanging12a"/>
        <w:rPr>
          <w:szCs w:val="24"/>
        </w:rPr>
      </w:pPr>
      <w:r>
        <w:rPr>
          <w:szCs w:val="24"/>
        </w:rPr>
        <w:t>62</w:t>
      </w:r>
      <w:r w:rsidR="00430D25" w:rsidRPr="00140A13">
        <w:rPr>
          <w:szCs w:val="24"/>
        </w:rPr>
        <w:t>.</w:t>
      </w:r>
      <w:r w:rsidR="00430D25" w:rsidRPr="00140A13">
        <w:rPr>
          <w:szCs w:val="24"/>
        </w:rPr>
        <w:tab/>
        <w:t xml:space="preserve">bemærker, at udtalelserne fra Den Europæiske Tilsynsførende for Databeskyttelse (EDPS) om </w:t>
      </w:r>
      <w:r w:rsidR="00360326" w:rsidRPr="00140A13">
        <w:rPr>
          <w:szCs w:val="24"/>
        </w:rPr>
        <w:t xml:space="preserve">agenturets </w:t>
      </w:r>
      <w:r w:rsidR="00430D25" w:rsidRPr="00140A13">
        <w:rPr>
          <w:szCs w:val="24"/>
        </w:rPr>
        <w:t>bestyrelses afgørelse 68/2021 og 69/2021 var negative; bemærker, at agenturet udarbejdede en gennemførelsesplan for at imødekomme alle EDPS' henstillinger i denne henseende; bemærker endvidere, at disse afgørelser fra bestyrelsen er blevet omformuleret og tilpasset efter regelmæssige møder og uformelle udvekslinger mellem agenturets databeskyttelsesansvarlige og EDPS' personale samt ved at tage hensyn til EDPS' revisionsrapport, der blev offentliggjort den 24. maj 2023 (i det følgende benævnt "revisionsrapporten"); bemærker, at revisionsrapporten kontrollerede, at agenturets behandling af personoplysninger i forbindelse med fælles operationer var i overensstemmelse med forordning (EU) 2018/1725 og de relevante bestemmelser i forordning(EU) 2019/1896; bemærker endvidere i den forbindelse, at revisionsrapporten identificerede 36 formelle resultater og fremsatte 32 henstillinger vedrørende bl.a. screening af personer og debriefingsamtaler, ordninger for fælles dataansvarlige, lav pålidelighed af de oplysninger, der anvendes til udarbejdelse af risikoanalyser, og gennemførelse af databeskyttelse gennem design og indbygget databeskyttelse; bemærker med bekymring på baggrund af revisionsrapporten, at EDPS' resultater også viser, at agenturet har overtrådt flere artikler i retsgrundlaget, der finder anvendelse på agenturet (forordning (EU) 2018/1725, forordning (EU) 2019/1896) og bestyrelsens afgørelse 58/2015) ved ikke at vurdere, om det er strengt nødvendigt at dele datapakker med Europol med henblik på udførelsen af dets mandat, og at EDPS derfor har indledt en undersøgelse, som kan føre til udøvelse af håndhævelsesforanstaltninger; beklager, at EDPS efter sin revision påpegede seks tilfælde af videregivelse fra agenturet til Europol af personoplysninger vedrørende NGO'ers personale, hvis lovlighed skal undersøges nærmere; opfordrer agenturet til at behandle alle henstillinger inden for de frister for gennemførelse, som EDPS har udstedt i sin revisionsrapport, og til at holde dechargemyndigheden underrettet om udviklingen i denne sag;</w:t>
      </w:r>
    </w:p>
    <w:p w14:paraId="32B48F8C" w14:textId="0CB3A7A7" w:rsidR="00430D25" w:rsidRPr="00140A13" w:rsidRDefault="00830F67" w:rsidP="00430D25">
      <w:pPr>
        <w:pStyle w:val="NormalHanging12a"/>
        <w:rPr>
          <w:szCs w:val="24"/>
        </w:rPr>
      </w:pPr>
      <w:r>
        <w:rPr>
          <w:szCs w:val="24"/>
        </w:rPr>
        <w:t>63</w:t>
      </w:r>
      <w:r w:rsidR="00430D25" w:rsidRPr="00140A13">
        <w:rPr>
          <w:szCs w:val="24"/>
        </w:rPr>
        <w:t>.</w:t>
      </w:r>
      <w:r w:rsidR="00430D25" w:rsidRPr="00140A13">
        <w:rPr>
          <w:szCs w:val="24"/>
        </w:rPr>
        <w:tab/>
        <w:t>ser med tilfredshed på, at agenturet i løbet af de seneste to år har gennemgået betydelige ledelsesmæssige ændringer, herunder en ny stedfortrædende ansvarlig for grundlæggende rettigheder, en ny bestyrelsesformand, to nye viceadministrerende direktører og udnævnelsen af en ny administrerende direktør; noterer sig udarbejdelsen af handlingsplaner med de nationale myndigheder for at rette op på tidligere og aktuelle fejl;</w:t>
      </w:r>
    </w:p>
    <w:p w14:paraId="53F3B890" w14:textId="77777777" w:rsidR="00430D25" w:rsidRPr="00140A13" w:rsidRDefault="00430D25" w:rsidP="00430D25">
      <w:pPr>
        <w:pStyle w:val="NormalCenter12a"/>
        <w:rPr>
          <w:szCs w:val="24"/>
        </w:rPr>
      </w:pPr>
      <w:r w:rsidRPr="00140A13">
        <w:rPr>
          <w:szCs w:val="24"/>
        </w:rPr>
        <w:t>°</w:t>
      </w:r>
    </w:p>
    <w:p w14:paraId="47FC49D3" w14:textId="77777777" w:rsidR="00430D25" w:rsidRPr="00140A13" w:rsidRDefault="00430D25" w:rsidP="00430D25">
      <w:pPr>
        <w:pStyle w:val="NormalCenter12a"/>
        <w:rPr>
          <w:szCs w:val="24"/>
        </w:rPr>
      </w:pPr>
      <w:r w:rsidRPr="00140A13">
        <w:rPr>
          <w:szCs w:val="24"/>
        </w:rPr>
        <w:t>°</w:t>
      </w:r>
      <w:r w:rsidRPr="00140A13">
        <w:rPr>
          <w:szCs w:val="24"/>
        </w:rPr>
        <w:tab/>
        <w:t>°</w:t>
      </w:r>
    </w:p>
    <w:p w14:paraId="34A8F181" w14:textId="63336EE2" w:rsidR="00430D25" w:rsidRPr="00140A13" w:rsidRDefault="00830F67" w:rsidP="00430D25">
      <w:pPr>
        <w:pStyle w:val="NormalHanging12a"/>
        <w:rPr>
          <w:szCs w:val="24"/>
        </w:rPr>
      </w:pPr>
      <w:r>
        <w:rPr>
          <w:szCs w:val="24"/>
        </w:rPr>
        <w:t>64</w:t>
      </w:r>
      <w:r w:rsidR="00430D25" w:rsidRPr="00140A13">
        <w:rPr>
          <w:szCs w:val="24"/>
        </w:rPr>
        <w:t>.</w:t>
      </w:r>
      <w:r w:rsidR="00430D25" w:rsidRPr="00140A13">
        <w:rPr>
          <w:szCs w:val="24"/>
        </w:rPr>
        <w:tab/>
        <w:t xml:space="preserve">henviser med hensyn til de øvrige bemærkninger, der ledsager dechargeafgørelsen, og som er af horisontal karakter, til sin beslutning af </w:t>
      </w:r>
      <w:r w:rsidR="00AD14B9" w:rsidRPr="00140A13">
        <w:rPr>
          <w:szCs w:val="24"/>
        </w:rPr>
        <w:t>11. april 2024</w:t>
      </w:r>
      <w:r w:rsidR="00430D25" w:rsidRPr="00140A13">
        <w:rPr>
          <w:rStyle w:val="FootnoteReference"/>
          <w:szCs w:val="24"/>
        </w:rPr>
        <w:footnoteReference w:id="14"/>
      </w:r>
      <w:r w:rsidR="00430D25" w:rsidRPr="00140A13">
        <w:rPr>
          <w:szCs w:val="24"/>
        </w:rPr>
        <w:t xml:space="preserve"> om agenturernes resultater, økonomiske forvaltning og kontrol.</w:t>
      </w:r>
    </w:p>
    <w:p w14:paraId="5045B123" w14:textId="77777777" w:rsidR="00430D25" w:rsidRPr="00140A13" w:rsidRDefault="00430D25" w:rsidP="00430D25"/>
    <w:sectPr w:rsidR="00430D25" w:rsidRPr="00140A13" w:rsidSect="002C5F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4E41E" w14:textId="77777777" w:rsidR="008D469E" w:rsidRPr="002C5FCF" w:rsidRDefault="008D469E">
      <w:r w:rsidRPr="002C5FCF">
        <w:separator/>
      </w:r>
    </w:p>
  </w:endnote>
  <w:endnote w:type="continuationSeparator" w:id="0">
    <w:p w14:paraId="08923E74" w14:textId="77777777" w:rsidR="008D469E" w:rsidRPr="002C5FCF" w:rsidRDefault="008D469E">
      <w:r w:rsidRPr="002C5F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2D86A" w14:textId="77777777" w:rsidR="00430D25" w:rsidRPr="002C5FCF" w:rsidRDefault="00430D25" w:rsidP="001172B8">
    <w:pPr>
      <w:pStyle w:val="EPFooter"/>
    </w:pPr>
    <w:r w:rsidRPr="002C5FCF">
      <w:t>PE</w:t>
    </w:r>
    <w:r w:rsidRPr="002C5FCF">
      <w:rPr>
        <w:rStyle w:val="HideTWBExt"/>
      </w:rPr>
      <w:t>&lt;NoPE&gt;</w:t>
    </w:r>
    <w:r w:rsidRPr="002C5FCF">
      <w:t>753.543</w:t>
    </w:r>
    <w:r w:rsidRPr="002C5FCF">
      <w:rPr>
        <w:rStyle w:val="HideTWBExt"/>
      </w:rPr>
      <w:t>&lt;/NoPE&gt;&lt;Version&gt;</w:t>
    </w:r>
    <w:r w:rsidRPr="002C5FCF">
      <w:t>v03-00</w:t>
    </w:r>
    <w:r w:rsidRPr="002C5FCF">
      <w:rPr>
        <w:rStyle w:val="HideTWBExt"/>
      </w:rPr>
      <w:t>&lt;/Version&gt;</w:t>
    </w:r>
    <w:r w:rsidRPr="002C5FCF">
      <w:tab/>
    </w:r>
    <w:r w:rsidRPr="002C5FCF">
      <w:fldChar w:fldCharType="begin"/>
    </w:r>
    <w:r w:rsidRPr="002C5FCF">
      <w:instrText xml:space="preserve"> PAGE  \* MERGEFORMAT </w:instrText>
    </w:r>
    <w:r w:rsidRPr="002C5FCF">
      <w:fldChar w:fldCharType="separate"/>
    </w:r>
    <w:r w:rsidRPr="002C5FCF">
      <w:rPr>
        <w:noProof/>
      </w:rPr>
      <w:t>4</w:t>
    </w:r>
    <w:r w:rsidRPr="002C5FCF">
      <w:fldChar w:fldCharType="end"/>
    </w:r>
    <w:r w:rsidRPr="002C5FCF">
      <w:t>/</w:t>
    </w:r>
    <w:fldSimple w:instr=" NUMPAGES  \* MERGEFORMAT ">
      <w:r w:rsidRPr="002C5FCF">
        <w:rPr>
          <w:noProof/>
        </w:rPr>
        <w:t>4</w:t>
      </w:r>
    </w:fldSimple>
    <w:r w:rsidRPr="002C5FCF">
      <w:tab/>
    </w:r>
    <w:r w:rsidRPr="002C5FCF">
      <w:rPr>
        <w:rStyle w:val="HideTWBExt"/>
      </w:rPr>
      <w:t>&lt;PathFdR&gt;</w:t>
    </w:r>
    <w:r w:rsidRPr="002C5FCF">
      <w:t>RR\1298909DA.docx</w:t>
    </w:r>
    <w:r w:rsidRPr="002C5FCF">
      <w:rPr>
        <w:rStyle w:val="HideTWBExt"/>
      </w:rPr>
      <w:t>&lt;/PathFdR&gt;</w:t>
    </w:r>
  </w:p>
  <w:p w14:paraId="1C954AD4" w14:textId="77777777" w:rsidR="00430D25" w:rsidRPr="002C5FCF" w:rsidRDefault="00430D25" w:rsidP="001172B8">
    <w:pPr>
      <w:pStyle w:val="EPFooter2"/>
    </w:pPr>
    <w:r w:rsidRPr="002C5FC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B72F3" w14:textId="77777777" w:rsidR="00430D25" w:rsidRPr="002C5FCF" w:rsidRDefault="00430D25" w:rsidP="001172B8">
    <w:pPr>
      <w:pStyle w:val="EPFooter"/>
    </w:pPr>
    <w:r w:rsidRPr="002C5FCF">
      <w:rPr>
        <w:rStyle w:val="HideTWBExt"/>
      </w:rPr>
      <w:t>&lt;PathFdR&gt;</w:t>
    </w:r>
    <w:r w:rsidRPr="002C5FCF">
      <w:t>RR\1298909DA.docx</w:t>
    </w:r>
    <w:r w:rsidRPr="002C5FCF">
      <w:rPr>
        <w:rStyle w:val="HideTWBExt"/>
      </w:rPr>
      <w:t>&lt;/PathFdR&gt;</w:t>
    </w:r>
    <w:r w:rsidRPr="002C5FCF">
      <w:tab/>
    </w:r>
    <w:r w:rsidRPr="002C5FCF">
      <w:tab/>
      <w:t>PE</w:t>
    </w:r>
    <w:r w:rsidRPr="002C5FCF">
      <w:rPr>
        <w:rStyle w:val="HideTWBExt"/>
      </w:rPr>
      <w:t>&lt;NoPE&gt;</w:t>
    </w:r>
    <w:r w:rsidRPr="002C5FCF">
      <w:t>753.543</w:t>
    </w:r>
    <w:r w:rsidRPr="002C5FCF">
      <w:rPr>
        <w:rStyle w:val="HideTWBExt"/>
      </w:rPr>
      <w:t>&lt;/NoPE&gt;&lt;Version&gt;</w:t>
    </w:r>
    <w:r w:rsidRPr="002C5FCF">
      <w:t>v03-00</w:t>
    </w:r>
    <w:r w:rsidRPr="002C5FCF">
      <w:rPr>
        <w:rStyle w:val="HideTWBExt"/>
      </w:rPr>
      <w:t>&lt;/Version&gt;</w:t>
    </w:r>
  </w:p>
  <w:p w14:paraId="24C5C62C" w14:textId="77777777" w:rsidR="00430D25" w:rsidRPr="002C5FCF" w:rsidRDefault="00430D25" w:rsidP="001172B8">
    <w:pPr>
      <w:pStyle w:val="EPFooter2"/>
    </w:pPr>
    <w:r w:rsidRPr="002C5FCF">
      <w:t>DA</w:t>
    </w:r>
    <w:r w:rsidRPr="002C5FCF">
      <w:tab/>
    </w:r>
    <w:r w:rsidRPr="002C5FCF">
      <w:rPr>
        <w:b w:val="0"/>
        <w:i/>
        <w:color w:val="C0C0C0"/>
        <w:sz w:val="22"/>
      </w:rPr>
      <w:t>Forenet i mangfoldighed</w:t>
    </w:r>
    <w:r w:rsidRPr="002C5FC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AC4A7" w14:textId="77777777" w:rsidR="00064002" w:rsidRPr="002C5FC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191C4" w14:textId="77777777" w:rsidR="00064002" w:rsidRPr="002C5FC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FA2F5" w14:textId="77777777" w:rsidR="00064002" w:rsidRPr="002C5F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FBEF1" w14:textId="77777777" w:rsidR="008D469E" w:rsidRPr="002C5FCF" w:rsidRDefault="008D469E">
      <w:r w:rsidRPr="002C5FCF">
        <w:separator/>
      </w:r>
    </w:p>
  </w:footnote>
  <w:footnote w:type="continuationSeparator" w:id="0">
    <w:p w14:paraId="1CABD1E7" w14:textId="77777777" w:rsidR="008D469E" w:rsidRPr="002C5FCF" w:rsidRDefault="008D469E">
      <w:r w:rsidRPr="002C5FCF">
        <w:continuationSeparator/>
      </w:r>
    </w:p>
  </w:footnote>
  <w:footnote w:id="1">
    <w:p w14:paraId="1587BD6C" w14:textId="7B715673" w:rsidR="00430D25" w:rsidRPr="00140A13" w:rsidRDefault="00430D25" w:rsidP="002C5FCF">
      <w:pPr>
        <w:pStyle w:val="FootnoteText"/>
        <w:ind w:left="567" w:hanging="567"/>
        <w:rPr>
          <w:sz w:val="24"/>
        </w:rPr>
      </w:pPr>
      <w:r w:rsidRPr="002C5FCF">
        <w:rPr>
          <w:rStyle w:val="FootnoteReference"/>
          <w:sz w:val="24"/>
          <w:lang w:val="da-DK"/>
        </w:rPr>
        <w:footnoteRef/>
      </w:r>
      <w:r w:rsidR="002C5FCF" w:rsidRPr="00140A13">
        <w:rPr>
          <w:sz w:val="24"/>
        </w:rPr>
        <w:t xml:space="preserve"> </w:t>
      </w:r>
      <w:r w:rsidR="002C5FCF" w:rsidRPr="00140A13">
        <w:rPr>
          <w:sz w:val="24"/>
        </w:rPr>
        <w:tab/>
      </w:r>
      <w:r w:rsidRPr="00140A13">
        <w:rPr>
          <w:sz w:val="24"/>
        </w:rPr>
        <w:t>EUT C, C/2023/594, 27.10</w:t>
      </w:r>
      <w:r w:rsidR="00AD14B9" w:rsidRPr="00140A13">
        <w:rPr>
          <w:sz w:val="24"/>
        </w:rPr>
        <w:t>.</w:t>
      </w:r>
      <w:r w:rsidRPr="00140A13">
        <w:rPr>
          <w:sz w:val="24"/>
        </w:rPr>
        <w:t>2023.</w:t>
      </w:r>
    </w:p>
  </w:footnote>
  <w:footnote w:id="2">
    <w:p w14:paraId="137A9C59" w14:textId="77777777" w:rsidR="00430D25" w:rsidRPr="00140A13" w:rsidRDefault="00430D25" w:rsidP="002C5FCF">
      <w:pPr>
        <w:pStyle w:val="NormalWeb"/>
        <w:spacing w:before="0" w:beforeAutospacing="0" w:after="0" w:afterAutospacing="0"/>
        <w:ind w:left="567" w:hanging="567"/>
        <w:rPr>
          <w:szCs w:val="20"/>
          <w:lang w:val="fr-FR"/>
        </w:rPr>
      </w:pPr>
      <w:r w:rsidRPr="002C5FCF">
        <w:rPr>
          <w:rStyle w:val="FootnoteReference"/>
          <w:szCs w:val="20"/>
        </w:rPr>
        <w:footnoteRef/>
      </w:r>
      <w:r w:rsidR="002C5FCF" w:rsidRPr="00140A13">
        <w:rPr>
          <w:szCs w:val="20"/>
          <w:lang w:val="fr-FR"/>
        </w:rPr>
        <w:t xml:space="preserve"> </w:t>
      </w:r>
      <w:r w:rsidR="002C5FCF" w:rsidRPr="00140A13">
        <w:rPr>
          <w:szCs w:val="20"/>
          <w:lang w:val="fr-FR"/>
        </w:rPr>
        <w:tab/>
      </w:r>
      <w:r w:rsidRPr="00140A13">
        <w:rPr>
          <w:szCs w:val="20"/>
          <w:lang w:val="fr-FR"/>
        </w:rPr>
        <w:t>EUT C, C/2023/112, 12.10.2023.</w:t>
      </w:r>
    </w:p>
  </w:footnote>
  <w:footnote w:id="3">
    <w:p w14:paraId="61CCBA14" w14:textId="77777777" w:rsidR="00430D25" w:rsidRPr="002C5FCF" w:rsidRDefault="00430D25" w:rsidP="002C5FCF">
      <w:pPr>
        <w:pStyle w:val="FootnoteText"/>
        <w:ind w:left="567" w:hanging="567"/>
        <w:rPr>
          <w:sz w:val="24"/>
          <w:lang w:val="da-DK"/>
        </w:rPr>
      </w:pPr>
      <w:r w:rsidRPr="002C5FCF">
        <w:rPr>
          <w:rStyle w:val="FootnoteReference"/>
          <w:sz w:val="24"/>
          <w:lang w:val="da-DK"/>
        </w:rPr>
        <w:footnoteRef/>
      </w:r>
      <w:r w:rsidR="002C5FCF" w:rsidRPr="002C5FCF">
        <w:rPr>
          <w:sz w:val="24"/>
          <w:lang w:val="da-DK"/>
        </w:rPr>
        <w:t xml:space="preserve"> </w:t>
      </w:r>
      <w:r w:rsidR="002C5FCF" w:rsidRPr="002C5FCF">
        <w:rPr>
          <w:sz w:val="24"/>
          <w:lang w:val="da-DK"/>
        </w:rPr>
        <w:tab/>
      </w:r>
      <w:r w:rsidRPr="002C5FCF">
        <w:rPr>
          <w:sz w:val="24"/>
          <w:lang w:val="da-DK"/>
        </w:rPr>
        <w:t>EUT L 193 af 30.7.2018, s. 1.</w:t>
      </w:r>
    </w:p>
  </w:footnote>
  <w:footnote w:id="4">
    <w:p w14:paraId="060B7081" w14:textId="77777777" w:rsidR="00430D25" w:rsidRPr="002C5FCF" w:rsidRDefault="00430D25" w:rsidP="002C5FCF">
      <w:pPr>
        <w:pStyle w:val="FootnoteText"/>
        <w:ind w:left="567" w:hanging="567"/>
        <w:rPr>
          <w:sz w:val="24"/>
          <w:lang w:val="da-DK"/>
        </w:rPr>
      </w:pPr>
      <w:r w:rsidRPr="002C5FCF">
        <w:rPr>
          <w:rStyle w:val="FootnoteReference"/>
          <w:sz w:val="24"/>
          <w:lang w:val="da-DK"/>
        </w:rPr>
        <w:footnoteRef/>
      </w:r>
      <w:r w:rsidR="002C5FCF" w:rsidRPr="002C5FCF">
        <w:rPr>
          <w:sz w:val="24"/>
          <w:lang w:val="da-DK"/>
        </w:rPr>
        <w:t xml:space="preserve"> </w:t>
      </w:r>
      <w:r w:rsidR="002C5FCF" w:rsidRPr="002C5FCF">
        <w:rPr>
          <w:sz w:val="24"/>
          <w:lang w:val="da-DK"/>
        </w:rPr>
        <w:tab/>
      </w:r>
      <w:r w:rsidRPr="002C5FCF">
        <w:rPr>
          <w:sz w:val="24"/>
          <w:lang w:val="da-DK"/>
        </w:rPr>
        <w:t>EUT L 295 af 14.11.2019, s. 1.</w:t>
      </w:r>
    </w:p>
  </w:footnote>
  <w:footnote w:id="5">
    <w:p w14:paraId="7FE7B32A" w14:textId="77777777" w:rsidR="00430D25" w:rsidRPr="00741060" w:rsidRDefault="00430D25" w:rsidP="002C5FCF">
      <w:pPr>
        <w:pStyle w:val="FootnoteText"/>
        <w:ind w:left="567" w:hanging="567"/>
        <w:rPr>
          <w:sz w:val="24"/>
          <w:lang w:val="da-DK"/>
        </w:rPr>
      </w:pPr>
      <w:r w:rsidRPr="002C5FCF">
        <w:rPr>
          <w:rStyle w:val="FootnoteReference"/>
          <w:sz w:val="24"/>
          <w:lang w:val="da-DK"/>
        </w:rPr>
        <w:footnoteRef/>
      </w:r>
      <w:r w:rsidR="002C5FCF" w:rsidRPr="00741060">
        <w:rPr>
          <w:sz w:val="24"/>
          <w:lang w:val="da-DK"/>
        </w:rPr>
        <w:t xml:space="preserve"> </w:t>
      </w:r>
      <w:r w:rsidR="002C5FCF" w:rsidRPr="00741060">
        <w:rPr>
          <w:sz w:val="24"/>
          <w:lang w:val="da-DK"/>
        </w:rPr>
        <w:tab/>
      </w:r>
      <w:r w:rsidRPr="00741060">
        <w:rPr>
          <w:sz w:val="24"/>
          <w:lang w:val="da-DK"/>
        </w:rPr>
        <w:t>EUT L 122 af 10.5.2019, s. 1.</w:t>
      </w:r>
    </w:p>
  </w:footnote>
  <w:footnote w:id="6">
    <w:p w14:paraId="76D15C33" w14:textId="460E6CCB" w:rsidR="00430D25" w:rsidRPr="00741060" w:rsidRDefault="00430D25" w:rsidP="002C5FCF">
      <w:pPr>
        <w:pStyle w:val="FootnoteText"/>
        <w:ind w:left="567" w:hanging="567"/>
        <w:rPr>
          <w:sz w:val="24"/>
          <w:lang w:val="da-DK"/>
        </w:rPr>
      </w:pPr>
      <w:r w:rsidRPr="002C5FCF">
        <w:rPr>
          <w:rStyle w:val="FootnoteReference"/>
          <w:sz w:val="24"/>
          <w:lang w:val="da-DK"/>
        </w:rPr>
        <w:footnoteRef/>
      </w:r>
      <w:r w:rsidR="002C5FCF" w:rsidRPr="00741060">
        <w:rPr>
          <w:sz w:val="24"/>
          <w:lang w:val="da-DK"/>
        </w:rPr>
        <w:t xml:space="preserve"> </w:t>
      </w:r>
      <w:r w:rsidR="002C5FCF" w:rsidRPr="00741060">
        <w:rPr>
          <w:sz w:val="24"/>
          <w:lang w:val="da-DK"/>
        </w:rPr>
        <w:tab/>
      </w:r>
      <w:r w:rsidRPr="00741060">
        <w:rPr>
          <w:sz w:val="24"/>
          <w:lang w:val="da-DK"/>
        </w:rPr>
        <w:t>EUT C, C/2023/594, 27.10</w:t>
      </w:r>
      <w:r w:rsidR="00AD14B9" w:rsidRPr="00741060">
        <w:rPr>
          <w:sz w:val="24"/>
          <w:lang w:val="da-DK"/>
        </w:rPr>
        <w:t>.</w:t>
      </w:r>
      <w:r w:rsidRPr="00741060">
        <w:rPr>
          <w:sz w:val="24"/>
          <w:lang w:val="da-DK"/>
        </w:rPr>
        <w:t>2023.</w:t>
      </w:r>
    </w:p>
  </w:footnote>
  <w:footnote w:id="7">
    <w:p w14:paraId="58CAF9CD" w14:textId="77777777" w:rsidR="00430D25" w:rsidRPr="00140A13" w:rsidRDefault="00430D25" w:rsidP="002C5FCF">
      <w:pPr>
        <w:pStyle w:val="FootnoteText"/>
        <w:ind w:left="567" w:hanging="567"/>
        <w:rPr>
          <w:sz w:val="24"/>
        </w:rPr>
      </w:pPr>
      <w:r w:rsidRPr="002C5FCF">
        <w:rPr>
          <w:rStyle w:val="FootnoteReference"/>
          <w:sz w:val="24"/>
          <w:lang w:val="da-DK"/>
        </w:rPr>
        <w:footnoteRef/>
      </w:r>
      <w:r w:rsidR="002C5FCF" w:rsidRPr="00140A13">
        <w:rPr>
          <w:sz w:val="24"/>
        </w:rPr>
        <w:t xml:space="preserve"> </w:t>
      </w:r>
      <w:r w:rsidR="002C5FCF" w:rsidRPr="00140A13">
        <w:rPr>
          <w:sz w:val="24"/>
        </w:rPr>
        <w:tab/>
      </w:r>
      <w:r w:rsidRPr="00140A13">
        <w:rPr>
          <w:sz w:val="24"/>
        </w:rPr>
        <w:t>EUT C, C/2023/112, 12.10.2023.</w:t>
      </w:r>
    </w:p>
  </w:footnote>
  <w:footnote w:id="8">
    <w:p w14:paraId="7DDE0F40" w14:textId="77777777" w:rsidR="00430D25" w:rsidRPr="00741060" w:rsidRDefault="00430D25" w:rsidP="002C5FCF">
      <w:pPr>
        <w:pStyle w:val="FootnoteText"/>
        <w:ind w:left="567" w:hanging="567"/>
        <w:rPr>
          <w:sz w:val="24"/>
        </w:rPr>
      </w:pPr>
      <w:r w:rsidRPr="002C5FCF">
        <w:rPr>
          <w:rStyle w:val="FootnoteReference"/>
          <w:sz w:val="24"/>
          <w:lang w:val="da-DK"/>
        </w:rPr>
        <w:footnoteRef/>
      </w:r>
      <w:r w:rsidR="002C5FCF" w:rsidRPr="00741060">
        <w:rPr>
          <w:sz w:val="24"/>
        </w:rPr>
        <w:t xml:space="preserve"> </w:t>
      </w:r>
      <w:r w:rsidR="002C5FCF" w:rsidRPr="00741060">
        <w:rPr>
          <w:sz w:val="24"/>
        </w:rPr>
        <w:tab/>
      </w:r>
      <w:r w:rsidRPr="00741060">
        <w:rPr>
          <w:sz w:val="24"/>
        </w:rPr>
        <w:t>EUT L 193 af 30.7.2018, s. 1.</w:t>
      </w:r>
    </w:p>
  </w:footnote>
  <w:footnote w:id="9">
    <w:p w14:paraId="4AFC0C07" w14:textId="77777777" w:rsidR="00430D25" w:rsidRPr="002C5FCF" w:rsidRDefault="00430D25" w:rsidP="002C5FCF">
      <w:pPr>
        <w:pStyle w:val="FootnoteText"/>
        <w:ind w:left="567" w:hanging="567"/>
        <w:rPr>
          <w:sz w:val="24"/>
          <w:lang w:val="da-DK"/>
        </w:rPr>
      </w:pPr>
      <w:r w:rsidRPr="002C5FCF">
        <w:rPr>
          <w:rStyle w:val="FootnoteReference"/>
          <w:sz w:val="24"/>
          <w:lang w:val="da-DK"/>
        </w:rPr>
        <w:footnoteRef/>
      </w:r>
      <w:r w:rsidR="002C5FCF" w:rsidRPr="002C5FCF">
        <w:rPr>
          <w:sz w:val="24"/>
          <w:lang w:val="da-DK"/>
        </w:rPr>
        <w:t xml:space="preserve"> </w:t>
      </w:r>
      <w:r w:rsidR="002C5FCF" w:rsidRPr="002C5FCF">
        <w:rPr>
          <w:sz w:val="24"/>
          <w:lang w:val="da-DK"/>
        </w:rPr>
        <w:tab/>
      </w:r>
      <w:r w:rsidRPr="002C5FCF">
        <w:rPr>
          <w:sz w:val="24"/>
          <w:lang w:val="da-DK"/>
        </w:rPr>
        <w:t>EUT L 295 af 14.11.2019, s. 1.</w:t>
      </w:r>
    </w:p>
  </w:footnote>
  <w:footnote w:id="10">
    <w:p w14:paraId="42663319" w14:textId="77777777" w:rsidR="00430D25" w:rsidRPr="002C5FCF" w:rsidRDefault="00430D25" w:rsidP="002C5FCF">
      <w:pPr>
        <w:pStyle w:val="FootnoteText"/>
        <w:ind w:left="567" w:hanging="567"/>
        <w:rPr>
          <w:sz w:val="24"/>
          <w:lang w:val="da-DK"/>
        </w:rPr>
      </w:pPr>
      <w:r w:rsidRPr="002C5FCF">
        <w:rPr>
          <w:rStyle w:val="FootnoteReference"/>
          <w:sz w:val="24"/>
          <w:lang w:val="da-DK"/>
        </w:rPr>
        <w:footnoteRef/>
      </w:r>
      <w:r w:rsidR="002C5FCF" w:rsidRPr="002C5FCF">
        <w:rPr>
          <w:sz w:val="24"/>
          <w:lang w:val="da-DK"/>
        </w:rPr>
        <w:t xml:space="preserve"> </w:t>
      </w:r>
      <w:r w:rsidR="002C5FCF" w:rsidRPr="002C5FCF">
        <w:rPr>
          <w:sz w:val="24"/>
          <w:lang w:val="da-DK"/>
        </w:rPr>
        <w:tab/>
      </w:r>
      <w:r w:rsidRPr="002C5FCF">
        <w:rPr>
          <w:sz w:val="24"/>
          <w:lang w:val="da-DK"/>
        </w:rPr>
        <w:t>EUT L 122 af 10.5.2019, s. 1.</w:t>
      </w:r>
    </w:p>
  </w:footnote>
  <w:footnote w:id="11">
    <w:p w14:paraId="65C315A7" w14:textId="77777777" w:rsidR="00430D25" w:rsidRPr="002C5FCF" w:rsidRDefault="00430D25" w:rsidP="002C5FCF">
      <w:pPr>
        <w:pStyle w:val="FootnoteText"/>
        <w:ind w:left="567" w:hanging="567"/>
        <w:rPr>
          <w:sz w:val="24"/>
          <w:lang w:val="da-DK"/>
        </w:rPr>
      </w:pPr>
      <w:r w:rsidRPr="002C5FCF">
        <w:rPr>
          <w:rStyle w:val="FootnoteReference"/>
          <w:sz w:val="24"/>
          <w:lang w:val="da-DK"/>
        </w:rPr>
        <w:footnoteRef/>
      </w:r>
      <w:r w:rsidR="002C5FCF" w:rsidRPr="002C5FCF">
        <w:rPr>
          <w:sz w:val="24"/>
          <w:lang w:val="da-DK"/>
        </w:rPr>
        <w:t xml:space="preserve"> </w:t>
      </w:r>
      <w:r w:rsidR="002C5FCF" w:rsidRPr="002C5FCF">
        <w:rPr>
          <w:sz w:val="24"/>
          <w:lang w:val="da-DK"/>
        </w:rPr>
        <w:tab/>
      </w:r>
      <w:r w:rsidRPr="002C5FCF">
        <w:rPr>
          <w:sz w:val="24"/>
          <w:lang w:val="da-DK"/>
        </w:rPr>
        <w:t>EUT C 141 af 29.3.2022, s. 112.</w:t>
      </w:r>
    </w:p>
  </w:footnote>
  <w:footnote w:id="12">
    <w:p w14:paraId="0822A421" w14:textId="77777777" w:rsidR="00430D25" w:rsidRPr="002C5FCF" w:rsidRDefault="00430D25" w:rsidP="002C5FCF">
      <w:pPr>
        <w:pStyle w:val="FootnoteText"/>
        <w:ind w:left="567" w:hanging="567"/>
        <w:rPr>
          <w:sz w:val="24"/>
          <w:lang w:val="da-DK"/>
        </w:rPr>
      </w:pPr>
      <w:r w:rsidRPr="002C5FCF">
        <w:rPr>
          <w:rStyle w:val="FootnoteReference"/>
          <w:sz w:val="24"/>
          <w:lang w:val="da-DK"/>
        </w:rPr>
        <w:footnoteRef/>
      </w:r>
      <w:r w:rsidR="002C5FCF" w:rsidRPr="002C5FCF">
        <w:rPr>
          <w:sz w:val="24"/>
          <w:lang w:val="da-DK"/>
        </w:rPr>
        <w:t xml:space="preserve"> </w:t>
      </w:r>
      <w:r w:rsidR="002C5FCF" w:rsidRPr="002C5FCF">
        <w:rPr>
          <w:sz w:val="24"/>
          <w:lang w:val="da-DK"/>
        </w:rPr>
        <w:tab/>
      </w:r>
      <w:r w:rsidRPr="002C5FCF">
        <w:rPr>
          <w:sz w:val="24"/>
          <w:lang w:val="da-DK"/>
        </w:rPr>
        <w:t>Retten har fastslået, at "En almindelig adgang støttet på forordning (EF) nr. 1049/2001 til dokumenterne i OLAF's sagsakter, så længe en undersøgelse foretaget af OLAF verserer, vil med andre ord i princippet skade afviklingen af undersøgelsen". Rettens dom i sag T</w:t>
      </w:r>
      <w:r w:rsidRPr="002C5FCF">
        <w:rPr>
          <w:sz w:val="24"/>
          <w:lang w:val="da-DK"/>
        </w:rPr>
        <w:noBreakHyphen/>
        <w:t>110/15 af 26. maj 2016, IMG mod Kommissionen, præmis 33, ECLI:EU:T:2016:322.</w:t>
      </w:r>
    </w:p>
  </w:footnote>
  <w:footnote w:id="13">
    <w:p w14:paraId="33FF2E27" w14:textId="77777777" w:rsidR="00430D25" w:rsidRPr="002C5FCF" w:rsidRDefault="00430D25" w:rsidP="002C5FCF">
      <w:pPr>
        <w:pStyle w:val="FootnoteText"/>
        <w:ind w:left="567" w:hanging="567"/>
        <w:rPr>
          <w:sz w:val="24"/>
          <w:lang w:val="da-DK"/>
        </w:rPr>
      </w:pPr>
      <w:r w:rsidRPr="002C5FCF">
        <w:rPr>
          <w:rStyle w:val="FootnoteReference"/>
          <w:sz w:val="24"/>
          <w:lang w:val="da-DK"/>
        </w:rPr>
        <w:footnoteRef/>
      </w:r>
      <w:r w:rsidR="002C5FCF" w:rsidRPr="002C5FCF">
        <w:rPr>
          <w:sz w:val="24"/>
          <w:lang w:val="da-DK"/>
        </w:rPr>
        <w:t xml:space="preserve"> </w:t>
      </w:r>
      <w:r w:rsidR="002C5FCF" w:rsidRPr="002C5FCF">
        <w:rPr>
          <w:sz w:val="24"/>
          <w:lang w:val="da-DK"/>
        </w:rPr>
        <w:tab/>
      </w:r>
      <w:hyperlink r:id="rId1" w:history="1">
        <w:r w:rsidRPr="002C5FCF">
          <w:rPr>
            <w:rStyle w:val="Hyperlink"/>
            <w:sz w:val="24"/>
            <w:lang w:val="da-DK"/>
          </w:rPr>
          <w:t>https://www.ombudsman.europa.eu/da/decision/da/177520</w:t>
        </w:r>
      </w:hyperlink>
    </w:p>
  </w:footnote>
  <w:footnote w:id="14">
    <w:p w14:paraId="5F9A4F6E" w14:textId="3D084D50" w:rsidR="00430D25" w:rsidRPr="002C5FCF" w:rsidRDefault="00430D25" w:rsidP="002C5FCF">
      <w:pPr>
        <w:pStyle w:val="FootnoteText"/>
        <w:ind w:left="567" w:hanging="567"/>
        <w:rPr>
          <w:sz w:val="24"/>
          <w:lang w:val="da-DK"/>
        </w:rPr>
      </w:pPr>
      <w:r w:rsidRPr="002C5FCF">
        <w:rPr>
          <w:rStyle w:val="FootnoteReference"/>
          <w:sz w:val="24"/>
          <w:lang w:val="da-DK"/>
        </w:rPr>
        <w:footnoteRef/>
      </w:r>
      <w:r w:rsidR="002C5FCF" w:rsidRPr="002C5FCF">
        <w:rPr>
          <w:sz w:val="24"/>
          <w:lang w:val="da-DK"/>
        </w:rPr>
        <w:t xml:space="preserve"> </w:t>
      </w:r>
      <w:r w:rsidR="002C5FCF" w:rsidRPr="002C5FCF">
        <w:rPr>
          <w:sz w:val="24"/>
          <w:lang w:val="da-DK"/>
        </w:rPr>
        <w:tab/>
      </w:r>
      <w:r w:rsidRPr="002C5FCF">
        <w:rPr>
          <w:sz w:val="24"/>
          <w:lang w:val="da-DK"/>
        </w:rPr>
        <w:t>Vedtagne tekster, P9_</w:t>
      </w:r>
      <w:proofErr w:type="gramStart"/>
      <w:r w:rsidRPr="002C5FCF">
        <w:rPr>
          <w:sz w:val="24"/>
          <w:lang w:val="da-DK"/>
        </w:rPr>
        <w:t>TA(</w:t>
      </w:r>
      <w:proofErr w:type="gramEnd"/>
      <w:r w:rsidRPr="002C5FCF">
        <w:rPr>
          <w:sz w:val="24"/>
          <w:lang w:val="da-DK"/>
        </w:rPr>
        <w:t>2024)</w:t>
      </w:r>
      <w:r w:rsidR="00741060">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32F54" w14:textId="77777777" w:rsidR="00064002" w:rsidRPr="002C5F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94B7" w14:textId="77777777" w:rsidR="00064002" w:rsidRPr="002C5F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D567C" w14:textId="77777777" w:rsidR="00064002" w:rsidRPr="002C5F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DA"/>
    <w:docVar w:name="dvnumam" w:val="0"/>
    <w:docVar w:name="dvpe" w:val="753.543"/>
    <w:docVar w:name="dvrapporteur" w:val="Ordfører: "/>
    <w:docVar w:name="dvtitre" w:val="1. Europa-Parlamentets afgørelse af 11. april 2024 om decharge for gennemførelsen af budgettet for Det Europæiske Agentur for Grænse- og Kystbevogtning for regnskabsåret 2022(2023/2172(DEC))"/>
  </w:docVars>
  <w:rsids>
    <w:rsidRoot w:val="008D469E"/>
    <w:rsid w:val="00002272"/>
    <w:rsid w:val="00064002"/>
    <w:rsid w:val="000677B9"/>
    <w:rsid w:val="000831BA"/>
    <w:rsid w:val="000A42CC"/>
    <w:rsid w:val="000E7DD9"/>
    <w:rsid w:val="0010095E"/>
    <w:rsid w:val="00125B37"/>
    <w:rsid w:val="00140A13"/>
    <w:rsid w:val="00187494"/>
    <w:rsid w:val="001F32AE"/>
    <w:rsid w:val="002767FF"/>
    <w:rsid w:val="002B18FE"/>
    <w:rsid w:val="002B5493"/>
    <w:rsid w:val="002C5FCF"/>
    <w:rsid w:val="00343214"/>
    <w:rsid w:val="00360326"/>
    <w:rsid w:val="00361C00"/>
    <w:rsid w:val="00395FA1"/>
    <w:rsid w:val="003E15D4"/>
    <w:rsid w:val="003F3BB4"/>
    <w:rsid w:val="00411CCE"/>
    <w:rsid w:val="0041666E"/>
    <w:rsid w:val="00421060"/>
    <w:rsid w:val="00430D25"/>
    <w:rsid w:val="00471C19"/>
    <w:rsid w:val="004867E3"/>
    <w:rsid w:val="00494A28"/>
    <w:rsid w:val="004C0004"/>
    <w:rsid w:val="004C5D52"/>
    <w:rsid w:val="0050519A"/>
    <w:rsid w:val="005072A1"/>
    <w:rsid w:val="00514517"/>
    <w:rsid w:val="00545827"/>
    <w:rsid w:val="00560270"/>
    <w:rsid w:val="005C2568"/>
    <w:rsid w:val="005E2A0B"/>
    <w:rsid w:val="006037C0"/>
    <w:rsid w:val="006631B6"/>
    <w:rsid w:val="00680577"/>
    <w:rsid w:val="00680DB8"/>
    <w:rsid w:val="006F74FA"/>
    <w:rsid w:val="00731ADD"/>
    <w:rsid w:val="00734777"/>
    <w:rsid w:val="00741060"/>
    <w:rsid w:val="00747932"/>
    <w:rsid w:val="00751A4A"/>
    <w:rsid w:val="00756632"/>
    <w:rsid w:val="00762C74"/>
    <w:rsid w:val="00786EC0"/>
    <w:rsid w:val="007D1690"/>
    <w:rsid w:val="007E22AD"/>
    <w:rsid w:val="00817416"/>
    <w:rsid w:val="00830F67"/>
    <w:rsid w:val="00842779"/>
    <w:rsid w:val="00865F67"/>
    <w:rsid w:val="00881A7B"/>
    <w:rsid w:val="00883929"/>
    <w:rsid w:val="008840E5"/>
    <w:rsid w:val="00887B3E"/>
    <w:rsid w:val="008C2AC6"/>
    <w:rsid w:val="008D469E"/>
    <w:rsid w:val="00930C23"/>
    <w:rsid w:val="0093193B"/>
    <w:rsid w:val="009509D8"/>
    <w:rsid w:val="00950B64"/>
    <w:rsid w:val="00981893"/>
    <w:rsid w:val="00A1687D"/>
    <w:rsid w:val="00A43E52"/>
    <w:rsid w:val="00A4678D"/>
    <w:rsid w:val="00A778C7"/>
    <w:rsid w:val="00AB441E"/>
    <w:rsid w:val="00AB6293"/>
    <w:rsid w:val="00AD14B9"/>
    <w:rsid w:val="00AE0928"/>
    <w:rsid w:val="00AE7D33"/>
    <w:rsid w:val="00AF3B82"/>
    <w:rsid w:val="00B12E95"/>
    <w:rsid w:val="00B22876"/>
    <w:rsid w:val="00B558F0"/>
    <w:rsid w:val="00BD48FE"/>
    <w:rsid w:val="00BD7BD8"/>
    <w:rsid w:val="00BE6ADC"/>
    <w:rsid w:val="00C05BFE"/>
    <w:rsid w:val="00C23CD4"/>
    <w:rsid w:val="00C25014"/>
    <w:rsid w:val="00C61C0C"/>
    <w:rsid w:val="00C941CB"/>
    <w:rsid w:val="00CC2357"/>
    <w:rsid w:val="00CF071A"/>
    <w:rsid w:val="00D058B8"/>
    <w:rsid w:val="00D56C11"/>
    <w:rsid w:val="00D834A0"/>
    <w:rsid w:val="00D872DF"/>
    <w:rsid w:val="00D91E21"/>
    <w:rsid w:val="00DA7FCD"/>
    <w:rsid w:val="00E365E1"/>
    <w:rsid w:val="00E62E8E"/>
    <w:rsid w:val="00E820A4"/>
    <w:rsid w:val="00EB006A"/>
    <w:rsid w:val="00EB4772"/>
    <w:rsid w:val="00ED169E"/>
    <w:rsid w:val="00ED4235"/>
    <w:rsid w:val="00F04346"/>
    <w:rsid w:val="00F075DC"/>
    <w:rsid w:val="00F149E9"/>
    <w:rsid w:val="00F25D6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48B5A"/>
  <w15:chartTrackingRefBased/>
  <w15:docId w15:val="{47025337-8B94-4F68-84A2-7FEA69136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0D25"/>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430D25"/>
    <w:pPr>
      <w:spacing w:before="480" w:after="240"/>
    </w:pPr>
  </w:style>
  <w:style w:type="paragraph" w:customStyle="1" w:styleId="PageHeading">
    <w:name w:val="PageHeading"/>
    <w:basedOn w:val="Normal"/>
    <w:rsid w:val="00430D25"/>
    <w:pPr>
      <w:keepNext/>
      <w:spacing w:after="480"/>
      <w:jc w:val="center"/>
    </w:pPr>
    <w:rPr>
      <w:rFonts w:ascii="Arial" w:hAnsi="Arial" w:cs="Arial"/>
      <w:b/>
    </w:rPr>
  </w:style>
  <w:style w:type="paragraph" w:customStyle="1" w:styleId="NormalBold">
    <w:name w:val="NormalBold"/>
    <w:basedOn w:val="Normal"/>
    <w:uiPriority w:val="99"/>
    <w:rsid w:val="00430D25"/>
    <w:rPr>
      <w:b/>
    </w:rPr>
  </w:style>
  <w:style w:type="paragraph" w:customStyle="1" w:styleId="NormalHanging12a">
    <w:name w:val="NormalHanging12a"/>
    <w:basedOn w:val="Normal"/>
    <w:link w:val="NormalHanging12aChar"/>
    <w:rsid w:val="00430D25"/>
    <w:pPr>
      <w:spacing w:after="240"/>
      <w:ind w:left="567" w:hanging="567"/>
    </w:pPr>
  </w:style>
  <w:style w:type="paragraph" w:customStyle="1" w:styleId="NormalCenter12a">
    <w:name w:val="NormalCenter12a"/>
    <w:basedOn w:val="Normal"/>
    <w:uiPriority w:val="99"/>
    <w:rsid w:val="00430D25"/>
    <w:pPr>
      <w:spacing w:after="240"/>
      <w:jc w:val="center"/>
    </w:pPr>
  </w:style>
  <w:style w:type="paragraph" w:styleId="Header">
    <w:name w:val="header"/>
    <w:basedOn w:val="Normal"/>
    <w:link w:val="HeaderChar"/>
    <w:rsid w:val="00430D25"/>
    <w:pPr>
      <w:tabs>
        <w:tab w:val="center" w:pos="4513"/>
        <w:tab w:val="right" w:pos="9026"/>
      </w:tabs>
    </w:pPr>
  </w:style>
  <w:style w:type="character" w:customStyle="1" w:styleId="HeaderChar">
    <w:name w:val="Header Char"/>
    <w:basedOn w:val="DefaultParagraphFont"/>
    <w:link w:val="Header"/>
    <w:rsid w:val="00430D25"/>
    <w:rPr>
      <w:sz w:val="24"/>
      <w:lang w:val="da-DK"/>
    </w:rPr>
  </w:style>
  <w:style w:type="paragraph" w:customStyle="1" w:styleId="EPFooter">
    <w:name w:val="EPFooter"/>
    <w:basedOn w:val="Normal"/>
    <w:rsid w:val="00430D25"/>
    <w:pPr>
      <w:tabs>
        <w:tab w:val="center" w:pos="4535"/>
        <w:tab w:val="right" w:pos="9071"/>
      </w:tabs>
      <w:spacing w:before="240" w:after="240"/>
    </w:pPr>
    <w:rPr>
      <w:color w:val="010000"/>
      <w:sz w:val="22"/>
    </w:rPr>
  </w:style>
  <w:style w:type="character" w:styleId="Hyperlink">
    <w:name w:val="Hyperlink"/>
    <w:basedOn w:val="DefaultParagraphFont"/>
    <w:unhideWhenUsed/>
    <w:rsid w:val="00430D25"/>
    <w:rPr>
      <w:color w:val="0563C1"/>
      <w:u w:val="single"/>
    </w:rPr>
  </w:style>
  <w:style w:type="paragraph" w:styleId="NormalWeb">
    <w:name w:val="Normal (Web)"/>
    <w:basedOn w:val="Normal"/>
    <w:uiPriority w:val="99"/>
    <w:unhideWhenUsed/>
    <w:rsid w:val="00430D25"/>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430D25"/>
    <w:rPr>
      <w:sz w:val="24"/>
      <w:lang w:val="da-DK"/>
    </w:rPr>
  </w:style>
  <w:style w:type="character" w:customStyle="1" w:styleId="Normal12HangingChar">
    <w:name w:val="Normal12Hanging Char"/>
    <w:link w:val="Normal12Hanging"/>
    <w:locked/>
    <w:rsid w:val="00430D25"/>
    <w:rPr>
      <w:rFonts w:ascii="Calibri" w:eastAsiaTheme="minorHAnsi" w:hAnsi="Calibri" w:cs="Calibri"/>
      <w:sz w:val="24"/>
      <w:szCs w:val="24"/>
    </w:rPr>
  </w:style>
  <w:style w:type="paragraph" w:customStyle="1" w:styleId="Normal12Hanging">
    <w:name w:val="Normal12Hanging"/>
    <w:basedOn w:val="Normal"/>
    <w:link w:val="Normal12HangingChar"/>
    <w:rsid w:val="00430D25"/>
    <w:pPr>
      <w:widowControl/>
      <w:spacing w:after="240"/>
      <w:ind w:left="567" w:hanging="567"/>
    </w:pPr>
    <w:rPr>
      <w:rFonts w:ascii="Calibri" w:eastAsiaTheme="minorHAnsi" w:hAnsi="Calibri" w:cs="Calibri"/>
      <w:szCs w:val="24"/>
      <w:lang w:val="en-GB"/>
    </w:rPr>
  </w:style>
  <w:style w:type="paragraph" w:styleId="Footer">
    <w:name w:val="footer"/>
    <w:basedOn w:val="Normal"/>
    <w:link w:val="FooterChar"/>
    <w:rsid w:val="005E2A0B"/>
    <w:pPr>
      <w:tabs>
        <w:tab w:val="center" w:pos="4513"/>
        <w:tab w:val="right" w:pos="9026"/>
      </w:tabs>
    </w:pPr>
  </w:style>
  <w:style w:type="character" w:customStyle="1" w:styleId="FooterChar">
    <w:name w:val="Footer Char"/>
    <w:basedOn w:val="DefaultParagraphFont"/>
    <w:link w:val="Footer"/>
    <w:rsid w:val="005E2A0B"/>
    <w:rPr>
      <w:sz w:val="24"/>
      <w:lang w:val="da-DK"/>
    </w:rPr>
  </w:style>
  <w:style w:type="character" w:styleId="CommentReference">
    <w:name w:val="annotation reference"/>
    <w:basedOn w:val="DefaultParagraphFont"/>
    <w:rsid w:val="00AD14B9"/>
    <w:rPr>
      <w:sz w:val="16"/>
      <w:szCs w:val="16"/>
    </w:rPr>
  </w:style>
  <w:style w:type="paragraph" w:styleId="CommentText">
    <w:name w:val="annotation text"/>
    <w:basedOn w:val="Normal"/>
    <w:link w:val="CommentTextChar"/>
    <w:rsid w:val="00AD14B9"/>
    <w:rPr>
      <w:sz w:val="20"/>
    </w:rPr>
  </w:style>
  <w:style w:type="character" w:customStyle="1" w:styleId="CommentTextChar">
    <w:name w:val="Comment Text Char"/>
    <w:basedOn w:val="DefaultParagraphFont"/>
    <w:link w:val="CommentText"/>
    <w:rsid w:val="00AD14B9"/>
    <w:rPr>
      <w:lang w:val="da-DK"/>
    </w:rPr>
  </w:style>
  <w:style w:type="paragraph" w:styleId="CommentSubject">
    <w:name w:val="annotation subject"/>
    <w:basedOn w:val="CommentText"/>
    <w:next w:val="CommentText"/>
    <w:link w:val="CommentSubjectChar"/>
    <w:rsid w:val="00AD14B9"/>
    <w:rPr>
      <w:b/>
      <w:bCs/>
    </w:rPr>
  </w:style>
  <w:style w:type="character" w:customStyle="1" w:styleId="CommentSubjectChar">
    <w:name w:val="Comment Subject Char"/>
    <w:basedOn w:val="CommentTextChar"/>
    <w:link w:val="CommentSubject"/>
    <w:rsid w:val="00AD14B9"/>
    <w:rPr>
      <w:b/>
      <w:bCs/>
      <w:lang w:val="da-DK"/>
    </w:rPr>
  </w:style>
  <w:style w:type="paragraph" w:styleId="BalloonText">
    <w:name w:val="Balloon Text"/>
    <w:basedOn w:val="Normal"/>
    <w:link w:val="BalloonTextChar"/>
    <w:rsid w:val="00AD14B9"/>
    <w:rPr>
      <w:rFonts w:ascii="Segoe UI" w:hAnsi="Segoe UI" w:cs="Segoe UI"/>
      <w:sz w:val="18"/>
      <w:szCs w:val="18"/>
    </w:rPr>
  </w:style>
  <w:style w:type="character" w:customStyle="1" w:styleId="BalloonTextChar">
    <w:name w:val="Balloon Text Char"/>
    <w:basedOn w:val="DefaultParagraphFont"/>
    <w:link w:val="BalloonText"/>
    <w:rsid w:val="00AD14B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da/decision/da/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594B2-5339-4612-A8AC-D9BC422D6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8751</Words>
  <Characters>54317</Characters>
  <Application>Microsoft Office Word</Application>
  <DocSecurity>0</DocSecurity>
  <Lines>452</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2024-05-21T14:35:00Z</dcterms:created>
  <dcterms:modified xsi:type="dcterms:W3CDTF">2024-05-21T14:35:00Z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P9_TA(2024)0255_</vt:lpwstr>
  </property>
  <property fmtid="{D5CDD505-2E9C-101B-9397-08002B2CF9AE}" pid="4" name="&lt;Type&gt;">
    <vt:lpwstr>RR</vt:lpwstr>
  </property>
</Properties>
</file>