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974" w:rsidTr="0010095E">
        <w:trPr>
          <w:trHeight w:hRule="exact" w:val="1418"/>
        </w:trPr>
        <w:tc>
          <w:tcPr>
            <w:tcW w:w="6804" w:type="dxa"/>
            <w:shd w:val="clear" w:color="auto" w:fill="auto"/>
            <w:vAlign w:val="center"/>
          </w:tcPr>
          <w:p w:rsidR="00751A4A" w:rsidRPr="00FD2974" w:rsidRDefault="009F617C" w:rsidP="0010095E">
            <w:pPr>
              <w:pStyle w:val="EPName"/>
            </w:pPr>
            <w:r w:rsidRPr="00FD2974">
              <w:t>Ευρωπαϊκό Κοινοβούλιο</w:t>
            </w:r>
          </w:p>
          <w:p w:rsidR="00751A4A" w:rsidRPr="00FD2974" w:rsidRDefault="00817416" w:rsidP="00756632">
            <w:pPr>
              <w:pStyle w:val="EPTerm"/>
              <w:rPr>
                <w:rStyle w:val="HideTWBExt"/>
                <w:noProof w:val="0"/>
                <w:vanish w:val="0"/>
                <w:color w:val="auto"/>
              </w:rPr>
            </w:pPr>
            <w:r w:rsidRPr="00FD2974">
              <w:t>2019-2024</w:t>
            </w:r>
          </w:p>
        </w:tc>
        <w:tc>
          <w:tcPr>
            <w:tcW w:w="2268" w:type="dxa"/>
            <w:shd w:val="clear" w:color="auto" w:fill="auto"/>
          </w:tcPr>
          <w:p w:rsidR="00751A4A" w:rsidRPr="00FD2974" w:rsidRDefault="00187494" w:rsidP="0010095E">
            <w:pPr>
              <w:pStyle w:val="EPLogo"/>
            </w:pPr>
            <w:r w:rsidRPr="00FD29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2974" w:rsidRDefault="00D058B8" w:rsidP="004C5D52">
      <w:pPr>
        <w:pStyle w:val="LineTop"/>
      </w:pPr>
    </w:p>
    <w:p w:rsidR="00680577" w:rsidRPr="00FD2974" w:rsidRDefault="009F617C" w:rsidP="00680577">
      <w:pPr>
        <w:pStyle w:val="EPBodyTA1"/>
      </w:pPr>
      <w:r w:rsidRPr="00FD2974">
        <w:t>ΚΕΙΜΕΝΑ ΠΟΥ ΕΓΚΡΙΘΗΚΑΝ</w:t>
      </w:r>
    </w:p>
    <w:p w:rsidR="00D058B8" w:rsidRPr="00FD2974" w:rsidRDefault="00D058B8" w:rsidP="00D058B8">
      <w:pPr>
        <w:pStyle w:val="LineBottom"/>
      </w:pPr>
    </w:p>
    <w:p w:rsidR="009F617C" w:rsidRPr="00FD2974" w:rsidRDefault="009F617C" w:rsidP="009F617C">
      <w:pPr>
        <w:pStyle w:val="ATHeading1"/>
      </w:pPr>
      <w:bookmarkStart w:id="0" w:name="TANumber"/>
      <w:r w:rsidRPr="00FD2974">
        <w:t>P9_TA(2024)</w:t>
      </w:r>
      <w:bookmarkEnd w:id="0"/>
      <w:r w:rsidR="004218C5" w:rsidRPr="00FD2974">
        <w:t>0</w:t>
      </w:r>
      <w:r w:rsidR="004218C5">
        <w:t>255</w:t>
      </w:r>
    </w:p>
    <w:p w:rsidR="009F617C" w:rsidRPr="00FD2974" w:rsidRDefault="009F617C" w:rsidP="009F617C">
      <w:pPr>
        <w:pStyle w:val="ATHeading2"/>
      </w:pPr>
      <w:bookmarkStart w:id="1" w:name="title"/>
      <w:r w:rsidRPr="00FD2974">
        <w:t xml:space="preserve">Απαλλαγή 2022: Ευρωπαϊκός Οργανισμός </w:t>
      </w:r>
      <w:proofErr w:type="spellStart"/>
      <w:r w:rsidRPr="00FD2974">
        <w:t>Συνοριοφυλακής</w:t>
      </w:r>
      <w:proofErr w:type="spellEnd"/>
      <w:r w:rsidRPr="00FD2974">
        <w:t xml:space="preserve"> και Ακτοφυλακής</w:t>
      </w:r>
      <w:bookmarkEnd w:id="1"/>
    </w:p>
    <w:p w:rsidR="009F617C" w:rsidRPr="00FD2974" w:rsidRDefault="009F617C" w:rsidP="009F617C">
      <w:pPr>
        <w:rPr>
          <w:i/>
          <w:vanish/>
        </w:rPr>
      </w:pPr>
      <w:r w:rsidRPr="00FD2974">
        <w:rPr>
          <w:i/>
        </w:rPr>
        <w:fldChar w:fldCharType="begin"/>
      </w:r>
      <w:r w:rsidRPr="00FD2974">
        <w:rPr>
          <w:i/>
        </w:rPr>
        <w:instrText xml:space="preserve"> TC"(</w:instrText>
      </w:r>
      <w:bookmarkStart w:id="2" w:name="DocNumber"/>
      <w:r w:rsidRPr="00FD2974">
        <w:rPr>
          <w:i/>
        </w:rPr>
        <w:instrText>A9-0113/2024</w:instrText>
      </w:r>
      <w:bookmarkEnd w:id="2"/>
      <w:r w:rsidRPr="00FD2974">
        <w:rPr>
          <w:i/>
        </w:rPr>
        <w:instrText xml:space="preserve"> - Εισηγητής: </w:instrText>
      </w:r>
      <w:proofErr w:type="spellStart"/>
      <w:r w:rsidRPr="00FD2974">
        <w:rPr>
          <w:i/>
        </w:rPr>
        <w:instrText>Petri</w:instrText>
      </w:r>
      <w:proofErr w:type="spellEnd"/>
      <w:r w:rsidRPr="00FD2974">
        <w:rPr>
          <w:i/>
        </w:rPr>
        <w:instrText xml:space="preserve"> </w:instrText>
      </w:r>
      <w:proofErr w:type="spellStart"/>
      <w:r w:rsidRPr="00FD2974">
        <w:rPr>
          <w:i/>
        </w:rPr>
        <w:instrText>Sarvamaa</w:instrText>
      </w:r>
      <w:proofErr w:type="spellEnd"/>
      <w:r w:rsidRPr="00FD2974">
        <w:rPr>
          <w:i/>
        </w:rPr>
        <w:instrText xml:space="preserve">)"\l3 \n&gt; \* MERGEFORMAT </w:instrText>
      </w:r>
      <w:r w:rsidRPr="00FD2974">
        <w:rPr>
          <w:i/>
        </w:rPr>
        <w:fldChar w:fldCharType="end"/>
      </w:r>
    </w:p>
    <w:p w:rsidR="009F617C" w:rsidRPr="00FD2974" w:rsidRDefault="009F617C" w:rsidP="009F617C">
      <w:pPr>
        <w:rPr>
          <w:vanish/>
        </w:rPr>
      </w:pPr>
      <w:bookmarkStart w:id="3" w:name="Commission"/>
      <w:r w:rsidRPr="00FD2974">
        <w:rPr>
          <w:vanish/>
        </w:rPr>
        <w:t>Επιτροπή Ελέγχου του Προϋπολογισμού</w:t>
      </w:r>
      <w:bookmarkEnd w:id="3"/>
    </w:p>
    <w:p w:rsidR="009F617C" w:rsidRPr="00FD2974" w:rsidRDefault="009F617C" w:rsidP="009F617C">
      <w:pPr>
        <w:rPr>
          <w:vanish/>
        </w:rPr>
      </w:pPr>
      <w:bookmarkStart w:id="4" w:name="PE"/>
      <w:r w:rsidRPr="00FD2974">
        <w:rPr>
          <w:vanish/>
        </w:rPr>
        <w:t>PE753.543</w:t>
      </w:r>
      <w:bookmarkEnd w:id="4"/>
    </w:p>
    <w:p w:rsidR="009F617C" w:rsidRPr="00FD2974" w:rsidRDefault="00DF3485" w:rsidP="009F617C">
      <w:pPr>
        <w:pStyle w:val="ATHeading3"/>
      </w:pPr>
      <w:bookmarkStart w:id="5" w:name="Sujet"/>
      <w:r>
        <w:t xml:space="preserve">1. </w:t>
      </w:r>
      <w:r w:rsidR="009F617C" w:rsidRPr="00FD2974">
        <w:t xml:space="preserve">Απόφαση του Ευρωπαϊκού Κοινοβουλίου </w:t>
      </w:r>
      <w:r w:rsidR="003E7876">
        <w:t xml:space="preserve">της 11ης Απριλίου 2024 </w:t>
      </w:r>
      <w:r w:rsidR="009F617C" w:rsidRPr="00FD2974">
        <w:t xml:space="preserve">σχετικά με την απαλλαγή όσον αφορά την εκτέλεση του προϋπολογισμού του Ευρωπαϊκού Οργανισμού </w:t>
      </w:r>
      <w:proofErr w:type="spellStart"/>
      <w:r w:rsidR="009F617C" w:rsidRPr="00FD2974">
        <w:t>Συνοριοφυλακής</w:t>
      </w:r>
      <w:proofErr w:type="spellEnd"/>
      <w:r w:rsidR="009F617C" w:rsidRPr="00FD2974">
        <w:t xml:space="preserve"> και Ακτοφυλακής για το οικονομικό έτος 2022</w:t>
      </w:r>
      <w:bookmarkEnd w:id="5"/>
      <w:r w:rsidR="009F617C" w:rsidRPr="00FD2974">
        <w:t xml:space="preserve"> </w:t>
      </w:r>
      <w:bookmarkStart w:id="6" w:name="References"/>
      <w:r w:rsidR="009F617C" w:rsidRPr="00FD2974">
        <w:t>(2023/2172(DEC))</w:t>
      </w:r>
      <w:bookmarkEnd w:id="6"/>
    </w:p>
    <w:p w:rsidR="003267B2" w:rsidRPr="00FD2974" w:rsidRDefault="003267B2" w:rsidP="003267B2">
      <w:pPr>
        <w:pStyle w:val="EPComma"/>
      </w:pPr>
      <w:bookmarkStart w:id="7" w:name="TextBodyBegin"/>
      <w:bookmarkEnd w:id="7"/>
      <w:r w:rsidRPr="00FD2974">
        <w:rPr>
          <w:i/>
        </w:rPr>
        <w:t>Το Ευρωπαϊκό Κοινοβούλιο</w:t>
      </w:r>
      <w:r w:rsidRPr="00FD2974">
        <w:t>,</w:t>
      </w:r>
    </w:p>
    <w:p w:rsidR="003267B2" w:rsidRPr="00FD2974" w:rsidRDefault="003267B2" w:rsidP="003267B2">
      <w:pPr>
        <w:pStyle w:val="NormalHanging12a"/>
      </w:pPr>
      <w:r w:rsidRPr="00FD2974">
        <w:t>–</w:t>
      </w:r>
      <w:r w:rsidRPr="00FD2974">
        <w:tab/>
        <w:t xml:space="preserve">έχοντας υπόψη τους οριστικούς ετήσιους λογαριασμούς του Ευρωπαϊκού Οργανισμού </w:t>
      </w:r>
      <w:proofErr w:type="spellStart"/>
      <w:r w:rsidRPr="00FD2974">
        <w:t>Συνοριοφυλακής</w:t>
      </w:r>
      <w:proofErr w:type="spellEnd"/>
      <w:r w:rsidRPr="00FD2974">
        <w:t xml:space="preserve"> και Ακτοφυλακής για το οικονομικό έτος 2022,</w:t>
      </w:r>
    </w:p>
    <w:p w:rsidR="003267B2" w:rsidRPr="00FD2974" w:rsidRDefault="003267B2" w:rsidP="003267B2">
      <w:pPr>
        <w:pStyle w:val="NormalHanging12a"/>
      </w:pPr>
      <w:r w:rsidRPr="00FD2974">
        <w:t>–</w:t>
      </w:r>
      <w:r w:rsidRPr="00FD2974">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FD2974">
        <w:rPr>
          <w:rStyle w:val="FootnoteReference"/>
        </w:rPr>
        <w:footnoteReference w:id="1"/>
      </w:r>
      <w:r w:rsidRPr="00FD2974">
        <w:t>,</w:t>
      </w:r>
    </w:p>
    <w:p w:rsidR="003267B2" w:rsidRPr="00FD2974" w:rsidRDefault="003267B2" w:rsidP="003267B2">
      <w:pPr>
        <w:pStyle w:val="NormalHanging12a"/>
      </w:pPr>
      <w:r w:rsidRPr="00FD2974">
        <w:t>–</w:t>
      </w:r>
      <w:r w:rsidRPr="00FD2974">
        <w:tab/>
        <w:t>έχοντας υπόψη τη δήλωση αξιοπιστίας</w:t>
      </w:r>
      <w:r w:rsidRPr="00FD2974">
        <w:rPr>
          <w:rStyle w:val="FootnoteReference"/>
        </w:rPr>
        <w:footnoteReference w:id="2"/>
      </w:r>
      <w:r w:rsidRPr="00FD2974">
        <w:t xml:space="preserve"> η οποία βεβαιώνει την ακρίβεια των λογαριασμών και τη νομιμότητα και κανονικότητα των σχετικών πράξεων, την οποία </w:t>
      </w:r>
      <w:proofErr w:type="spellStart"/>
      <w:r w:rsidRPr="00FD2974">
        <w:t>ενεχείρισε</w:t>
      </w:r>
      <w:proofErr w:type="spellEnd"/>
      <w:r w:rsidRPr="00FD2974">
        <w:t xml:space="preserve"> το Ελεγκτικό Συνέδριο για το οικονομικό έτος 2022, σύμφωνα με το άρθρο 287 της Συνθήκης για τη λειτουργία της Ευρωπαϊκής Ένωσης,</w:t>
      </w:r>
    </w:p>
    <w:p w:rsidR="003267B2" w:rsidRPr="00FD2974" w:rsidRDefault="003267B2" w:rsidP="003267B2">
      <w:pPr>
        <w:pStyle w:val="NormalHanging12a"/>
      </w:pPr>
      <w:r w:rsidRPr="00FD2974">
        <w:t>–</w:t>
      </w:r>
      <w:r w:rsidRPr="00FD2974">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3E7876" w:rsidRPr="00FD2974">
        <w:t>0</w:t>
      </w:r>
      <w:r w:rsidR="003E7876">
        <w:t>6180</w:t>
      </w:r>
      <w:r w:rsidRPr="00FD2974">
        <w:t>/2024 – C9</w:t>
      </w:r>
      <w:r w:rsidRPr="00FD2974">
        <w:noBreakHyphen/>
      </w:r>
      <w:r w:rsidR="003E7876" w:rsidRPr="00FD2974">
        <w:t>0</w:t>
      </w:r>
      <w:r w:rsidR="003E7876">
        <w:t>11</w:t>
      </w:r>
      <w:r w:rsidR="003E7876" w:rsidRPr="00FD2974">
        <w:t>0</w:t>
      </w:r>
      <w:r w:rsidRPr="00FD2974">
        <w:t>/2024),</w:t>
      </w:r>
    </w:p>
    <w:p w:rsidR="003267B2" w:rsidRPr="00FD2974" w:rsidRDefault="003267B2" w:rsidP="003267B2">
      <w:pPr>
        <w:pStyle w:val="NormalHanging12a"/>
      </w:pPr>
      <w:r w:rsidRPr="00FD2974">
        <w:t>–</w:t>
      </w:r>
      <w:r w:rsidRPr="00FD2974">
        <w:tab/>
        <w:t>έχοντας υπόψη το άρθρο 319 της Συνθήκης για τη λειτουργία της Ευρωπαϊκής Ένωσης,</w:t>
      </w:r>
    </w:p>
    <w:p w:rsidR="003267B2" w:rsidRPr="00FD2974" w:rsidRDefault="003267B2" w:rsidP="003267B2">
      <w:pPr>
        <w:pStyle w:val="NormalHanging12a"/>
      </w:pPr>
      <w:r w:rsidRPr="00FD2974">
        <w:t>–</w:t>
      </w:r>
      <w:r w:rsidRPr="00FD2974">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FD2974">
        <w:lastRenderedPageBreak/>
        <w:t>την κατάργηση του κανονισμού (ΕΕ, Ευρατόμ) αριθ. 966/2012</w:t>
      </w:r>
      <w:r w:rsidRPr="00FD2974">
        <w:rPr>
          <w:rStyle w:val="FootnoteReference"/>
        </w:rPr>
        <w:footnoteReference w:id="3"/>
      </w:r>
      <w:r w:rsidRPr="00FD2974">
        <w:t>, και ιδίως το άρθρο 70,</w:t>
      </w:r>
    </w:p>
    <w:p w:rsidR="003267B2" w:rsidRPr="00FD2974" w:rsidRDefault="003267B2" w:rsidP="003267B2">
      <w:pPr>
        <w:pStyle w:val="NormalHanging12a"/>
      </w:pPr>
      <w:r w:rsidRPr="00FD2974">
        <w:t>–</w:t>
      </w:r>
      <w:r w:rsidRPr="00FD2974">
        <w:tab/>
        <w:t xml:space="preserve">έχοντας υπόψη τον κανονισμό (EE) 2019/1896 του Ευρωπαϊκού Κοινοβουλίου και του Συμβουλίου, της 13ης Νοεμβρίου 2019, για την Ευρωπαϊκή </w:t>
      </w:r>
      <w:proofErr w:type="spellStart"/>
      <w:r w:rsidRPr="00FD2974">
        <w:t>Συνοριοφυλακή</w:t>
      </w:r>
      <w:proofErr w:type="spellEnd"/>
      <w:r w:rsidRPr="00FD2974">
        <w:t xml:space="preserve"> και Ακτοφυλακή και για την κατάργηση των κανονισμών (ΕΕ) αριθ. 1052/2013 και (ΕΕ) 2016/1624</w:t>
      </w:r>
      <w:r w:rsidRPr="00FD2974">
        <w:rPr>
          <w:rStyle w:val="FootnoteReference"/>
        </w:rPr>
        <w:footnoteReference w:id="4"/>
      </w:r>
      <w:r w:rsidRPr="00FD2974">
        <w:t>, και ιδίως το άρθρο 116,</w:t>
      </w:r>
    </w:p>
    <w:p w:rsidR="003267B2" w:rsidRPr="00FD2974" w:rsidRDefault="003267B2" w:rsidP="003267B2">
      <w:pPr>
        <w:pStyle w:val="NormalHanging12a"/>
      </w:pPr>
      <w:r w:rsidRPr="00FD2974">
        <w:t>–</w:t>
      </w:r>
      <w:r w:rsidRPr="00FD2974">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FD2974">
        <w:rPr>
          <w:rStyle w:val="FootnoteReference"/>
        </w:rPr>
        <w:footnoteReference w:id="5"/>
      </w:r>
      <w:r w:rsidRPr="00FD2974">
        <w:t>, και ιδίως το άρθρο 105,</w:t>
      </w:r>
    </w:p>
    <w:p w:rsidR="003267B2" w:rsidRPr="00FD2974" w:rsidRDefault="003267B2" w:rsidP="003267B2">
      <w:pPr>
        <w:pStyle w:val="NormalHanging12a"/>
      </w:pPr>
      <w:r w:rsidRPr="00FD2974">
        <w:t>–</w:t>
      </w:r>
      <w:r w:rsidRPr="00FD2974">
        <w:tab/>
        <w:t>έχοντας υπόψη το άρθρο 100 και το παράρτημα V του Κανονισμού του,</w:t>
      </w:r>
    </w:p>
    <w:p w:rsidR="003267B2" w:rsidRPr="00FD2974" w:rsidRDefault="003267B2" w:rsidP="003267B2">
      <w:pPr>
        <w:pStyle w:val="NormalHanging12a"/>
      </w:pPr>
      <w:r w:rsidRPr="00FD2974">
        <w:t>–</w:t>
      </w:r>
      <w:r w:rsidRPr="00FD2974">
        <w:tab/>
        <w:t>έχοντας υπόψη τη γνωμοδότηση της Επιτροπής Πολιτικών Ελευθεριών, Δικαιοσύνης και Εσωτερικών Υποθέσεων,</w:t>
      </w:r>
    </w:p>
    <w:p w:rsidR="003267B2" w:rsidRPr="00FD2974" w:rsidRDefault="003267B2" w:rsidP="003267B2">
      <w:pPr>
        <w:pStyle w:val="NormalHanging12a"/>
      </w:pPr>
      <w:r w:rsidRPr="00FD2974">
        <w:t>–</w:t>
      </w:r>
      <w:r w:rsidRPr="00FD2974">
        <w:tab/>
        <w:t>έχοντας υπόψη την έκθεση της Επιτροπής Ελέγχου του Προϋπολογισμού (A9-0113/2024),</w:t>
      </w:r>
    </w:p>
    <w:p w:rsidR="003267B2" w:rsidRPr="00FD2974" w:rsidRDefault="00A61754" w:rsidP="00A61754">
      <w:pPr>
        <w:pStyle w:val="NormalHanging12a"/>
        <w:ind w:hanging="570"/>
      </w:pPr>
      <w:r w:rsidRPr="00FD2974">
        <w:t>1.</w:t>
      </w:r>
      <w:r w:rsidRPr="00FD2974">
        <w:tab/>
      </w:r>
      <w:r w:rsidR="003267B2" w:rsidRPr="00FD2974">
        <w:t xml:space="preserve">χορηγεί απαλλαγή στον εκτελεστικό διευθυντή του Ευρωπαϊκού Οργανισμού </w:t>
      </w:r>
      <w:proofErr w:type="spellStart"/>
      <w:r w:rsidR="003267B2" w:rsidRPr="00FD2974">
        <w:t>Συνοριοφυλακής</w:t>
      </w:r>
      <w:proofErr w:type="spellEnd"/>
      <w:r w:rsidR="003267B2" w:rsidRPr="00FD2974">
        <w:t xml:space="preserve"> και Ακτοφυλακής όσον αφορά την εκτέλεση του προϋπολογισμού του Οργανισμού για το οικονομικό έτος 2022·</w:t>
      </w:r>
    </w:p>
    <w:p w:rsidR="003267B2" w:rsidRPr="00FD2974" w:rsidRDefault="00A61754" w:rsidP="00A61754">
      <w:pPr>
        <w:pStyle w:val="NormalHanging12a"/>
        <w:ind w:hanging="570"/>
      </w:pPr>
      <w:r w:rsidRPr="00FD2974">
        <w:t>2.</w:t>
      </w:r>
      <w:r w:rsidRPr="00FD2974">
        <w:tab/>
      </w:r>
      <w:r w:rsidR="003267B2" w:rsidRPr="00FD2974">
        <w:t>εκθέτει τις παρατηρήσεις του στο ψήφισμα που ακολουθεί·</w:t>
      </w:r>
    </w:p>
    <w:p w:rsidR="003267B2" w:rsidRPr="00FD2974" w:rsidRDefault="00A61754" w:rsidP="00A61754">
      <w:pPr>
        <w:pStyle w:val="NormalHanging12a"/>
        <w:ind w:hanging="570"/>
      </w:pPr>
      <w:r w:rsidRPr="00FD2974">
        <w:t>3.</w:t>
      </w:r>
      <w:r w:rsidRPr="00FD2974">
        <w:tab/>
      </w:r>
      <w:r w:rsidR="003267B2" w:rsidRPr="00FD2974">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Οργανισμού </w:t>
      </w:r>
      <w:proofErr w:type="spellStart"/>
      <w:r w:rsidR="003267B2" w:rsidRPr="00FD2974">
        <w:t>Συνοριοφυλακής</w:t>
      </w:r>
      <w:proofErr w:type="spellEnd"/>
      <w:r w:rsidR="003267B2" w:rsidRPr="00FD2974">
        <w:t xml:space="preserve"> και Ακτοφυλακής, στο Συμβούλιο, στην Επιτροπή και στο Ελεγκτικό Συνέδριο, και να μεριμνήσει για τη δημοσίευσή τους στην </w:t>
      </w:r>
      <w:r w:rsidR="003267B2" w:rsidRPr="00FD2974">
        <w:rPr>
          <w:i/>
        </w:rPr>
        <w:t>Επίσημη Εφημερίδα της Ευρωπαϊκής Ένωσης</w:t>
      </w:r>
      <w:r w:rsidR="003267B2" w:rsidRPr="00FD2974">
        <w:t xml:space="preserve"> (σειρά L).</w:t>
      </w:r>
    </w:p>
    <w:p w:rsidR="003267B2" w:rsidRPr="00FD2974" w:rsidRDefault="003267B2" w:rsidP="003267B2"/>
    <w:p w:rsidR="003267B2" w:rsidRPr="00FD2974" w:rsidRDefault="003267B2" w:rsidP="003267B2">
      <w:pPr>
        <w:widowControl/>
        <w:rPr>
          <w:rFonts w:ascii="Arial" w:hAnsi="Arial" w:cs="Arial"/>
          <w:b/>
        </w:rPr>
        <w:sectPr w:rsidR="003267B2" w:rsidRPr="00FD2974" w:rsidSect="00FD297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267B2" w:rsidRPr="00FD2974" w:rsidRDefault="00953496" w:rsidP="00953496">
      <w:pPr>
        <w:pStyle w:val="ATHeading3"/>
      </w:pPr>
      <w:r>
        <w:lastRenderedPageBreak/>
        <w:t xml:space="preserve">2. Απόφαση του Ευρωπαϊκού Κοινοβουλίου </w:t>
      </w:r>
      <w:r w:rsidR="003E7876">
        <w:t xml:space="preserve">της 11ης Απριλίου 2024 </w:t>
      </w:r>
      <w:r w:rsidR="003267B2" w:rsidRPr="00FD2974">
        <w:t xml:space="preserve">σχετικά με το κλείσιμο των λογαριασμών του Ευρωπαϊκού Οργανισμού </w:t>
      </w:r>
      <w:proofErr w:type="spellStart"/>
      <w:r w:rsidR="003267B2" w:rsidRPr="00FD2974">
        <w:t>Συνοριοφυλακής</w:t>
      </w:r>
      <w:proofErr w:type="spellEnd"/>
      <w:r w:rsidR="003267B2" w:rsidRPr="00FD2974">
        <w:t xml:space="preserve"> και Ακτοφυλακής για το οικονομικό έτος 2022</w:t>
      </w:r>
      <w:r w:rsidR="00DF3485">
        <w:t xml:space="preserve"> </w:t>
      </w:r>
      <w:r w:rsidR="003267B2" w:rsidRPr="00FD2974">
        <w:t>(2023/2172(DEC))</w:t>
      </w:r>
    </w:p>
    <w:p w:rsidR="003267B2" w:rsidRPr="00FD2974" w:rsidRDefault="003267B2" w:rsidP="003267B2">
      <w:pPr>
        <w:pStyle w:val="EPComma"/>
      </w:pPr>
      <w:r w:rsidRPr="00FD2974">
        <w:rPr>
          <w:i/>
        </w:rPr>
        <w:t>Το Ευρωπαϊκό Κοινοβούλιο</w:t>
      </w:r>
      <w:r w:rsidRPr="00FD2974">
        <w:t>,</w:t>
      </w:r>
    </w:p>
    <w:p w:rsidR="003267B2" w:rsidRPr="00FD2974" w:rsidRDefault="003267B2" w:rsidP="003267B2">
      <w:pPr>
        <w:pStyle w:val="NormalHanging12a"/>
      </w:pPr>
      <w:r w:rsidRPr="00FD2974">
        <w:t>–</w:t>
      </w:r>
      <w:r w:rsidRPr="00FD2974">
        <w:tab/>
        <w:t xml:space="preserve">έχοντας υπόψη τους οριστικούς ετήσιους λογαριασμούς του Ευρωπαϊκού Οργανισμού </w:t>
      </w:r>
      <w:proofErr w:type="spellStart"/>
      <w:r w:rsidRPr="00FD2974">
        <w:t>Συνοριοφυλακής</w:t>
      </w:r>
      <w:proofErr w:type="spellEnd"/>
      <w:r w:rsidRPr="00FD2974">
        <w:t xml:space="preserve"> και Ακτοφυλακής για το οικονομικό έτος 2022,</w:t>
      </w:r>
    </w:p>
    <w:p w:rsidR="003267B2" w:rsidRPr="00FD2974" w:rsidRDefault="003267B2" w:rsidP="003267B2">
      <w:pPr>
        <w:pStyle w:val="NormalHanging12a"/>
      </w:pPr>
      <w:r w:rsidRPr="00FD2974">
        <w:t>–</w:t>
      </w:r>
      <w:r w:rsidRPr="00FD2974">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FD2974">
        <w:rPr>
          <w:rStyle w:val="FootnoteReference"/>
        </w:rPr>
        <w:footnoteReference w:id="6"/>
      </w:r>
      <w:r w:rsidRPr="00FD2974">
        <w:t>,</w:t>
      </w:r>
    </w:p>
    <w:p w:rsidR="003267B2" w:rsidRPr="00FD2974" w:rsidRDefault="003267B2" w:rsidP="003267B2">
      <w:pPr>
        <w:pStyle w:val="NormalHanging12a"/>
      </w:pPr>
      <w:r w:rsidRPr="00FD2974">
        <w:t>–</w:t>
      </w:r>
      <w:r w:rsidRPr="00FD2974">
        <w:tab/>
        <w:t>έχοντας υπόψη τη δήλωση αξιοπιστίας</w:t>
      </w:r>
      <w:r w:rsidRPr="00FD2974">
        <w:rPr>
          <w:rStyle w:val="FootnoteReference"/>
        </w:rPr>
        <w:footnoteReference w:id="7"/>
      </w:r>
      <w:r w:rsidRPr="00FD2974">
        <w:t xml:space="preserve"> η οποία βεβαιώνει την ακρίβεια των λογαριασμών και τη νομιμότητα και κανονικότητα των σχετικών πράξεων, την οποία </w:t>
      </w:r>
      <w:proofErr w:type="spellStart"/>
      <w:r w:rsidRPr="00FD2974">
        <w:t>ενεχείρισε</w:t>
      </w:r>
      <w:proofErr w:type="spellEnd"/>
      <w:r w:rsidRPr="00FD2974">
        <w:t xml:space="preserve"> το Ελεγκτικό Συνέδριο για το οικονομικό έτος 2022, σύμφωνα με το άρθρο 287 της Συνθήκης για τη λειτουργία της Ευρωπαϊκής Ένωσης,</w:t>
      </w:r>
    </w:p>
    <w:p w:rsidR="003267B2" w:rsidRPr="00FD2974" w:rsidRDefault="003267B2" w:rsidP="003267B2">
      <w:pPr>
        <w:pStyle w:val="NormalHanging12a"/>
      </w:pPr>
      <w:r w:rsidRPr="00FD2974">
        <w:t>–</w:t>
      </w:r>
      <w:r w:rsidRPr="00FD2974">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3E7876" w:rsidRPr="00FD2974">
        <w:t>0</w:t>
      </w:r>
      <w:r w:rsidR="003E7876">
        <w:t>6180</w:t>
      </w:r>
      <w:r w:rsidRPr="00FD2974">
        <w:t>/2024 – C9</w:t>
      </w:r>
      <w:r w:rsidRPr="00FD2974">
        <w:noBreakHyphen/>
      </w:r>
      <w:r w:rsidR="003E7876" w:rsidRPr="00FD2974">
        <w:t>0</w:t>
      </w:r>
      <w:r w:rsidR="003E7876">
        <w:t>110</w:t>
      </w:r>
      <w:r w:rsidRPr="00FD2974">
        <w:t>/2024),</w:t>
      </w:r>
    </w:p>
    <w:p w:rsidR="003267B2" w:rsidRPr="00FD2974" w:rsidRDefault="003267B2" w:rsidP="003267B2">
      <w:pPr>
        <w:pStyle w:val="NormalHanging12a"/>
      </w:pPr>
      <w:r w:rsidRPr="00FD2974">
        <w:t>–</w:t>
      </w:r>
      <w:r w:rsidRPr="00FD2974">
        <w:tab/>
        <w:t>έχοντας υπόψη το άρθρο 319 της Συνθήκης για τη λειτουργία της Ευρωπαϊκής Ένωσης,</w:t>
      </w:r>
    </w:p>
    <w:p w:rsidR="003267B2" w:rsidRPr="00FD2974" w:rsidRDefault="003267B2" w:rsidP="003267B2">
      <w:pPr>
        <w:pStyle w:val="NormalHanging12a"/>
      </w:pPr>
      <w:r w:rsidRPr="00FD2974">
        <w:t>–</w:t>
      </w:r>
      <w:r w:rsidRPr="00FD2974">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FD2974">
        <w:rPr>
          <w:rStyle w:val="FootnoteReference"/>
        </w:rPr>
        <w:footnoteReference w:id="8"/>
      </w:r>
      <w:r w:rsidRPr="00FD2974">
        <w:t>, και ιδίως το άρθρο 70,</w:t>
      </w:r>
    </w:p>
    <w:p w:rsidR="003267B2" w:rsidRPr="00FD2974" w:rsidRDefault="003267B2" w:rsidP="003267B2">
      <w:pPr>
        <w:pStyle w:val="NormalHanging12a"/>
      </w:pPr>
      <w:r w:rsidRPr="00FD2974">
        <w:t>–</w:t>
      </w:r>
      <w:r w:rsidRPr="00FD2974">
        <w:tab/>
        <w:t xml:space="preserve">έχοντας υπόψη τον κανονισμό (EE) 2019/1896 του Ευρωπαϊκού Κοινοβουλίου και του Συμβουλίου, της 13ης Νοεμβρίου 2019, για την Ευρωπαϊκή </w:t>
      </w:r>
      <w:proofErr w:type="spellStart"/>
      <w:r w:rsidRPr="00FD2974">
        <w:t>Συνοριοφυλακή</w:t>
      </w:r>
      <w:proofErr w:type="spellEnd"/>
      <w:r w:rsidRPr="00FD2974">
        <w:t xml:space="preserve"> και Ακτοφυλακή και για την κατάργηση των κανονισμών (ΕΕ) αριθ. 1052/2013 και (ΕΕ) 2016/1624</w:t>
      </w:r>
      <w:r w:rsidRPr="00FD2974">
        <w:rPr>
          <w:rStyle w:val="FootnoteReference"/>
        </w:rPr>
        <w:footnoteReference w:id="9"/>
      </w:r>
      <w:r w:rsidRPr="00FD2974">
        <w:t>, και ιδίως το άρθρο 116,</w:t>
      </w:r>
    </w:p>
    <w:p w:rsidR="003267B2" w:rsidRPr="00FD2974" w:rsidRDefault="003267B2" w:rsidP="003267B2">
      <w:pPr>
        <w:pStyle w:val="NormalHanging12a"/>
      </w:pPr>
      <w:r w:rsidRPr="00FD2974">
        <w:t>–</w:t>
      </w:r>
      <w:r w:rsidRPr="00FD2974">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FD2974">
        <w:rPr>
          <w:rStyle w:val="FootnoteReference"/>
        </w:rPr>
        <w:footnoteReference w:id="10"/>
      </w:r>
      <w:r w:rsidRPr="00FD2974">
        <w:t>, και ιδίως το άρθρο 105,</w:t>
      </w:r>
    </w:p>
    <w:p w:rsidR="003267B2" w:rsidRPr="00FD2974" w:rsidRDefault="003267B2" w:rsidP="003267B2">
      <w:pPr>
        <w:pStyle w:val="NormalHanging12a"/>
      </w:pPr>
      <w:r w:rsidRPr="00FD2974">
        <w:t>–</w:t>
      </w:r>
      <w:r w:rsidRPr="00FD2974">
        <w:tab/>
        <w:t>έχοντας υπόψη το άρθρο 100 και το παράρτημα V του Κανονισμού του,</w:t>
      </w:r>
    </w:p>
    <w:p w:rsidR="003267B2" w:rsidRPr="00FD2974" w:rsidRDefault="003267B2" w:rsidP="003267B2">
      <w:pPr>
        <w:pStyle w:val="NormalHanging12a"/>
      </w:pPr>
      <w:r w:rsidRPr="00FD2974">
        <w:t>–</w:t>
      </w:r>
      <w:r w:rsidRPr="00FD2974">
        <w:tab/>
        <w:t>έχοντας υπόψη τη γνωμοδότηση της Επιτροπής Πολιτικών Ελευθεριών, Δικαιοσύνης και Εσωτερικών Υποθέσεων,</w:t>
      </w:r>
    </w:p>
    <w:p w:rsidR="003267B2" w:rsidRPr="00FD2974" w:rsidRDefault="003267B2" w:rsidP="003267B2">
      <w:pPr>
        <w:pStyle w:val="NormalHanging12a"/>
      </w:pPr>
      <w:r w:rsidRPr="00FD2974">
        <w:t>–</w:t>
      </w:r>
      <w:r w:rsidRPr="00FD2974">
        <w:tab/>
        <w:t>έχοντας υπόψη την έκθεση της Επιτροπής Ελέγχου του Προϋπολογισμού (A9-0113/2024),</w:t>
      </w:r>
    </w:p>
    <w:p w:rsidR="003267B2" w:rsidRPr="00FD2974" w:rsidRDefault="00A61754" w:rsidP="00A61754">
      <w:pPr>
        <w:pStyle w:val="NormalHanging12a"/>
        <w:ind w:hanging="570"/>
      </w:pPr>
      <w:r w:rsidRPr="00FD2974">
        <w:t>1.</w:t>
      </w:r>
      <w:r w:rsidRPr="00FD2974">
        <w:tab/>
      </w:r>
      <w:r w:rsidR="003267B2" w:rsidRPr="00FD2974">
        <w:t xml:space="preserve">εγκρίνει το κλείσιμο των λογαριασμών του Ευρωπαϊκού Οργανισμού </w:t>
      </w:r>
      <w:proofErr w:type="spellStart"/>
      <w:r w:rsidR="003267B2" w:rsidRPr="00FD2974">
        <w:t>Συνοριοφυλακής</w:t>
      </w:r>
      <w:proofErr w:type="spellEnd"/>
      <w:r w:rsidR="003267B2" w:rsidRPr="00FD2974">
        <w:t xml:space="preserve"> και Ακτοφυλακής για το οικονομικό έτος 2022·</w:t>
      </w:r>
    </w:p>
    <w:p w:rsidR="003267B2" w:rsidRPr="00FD2974" w:rsidRDefault="00A61754" w:rsidP="00A61754">
      <w:pPr>
        <w:pStyle w:val="NormalHanging12a"/>
        <w:ind w:hanging="570"/>
      </w:pPr>
      <w:r w:rsidRPr="00FD2974">
        <w:t>2.</w:t>
      </w:r>
      <w:r w:rsidRPr="00FD2974">
        <w:tab/>
      </w:r>
      <w:r w:rsidR="003267B2" w:rsidRPr="00FD2974">
        <w:t xml:space="preserve">αναθέτει στην Πρόεδρό του να διαβιβάσει την παρούσα απόφαση στον εκτελεστικό διευθυντή του Ευρωπαϊκού Οργανισμού </w:t>
      </w:r>
      <w:proofErr w:type="spellStart"/>
      <w:r w:rsidR="003267B2" w:rsidRPr="00FD2974">
        <w:t>Συνοριοφυλακής</w:t>
      </w:r>
      <w:proofErr w:type="spellEnd"/>
      <w:r w:rsidR="003267B2" w:rsidRPr="00FD2974">
        <w:t xml:space="preserve"> και Ακτοφυλακής, στο Συμβούλιο, στην Επιτροπή και στο Ελεγκτικό Συνέδριο, και να μεριμνήσει για τη δημοσίευσή της στην </w:t>
      </w:r>
      <w:r w:rsidR="003267B2" w:rsidRPr="00FD2974">
        <w:rPr>
          <w:i/>
        </w:rPr>
        <w:t>Επίσημη Εφημερίδα της Ευρωπαϊκής Ένωσης</w:t>
      </w:r>
      <w:r w:rsidR="003267B2" w:rsidRPr="00FD2974">
        <w:t xml:space="preserve"> (σειρά L).</w:t>
      </w:r>
    </w:p>
    <w:p w:rsidR="003267B2" w:rsidRPr="00FD2974" w:rsidRDefault="003267B2" w:rsidP="003267B2"/>
    <w:p w:rsidR="003267B2" w:rsidRPr="00FD2974" w:rsidRDefault="003267B2" w:rsidP="003267B2">
      <w:pPr>
        <w:widowControl/>
        <w:rPr>
          <w:rFonts w:ascii="Arial" w:hAnsi="Arial" w:cs="Arial"/>
          <w:b/>
        </w:rPr>
        <w:sectPr w:rsidR="003267B2" w:rsidRPr="00FD2974" w:rsidSect="00FD2974">
          <w:footnotePr>
            <w:numRestart w:val="eachPage"/>
          </w:footnotePr>
          <w:endnotePr>
            <w:numFmt w:val="decimal"/>
          </w:endnotePr>
          <w:pgSz w:w="11906" w:h="16838"/>
          <w:pgMar w:top="1134" w:right="1418" w:bottom="1418" w:left="1418" w:header="567" w:footer="567" w:gutter="0"/>
          <w:cols w:space="720"/>
          <w:docGrid w:linePitch="326"/>
        </w:sectPr>
      </w:pPr>
    </w:p>
    <w:p w:rsidR="003267B2" w:rsidRPr="00FD2974" w:rsidRDefault="00953496" w:rsidP="00953496">
      <w:pPr>
        <w:pStyle w:val="ATHeading3"/>
      </w:pPr>
      <w:r>
        <w:t xml:space="preserve">3. Ψήφισμα του Ευρωπαϊκού Κοινοβουλίου </w:t>
      </w:r>
      <w:r w:rsidR="003E7876">
        <w:t xml:space="preserve">της 11ης Απριλίου 2024 </w:t>
      </w:r>
      <w:r w:rsidR="003267B2" w:rsidRPr="00FD2974">
        <w:t xml:space="preserve">με τις παρατηρήσεις που αποτελούν αναπόσπαστο μέρος της απόφασης σχετικά με την απαλλαγή όσον αφορά την εκτέλεση του προϋπολογισμού του Ευρωπαϊκού Οργανισμού </w:t>
      </w:r>
      <w:proofErr w:type="spellStart"/>
      <w:r w:rsidR="003267B2" w:rsidRPr="00FD2974">
        <w:t>Συνοριοφυλακής</w:t>
      </w:r>
      <w:proofErr w:type="spellEnd"/>
      <w:r w:rsidR="003267B2" w:rsidRPr="00FD2974">
        <w:t xml:space="preserve"> και Ακτοφυλακής για το οικονομικό έτος 2022</w:t>
      </w:r>
      <w:r w:rsidR="00DF3485">
        <w:t xml:space="preserve"> </w:t>
      </w:r>
      <w:r w:rsidR="003267B2" w:rsidRPr="00FD2974">
        <w:t>(2023/2172(DEC))</w:t>
      </w:r>
    </w:p>
    <w:p w:rsidR="003267B2" w:rsidRPr="00FD2974" w:rsidRDefault="003267B2" w:rsidP="003267B2">
      <w:pPr>
        <w:pStyle w:val="EPComma"/>
      </w:pPr>
      <w:r w:rsidRPr="00FD2974">
        <w:rPr>
          <w:i/>
        </w:rPr>
        <w:t>Το Ευρωπαϊκό Κοινοβούλιο</w:t>
      </w:r>
      <w:r w:rsidRPr="00FD2974">
        <w:t>,</w:t>
      </w:r>
    </w:p>
    <w:p w:rsidR="003267B2" w:rsidRPr="00FD2974" w:rsidRDefault="003267B2" w:rsidP="003267B2">
      <w:pPr>
        <w:pStyle w:val="NormalHanging12a"/>
      </w:pPr>
      <w:r w:rsidRPr="00FD2974">
        <w:t>–</w:t>
      </w:r>
      <w:r w:rsidRPr="00FD2974">
        <w:tab/>
        <w:t xml:space="preserve">έχοντας υπόψη την απόφασή του σχετικά με την απαλλαγή όσον αφορά την εκτέλεση του προϋπολογισμού του Ευρωπαϊκού Οργανισμού </w:t>
      </w:r>
      <w:proofErr w:type="spellStart"/>
      <w:r w:rsidRPr="00FD2974">
        <w:t>Συνοριοφυλακής</w:t>
      </w:r>
      <w:proofErr w:type="spellEnd"/>
      <w:r w:rsidRPr="00FD2974">
        <w:t xml:space="preserve"> και Ακτοφυλακής για το οικονομικό έτος 2022,</w:t>
      </w:r>
    </w:p>
    <w:p w:rsidR="003267B2" w:rsidRPr="00FD2974" w:rsidRDefault="003267B2" w:rsidP="003267B2">
      <w:pPr>
        <w:pStyle w:val="NormalHanging12a"/>
      </w:pPr>
      <w:r w:rsidRPr="00FD2974">
        <w:t>–</w:t>
      </w:r>
      <w:r w:rsidRPr="00FD2974">
        <w:tab/>
        <w:t>έχοντας υπόψη το άρθρο 100 και το παράρτημα V του Κανονισμού του,</w:t>
      </w:r>
    </w:p>
    <w:p w:rsidR="003267B2" w:rsidRPr="00FD2974" w:rsidRDefault="003267B2" w:rsidP="003267B2">
      <w:pPr>
        <w:pStyle w:val="NormalHanging12a"/>
      </w:pPr>
      <w:r w:rsidRPr="00FD2974">
        <w:t>–</w:t>
      </w:r>
      <w:r w:rsidRPr="00FD2974">
        <w:tab/>
        <w:t>έχοντας υπόψη τη γνωμοδότηση της Επιτροπής Πολιτικών Ελευθεριών, Δικαιοσύνης και Εσωτερικών Υποθέσεων,</w:t>
      </w:r>
    </w:p>
    <w:p w:rsidR="003267B2" w:rsidRPr="00FD2974" w:rsidRDefault="003267B2" w:rsidP="003267B2">
      <w:pPr>
        <w:pStyle w:val="NormalHanging12a"/>
      </w:pPr>
      <w:r w:rsidRPr="00FD2974">
        <w:t>–</w:t>
      </w:r>
      <w:r w:rsidRPr="00FD2974">
        <w:tab/>
        <w:t>έχοντας υπόψη την έκθεση της Επιτροπής Ελέγχου του Προϋπολογισμού (A9-0113/2024),</w:t>
      </w:r>
    </w:p>
    <w:p w:rsidR="003267B2" w:rsidRPr="00FD2974" w:rsidRDefault="003267B2" w:rsidP="003267B2">
      <w:pPr>
        <w:pStyle w:val="Normal12Hanging"/>
        <w:rPr>
          <w:rFonts w:ascii="Times New Roman" w:hAnsi="Times New Roman" w:cs="Times New Roman"/>
          <w:lang w:val="el-GR"/>
        </w:rPr>
      </w:pPr>
      <w:r w:rsidRPr="00FD2974">
        <w:rPr>
          <w:rFonts w:ascii="Times New Roman" w:hAnsi="Times New Roman"/>
          <w:lang w:val="el-GR"/>
        </w:rPr>
        <w:t>Α.</w:t>
      </w:r>
      <w:r w:rsidRPr="00FD2974">
        <w:rPr>
          <w:rFonts w:ascii="Times New Roman" w:hAnsi="Times New Roman"/>
          <w:lang w:val="el-GR"/>
        </w:rPr>
        <w:tab/>
        <w:t>λαμβάνοντας υπόψη ότι, σύμφωνα με την κατάσταση εσόδων και δαπανών του</w:t>
      </w:r>
      <w:r w:rsidRPr="00FD2974">
        <w:rPr>
          <w:rFonts w:ascii="Times New Roman" w:hAnsi="Times New Roman" w:cs="Times New Roman"/>
          <w:vertAlign w:val="superscript"/>
          <w:lang w:val="el-GR"/>
        </w:rPr>
        <w:footnoteReference w:id="11"/>
      </w:r>
      <w:r w:rsidRPr="00FD2974">
        <w:rPr>
          <w:rFonts w:ascii="Times New Roman" w:hAnsi="Times New Roman"/>
          <w:lang w:val="el-GR"/>
        </w:rPr>
        <w:t xml:space="preserve">, ο οριστικός προϋπολογισμός του Ευρωπαϊκού Οργανισμού </w:t>
      </w:r>
      <w:proofErr w:type="spellStart"/>
      <w:r w:rsidRPr="00FD2974">
        <w:rPr>
          <w:rFonts w:ascii="Times New Roman" w:hAnsi="Times New Roman"/>
          <w:lang w:val="el-GR"/>
        </w:rPr>
        <w:t>Συνοριοφυλακής</w:t>
      </w:r>
      <w:proofErr w:type="spellEnd"/>
      <w:r w:rsidRPr="00FD2974">
        <w:rPr>
          <w:rFonts w:ascii="Times New Roman" w:hAnsi="Times New Roman"/>
          <w:lang w:val="el-GR"/>
        </w:rPr>
        <w:t xml:space="preserve"> και Ακτοφυλακής («ο Οργανισμός») για το οικονομικό έτος 2022 ανήλθε σε 693 122 859 EUR, ποσό που συνιστά αύξηση κατά 29,50 % σε σύγκριση με το 2021· λαμβάνοντας υπόψη ότι ο προϋπολογισμός του Οργανισμού προέρχεται κυρίως από τον προϋπολογισμό της Ένωσης·</w:t>
      </w:r>
    </w:p>
    <w:p w:rsidR="003267B2" w:rsidRPr="00FD2974" w:rsidRDefault="003267B2" w:rsidP="003267B2">
      <w:pPr>
        <w:widowControl/>
        <w:autoSpaceDE w:val="0"/>
        <w:autoSpaceDN w:val="0"/>
        <w:adjustRightInd w:val="0"/>
        <w:spacing w:after="240"/>
        <w:ind w:left="567" w:hanging="567"/>
        <w:rPr>
          <w:rFonts w:eastAsiaTheme="minorHAnsi"/>
          <w:szCs w:val="24"/>
        </w:rPr>
      </w:pPr>
      <w:r w:rsidRPr="00FD2974">
        <w:t>Β.</w:t>
      </w:r>
      <w:r w:rsidRPr="00FD2974">
        <w:tab/>
        <w:t>λαμβάνοντας υπόψη ότι όλα τα θεσμικά και λοιπά όργανα και οργανισμοί της Ένωσης οφείλουν να λειτουργούν με διαφάνεια και να λογοδοτούν πλήρως στους πολίτες της Ένωσης για τα κονδύλια που τους διατίθενται·</w:t>
      </w:r>
    </w:p>
    <w:p w:rsidR="003267B2" w:rsidRPr="00FD2974" w:rsidRDefault="003267B2" w:rsidP="003267B2">
      <w:pPr>
        <w:pStyle w:val="NormalHanging12a"/>
        <w:widowControl/>
        <w:rPr>
          <w:rFonts w:eastAsiaTheme="minorHAnsi"/>
          <w:szCs w:val="24"/>
        </w:rPr>
      </w:pPr>
      <w:r w:rsidRPr="00FD2974">
        <w:t>Γ.</w:t>
      </w:r>
      <w:r w:rsidRPr="00FD2974">
        <w:tab/>
        <w:t>λαμβάνοντας υπόψη ότι, στην έκθεσή του για τους ετήσιους λογαριασμούς του Οργανισμού για το οικονομικό έτος 2022 («η έκθεση του Ελεγκτικού Συνεδρίου»), το Ελεγκτικό Συνέδριο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3267B2" w:rsidRPr="00FD2974" w:rsidRDefault="003267B2" w:rsidP="003267B2">
      <w:pPr>
        <w:pStyle w:val="NormalHanging12a"/>
        <w:widowControl/>
        <w:rPr>
          <w:szCs w:val="24"/>
        </w:rPr>
      </w:pPr>
      <w:r w:rsidRPr="00FD2974">
        <w:t>Δ.</w:t>
      </w:r>
      <w:r w:rsidRPr="00FD2974">
        <w:tab/>
        <w:t>λαμβάνοντας υπόψη ότι από τον Δεκέμβριο του 2019 ο Οργανισμός εκτελεί νέα εντολή που συνεπάγεται ουσιαστική αύξηση η οποία είναι σημαντική όσον αφορά τις αποστολές και το προσωπικό του, για την οποία απαιτείται επαρκής προϋπολογισμός·</w:t>
      </w:r>
    </w:p>
    <w:p w:rsidR="003267B2" w:rsidRPr="00FD2974" w:rsidRDefault="003267B2" w:rsidP="003267B2">
      <w:pPr>
        <w:pStyle w:val="NormalHanging12a"/>
        <w:widowControl/>
        <w:rPr>
          <w:szCs w:val="24"/>
        </w:rPr>
      </w:pPr>
      <w:r w:rsidRPr="00FD2974">
        <w:t>Ε.</w:t>
      </w:r>
      <w:r w:rsidRPr="00FD2974">
        <w:tab/>
        <w:t>λαμβάνοντας υπόψη ότι το 2022 σημειώθηκε σημαντική αύξηση του προϋπολογισμού του Οργανισμού και της εκτέλεσης του πίνακα προσωπικού λόγω της διευρυμένης εντολής δυνάμει του κανονισμού (ΕΕ) 2019/1896·</w:t>
      </w:r>
    </w:p>
    <w:p w:rsidR="003267B2" w:rsidRPr="00FD2974" w:rsidRDefault="003267B2" w:rsidP="003267B2">
      <w:pPr>
        <w:widowControl/>
        <w:autoSpaceDE w:val="0"/>
        <w:autoSpaceDN w:val="0"/>
        <w:adjustRightInd w:val="0"/>
        <w:spacing w:after="240"/>
        <w:ind w:left="567" w:hanging="567"/>
        <w:rPr>
          <w:szCs w:val="24"/>
        </w:rPr>
      </w:pPr>
      <w:r w:rsidRPr="00FD2974">
        <w:t>ΣΤ.</w:t>
      </w:r>
      <w:r w:rsidRPr="00FD2974">
        <w:tab/>
        <w:t>λαμβάνοντας υπόψη ότι το Ελεγκτικό Συνέδριο, στην ειδική έκθεσή του αριθ. 8/2021 σχετικά με την υποστήριξη της διαχείρισης των εξωτερικών συνόρων από τον Οργανισμό, κατέληξε στο συμπέρασμα ότι υπάρχουν διάφορες ελλείψεις όσον αφορά τις πρωταρχικές δραστηριότητες του Οργανισμού, και συγκεκριμένα την παρακολούθηση της κατάστασης, την ανάλυση κινδύνων, την αξιολόγηση τρωτότητας, τις κοινές επιχειρήσεις και τις ταχείες επεμβάσεις στα σύνορα, τις επιχειρήσεις επιστροφής και την κατάρτιση από τον Οργανισμό, καθώς και ότι δεν διενεργήθηκε εκτίμηση των αναγκών και των επιπτώσεων πριν από την εκθετική αύξηση των δαπανών του Οργανισμού·</w:t>
      </w:r>
    </w:p>
    <w:p w:rsidR="003267B2" w:rsidRPr="00FD2974" w:rsidRDefault="00A61754" w:rsidP="00A61754">
      <w:pPr>
        <w:pStyle w:val="NormalHanging12a"/>
        <w:ind w:hanging="570"/>
      </w:pPr>
      <w:r w:rsidRPr="00FD2974">
        <w:t>1.</w:t>
      </w:r>
      <w:r w:rsidRPr="00FD2974">
        <w:tab/>
      </w:r>
      <w:r w:rsidR="003267B2" w:rsidRPr="00FD2974">
        <w:t xml:space="preserve">υπενθυμίζει ότι ο Οργανισμός, μετά τα πορίσματα της Ευρωπαϊκής Υπηρεσίας Καταπολέμησης της Απάτης (OLAF) και την παραίτηση του πρώην εκτελεστικού διευθυντή του Οργανισμού τον Απρίλιο του 2022, κατάρτισε σχέδιο δράσης στο οποίο παρουσιάζονται συγκεκριμένες δράσεις που πρέπει να αναληφθούν με σκοπό την αντιμετώπιση διαφόρων ελλείψεων σε τομείς που χρήζουν βελτίωσης, όπως η </w:t>
      </w:r>
      <w:proofErr w:type="spellStart"/>
      <w:r w:rsidR="003267B2" w:rsidRPr="00FD2974">
        <w:t>οργανωσιακή</w:t>
      </w:r>
      <w:proofErr w:type="spellEnd"/>
      <w:r w:rsidR="003267B2" w:rsidRPr="00FD2974">
        <w:t xml:space="preserve"> νοοτροπία, η διαφάνεια και η λογοδοσία και το πλαίσιο για τα θεμελιώδη δικαιώματα· σημειώνει ότι, σύμφωνα με την έκθεση του Οργανισμού (που υπεγράφη στις 24 Οκτωβρίου 2023) για το τρίτο τρίμηνο του 2023 προς την ομάδα εργασίας του Ευρωπαϊκού Κοινοβουλίου για τον έλεγχο του </w:t>
      </w:r>
      <w:proofErr w:type="spellStart"/>
      <w:r w:rsidR="003267B2" w:rsidRPr="00FD2974">
        <w:t>Frontex</w:t>
      </w:r>
      <w:proofErr w:type="spellEnd"/>
      <w:r w:rsidR="003267B2" w:rsidRPr="00FD2974">
        <w:t xml:space="preserve"> (FSWG), υλοποιήθηκαν οι περισσότερες δράσεις οι οποίες αφορούσαν συστάσεις της FSWG, της ομάδας εργασίας του διοικητικού συμβουλίου (ΔΣ) του Οργανισμού για τα θεμελιώδη δικαιώματα και τις νομικές επιχειρησιακές πτυχές (</w:t>
      </w:r>
      <w:proofErr w:type="spellStart"/>
      <w:r w:rsidR="003267B2" w:rsidRPr="00FD2974">
        <w:t>FRaLO</w:t>
      </w:r>
      <w:proofErr w:type="spellEnd"/>
      <w:r w:rsidR="003267B2" w:rsidRPr="00FD2974">
        <w:t xml:space="preserve">), της Ευρωπαίας </w:t>
      </w:r>
      <w:proofErr w:type="spellStart"/>
      <w:r w:rsidR="003267B2" w:rsidRPr="00FD2974">
        <w:t>Διαμεσολαβήτριας</w:t>
      </w:r>
      <w:proofErr w:type="spellEnd"/>
      <w:r w:rsidR="003267B2" w:rsidRPr="00FD2974">
        <w:t xml:space="preserve"> και της OLAF· καλεί τον Οργανισμό να εφαρμόσει πλήρως το σχέδιο δράσης και να συνεχίσει να ενημερώνει την αρμόδια για την απαλλαγή αρχή σχετικά με την πρόοδο επί του θέματος· καλεί τον Οργανισμό να εφαρμόσει πλήρως, κατά προτεραιότητα, όλες τις εκκρεμείς συστάσεις της FSWG, της ομάδας εργασίας </w:t>
      </w:r>
      <w:proofErr w:type="spellStart"/>
      <w:r w:rsidR="003267B2" w:rsidRPr="00FD2974">
        <w:t>FRaLO</w:t>
      </w:r>
      <w:proofErr w:type="spellEnd"/>
      <w:r w:rsidR="003267B2" w:rsidRPr="00FD2974">
        <w:t xml:space="preserve"> του διοικητικού συμβουλίου του Οργανισμού, της Ευρωπαίας </w:t>
      </w:r>
      <w:proofErr w:type="spellStart"/>
      <w:r w:rsidR="003267B2" w:rsidRPr="00FD2974">
        <w:t>Διαμεσολαβήτριας</w:t>
      </w:r>
      <w:proofErr w:type="spellEnd"/>
      <w:r w:rsidR="003267B2" w:rsidRPr="00FD2974">
        <w:t xml:space="preserve">, του Ελεγκτικού Συνεδρίου και της OLAF· επαναλαμβάνει ότι είναι σημαντικό να επανεξετάζονται και να ελέγχονται συνεχώς οι δραστηριότητες της διοικητικής ομάδας, με στόχο τον έγκαιρο εντοπισμό και την επίλυση των ζητημάτων· σημειώνει ότι, για να δοθεί περαιτέρω συνέχεια στα ζητήματα που τέθηκαν στην έκθεση της OLAF και οδήγησαν στην παραίτηση του πρώην εκτελεστικού διευθυντή του Οργανισμού, ο επικεφαλής του </w:t>
      </w:r>
      <w:proofErr w:type="spellStart"/>
      <w:r w:rsidR="003267B2" w:rsidRPr="00FD2974">
        <w:t>νεοσυσταθέντος</w:t>
      </w:r>
      <w:proofErr w:type="spellEnd"/>
      <w:r w:rsidR="003267B2" w:rsidRPr="00FD2974">
        <w:t xml:space="preserve"> Γραφείου Επιθεώρησης και Ελέγχου κατάρτισε σχέδιο δράσης το οποίο παρουσιάστηκε στο ΔΣ τον Ιανουάριο του 2023· ζητεί από τον Οργανισμό να εντείνει τις εν εξελίξει προσπάθειες και να λάβει όλα τα αναγκαία μέτρα για να διασφαλίσει την πλήρη τήρηση των προτύπων της Ένωσης, ιδίως στους τομείς της δημοσιονομικής και χρηματοοικονομικής διαχείρισης, των θεμελιωδών δικαιωμάτων, της </w:t>
      </w:r>
      <w:proofErr w:type="spellStart"/>
      <w:r w:rsidR="003267B2" w:rsidRPr="00FD2974">
        <w:t>οργανωσιακής</w:t>
      </w:r>
      <w:proofErr w:type="spellEnd"/>
      <w:r w:rsidR="003267B2" w:rsidRPr="00FD2974">
        <w:t xml:space="preserve"> νοοτροπίας και της διαφάνειας. υπενθυμίζει τη δεύτερη έρευνα της OLAF σχετικά με τις πρακτικές διαχείρισης στον Οργανισμό, η οποία βρίσκεται σε εξέλιξη, μόλις εννέα μήνες μετά την περάτωση της πρώτης έρευνας της OLAF· ζητεί να ελεγχθούν και να διερευνηθούν διεξοδικά οι ισχυρισμοί για ανάρμοστη συμπεριφορά· καλεί τον Οργανισμό να διασφαλίσει την πλήρη και ειλικρινή συνεργασία με την OLAF σε όλα τα στάδια της έρευνας και να υποβάλλει τακτικά εκθέσεις στο Κοινοβούλιο σχετικά με την πρόοδο και τα αποτελέσματα της έρευνας·</w:t>
      </w:r>
    </w:p>
    <w:p w:rsidR="003267B2" w:rsidRPr="00FD2974" w:rsidRDefault="00A61754" w:rsidP="00A61754">
      <w:pPr>
        <w:pStyle w:val="NormalHanging12a"/>
        <w:ind w:hanging="570"/>
      </w:pPr>
      <w:r w:rsidRPr="00FD2974">
        <w:t>2.</w:t>
      </w:r>
      <w:r w:rsidRPr="00FD2974">
        <w:tab/>
      </w:r>
      <w:r w:rsidR="003267B2" w:rsidRPr="00FD2974">
        <w:t>εκφράζει την ανησυχία του για αρκετές εκκρεμείς νομικές υποθέσεις και για τις επικρίσεις σχετικά με τη συμμετοχή του Οργανισμού σε παραβιάσεις των ανθρωπίνων δικαιωμάτων, κάτι το οποίο δεν συνάδει με τους κανονισμούς του Οργανισμού και τις υποχρεώσεις του όσον αφορά τα ανθρώπινα δικαιώματα·</w:t>
      </w:r>
    </w:p>
    <w:p w:rsidR="003267B2" w:rsidRPr="00FD2974" w:rsidRDefault="00A61754" w:rsidP="00A61754">
      <w:pPr>
        <w:pStyle w:val="NormalHanging12a"/>
        <w:ind w:hanging="570"/>
      </w:pPr>
      <w:r w:rsidRPr="00FD2974">
        <w:t>3.</w:t>
      </w:r>
      <w:r w:rsidRPr="00FD2974">
        <w:tab/>
      </w:r>
      <w:r w:rsidR="003267B2" w:rsidRPr="00FD2974">
        <w:t xml:space="preserve">σημειώνει τα μέτρα του Οργανισμού σχετικά με τη διαφάνεια και τον έλεγχο, δηλαδή την παροχή στο Κοινοβούλιο και το Συμβούλιο επισκόπησης των δραστηριοτήτων του μέσω ενός νέου εργαλείου υποβολής εκθέσεων που ονομάζεται «πίνακας επιδόσεων»· ενθαρρύνει τους </w:t>
      </w:r>
      <w:proofErr w:type="spellStart"/>
      <w:r w:rsidR="003267B2" w:rsidRPr="00FD2974">
        <w:t>προεδρεύοντες</w:t>
      </w:r>
      <w:proofErr w:type="spellEnd"/>
      <w:r w:rsidR="003267B2" w:rsidRPr="00FD2974">
        <w:t xml:space="preserve"> του </w:t>
      </w:r>
      <w:r w:rsidR="00A46F80">
        <w:t>ΔΣ του Οργανισμού</w:t>
      </w:r>
      <w:r w:rsidR="003267B2" w:rsidRPr="00FD2974">
        <w:t xml:space="preserve"> να συνεχίσουν να καλούν παρατηρητές του Κοινοβουλίου στις συνεδριάσεις του και να εξετάσουν το ενδεχόμενο επέκτασης των προσκλήσεων σε όλα τα σημεία της ημερήσιας διάταξης, συμπεριλαμβανομένων των σημείων που εξετάζονται κεκλεισμένων των θυρών, και να συνεχίσουν να παρέχουν όλα τα δικαιολογητικά έγγραφα χωρίς εξαίρεση και, εάν κρίνεται αναγκαίο, με εμπιστευτικό τρόπο·</w:t>
      </w:r>
    </w:p>
    <w:p w:rsidR="003267B2" w:rsidRPr="00FD2974" w:rsidRDefault="003267B2" w:rsidP="003267B2">
      <w:pPr>
        <w:pStyle w:val="Normal12Hanging"/>
        <w:ind w:left="0" w:firstLine="0"/>
        <w:mirrorIndents/>
        <w:rPr>
          <w:rFonts w:ascii="Times New Roman" w:hAnsi="Times New Roman" w:cs="Times New Roman"/>
          <w:b/>
          <w:i/>
          <w:lang w:val="el-GR"/>
        </w:rPr>
      </w:pPr>
      <w:r w:rsidRPr="00FD2974">
        <w:rPr>
          <w:rFonts w:ascii="Times New Roman" w:hAnsi="Times New Roman"/>
          <w:b/>
          <w:i/>
          <w:lang w:val="el-GR"/>
        </w:rPr>
        <w:t>Δημοσιονομική και χρηματοοικονομική διαχείριση</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4.</w:t>
      </w:r>
      <w:r w:rsidRPr="00FD2974">
        <w:rPr>
          <w:rFonts w:ascii="Times New Roman" w:hAnsi="Times New Roman" w:cs="Times New Roman"/>
          <w:lang w:val="el-GR"/>
        </w:rPr>
        <w:tab/>
      </w:r>
      <w:r w:rsidR="003267B2" w:rsidRPr="00FD2974">
        <w:rPr>
          <w:rFonts w:ascii="Times New Roman" w:hAnsi="Times New Roman"/>
          <w:lang w:val="el-GR"/>
        </w:rPr>
        <w:t>σημειώνει ότι, μετά από δύο τροποποιήσεις του προϋπολογισμού που επέφεραν μείωση του προϋπολογισμού του Οργανισμού για το 2022 κατά περίπου 47 εκατομμύρια EUR, οι προσπάθειες παρακολούθησης του προϋπολογισμού κατά τη διάρκεια του εν λόγω έτους είχαν ως αποτέλεσμα ποσοστό εκτέλεσης των πιστώσεων ανάληψης υποχρεώσεων της τάξης του 99,40 %, το οποίο συνιστά αύξηση κατά 4,70 % σε σύγκριση με το 2021·</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w:t>
      </w:r>
      <w:r w:rsidRPr="00FD2974">
        <w:rPr>
          <w:rFonts w:ascii="Times New Roman" w:hAnsi="Times New Roman" w:cs="Times New Roman"/>
          <w:lang w:val="el-GR"/>
        </w:rPr>
        <w:tab/>
      </w:r>
      <w:r w:rsidR="003267B2" w:rsidRPr="00FD2974">
        <w:rPr>
          <w:rFonts w:ascii="Times New Roman" w:hAnsi="Times New Roman"/>
          <w:lang w:val="el-GR"/>
        </w:rPr>
        <w:t>σημειώνει με ανησυχία ότι, παρά τις συνεχείς προσπάθειες του Οργανισμού που αναφέρθηκαν το 2021 για τη βελτίωση της εκτέλεσης του προϋπολογισμού του, το ποσοστό εκτέλεσης των πιστώσεων πληρωμών (50,25 %) παρέμεινε χαμηλό το 2022, ποσοστό που συνιστά μείωση κατά 0,17 % σε σύγκριση με το 2021· αναγνωρίζει, ωστόσο, ότι, σε απόλυτες τιμές, η ετήσια αξία των πληρωμών αυξήθηκε κατά το διάστημα από το 2020 έως το 2022· σημειώνει την εξήγηση που παρείχε εκ νέου ο Οργανισμός, σύμφωνα με την οποία το χαμηλό επίπεδο του ποσοστού εκτέλεσης του προϋπολογισμού συνδέεται με τη φύση των δαπανών του Οργανισμού·</w:t>
      </w:r>
    </w:p>
    <w:p w:rsidR="003267B2" w:rsidRPr="00FD2974" w:rsidRDefault="00A61754" w:rsidP="00A61754">
      <w:pPr>
        <w:pStyle w:val="NormalHanging12a"/>
        <w:ind w:hanging="570"/>
      </w:pPr>
      <w:r w:rsidRPr="00FD2974">
        <w:t>6.</w:t>
      </w:r>
      <w:r w:rsidRPr="00FD2974">
        <w:tab/>
      </w:r>
      <w:r w:rsidR="003267B2" w:rsidRPr="00FD2974">
        <w:t>εκφράζει την έντονη ανησυχία του για το αυξανόμενο, κατά τα τελευταία έτη, επίπεδο των κονδυλίων C8 του Οργανισμού (αυτόματη μεταφορά πιστώσεων), καθώς το 2022 τα εν λόγω κονδύλια ανήλθαν σε 240,4 εκατομμύρια EUR, ενώ τα προηγούμενα δύο έτη ήταν 159,4 εκατομμύρια EUR (το 2021) και 102 εκατομμύρια EUR (το 2020)· σημειώνει, στο πλαίσιο αυτό, επίσης, την αύξηση των κονδυλίων C8 του Οργανισμού σε σχέση με την αύξηση του ετήσιου προϋπολογισμού του Οργανισμού, δεδομένου ότι από το 2019 έως το 2022 ο ετήσιος προϋπολογισμός αυξήθηκε με συντελεστή 2,1, ενώ τα κονδύλια C8 αυξήθηκαν με συντελεστή 2,9· σημειώνει ότι το 2022 το επίπεδο των πληρωμών (84 %) των κονδυλίων C8 μειώθηκε περαιτέρω (87 % το 2021)· σημειώνει, ωστόσο, την παρατήρηση του Οργανισμού ότι ο δείκτης αυτός έχει επηρεαστεί από μια δύσκολη κατάσταση στην αλυσίδα εφοδιασμού, που προκάλεσε καθυστερήσεις στην παράδοση υπηρεσιών και προϊόντων που είχαν παραγγελθεί· επιπλέον, καλεί τον Οργανισμό και την Επιτροπή να παράσχουν στην αρμόδια για την απαλλαγή αρχή λεπτομερή στοιχεία σχετικά με την προέλευση και την εξέλιξη του χρηματοοικονομικού στοιχείου παθητικού ύψους 9,3 εκατομμυρίων EUR που καταγράφηκε το 2022·</w:t>
      </w:r>
    </w:p>
    <w:p w:rsidR="003267B2" w:rsidRPr="00FD2974" w:rsidRDefault="00A61754" w:rsidP="00A61754">
      <w:pPr>
        <w:pStyle w:val="Normal12Hanging"/>
        <w:tabs>
          <w:tab w:val="left" w:pos="1276"/>
        </w:tabs>
        <w:ind w:hanging="570"/>
        <w:mirrorIndents/>
        <w:rPr>
          <w:rFonts w:ascii="Times New Roman" w:hAnsi="Times New Roman" w:cs="Times New Roman"/>
          <w:lang w:val="el-GR"/>
        </w:rPr>
      </w:pPr>
      <w:r w:rsidRPr="00FD2974">
        <w:rPr>
          <w:rFonts w:ascii="Times New Roman" w:hAnsi="Times New Roman" w:cs="Times New Roman"/>
          <w:lang w:val="el-GR"/>
        </w:rPr>
        <w:t>7.</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με ανησυχία, με βάση την έκθεση του Ελεγκτικού Συνεδρίου, την «επισήμανση ειδικού θέματος» όσον αφορά τη δήλωση του </w:t>
      </w:r>
      <w:proofErr w:type="spellStart"/>
      <w:r w:rsidR="003267B2" w:rsidRPr="00FD2974">
        <w:rPr>
          <w:rFonts w:ascii="Times New Roman" w:hAnsi="Times New Roman"/>
          <w:lang w:val="el-GR"/>
        </w:rPr>
        <w:t>υπολόγου</w:t>
      </w:r>
      <w:proofErr w:type="spellEnd"/>
      <w:r w:rsidR="003267B2" w:rsidRPr="00FD2974">
        <w:rPr>
          <w:rFonts w:ascii="Times New Roman" w:hAnsi="Times New Roman"/>
          <w:lang w:val="el-GR"/>
        </w:rPr>
        <w:t xml:space="preserve"> του Οργανισμού, για δεύτερο συναπτό έτος, σύμφωνα με την οποία το λογιστικό σύστημα του Οργανισμού δεν κατέστη δυνατό να επικυρωθεί λόγω έλλειψης πληροφοριών σχετικά με σύστημα ΤΠ που ανήκει στην Επιτροπή και παρέχει λογιστικά δεδομένα· σημειώνει, με βάση την έκθεση του Ελεγκτικού Συνεδρίου, την απάντηση του Οργανισμού στο θέμα αυτό, ότι τα στοιχεία που λείπουν για την επικύρωση του λογιστικού συστήματος του Οργανισμού αφορούν το σύστημα διαχείρισης αποστολών (</w:t>
      </w:r>
      <w:proofErr w:type="spellStart"/>
      <w:r w:rsidR="003267B2" w:rsidRPr="00FD2974">
        <w:rPr>
          <w:rFonts w:ascii="Times New Roman" w:hAnsi="Times New Roman"/>
          <w:lang w:val="el-GR"/>
        </w:rPr>
        <w:t>MiPS</w:t>
      </w:r>
      <w:proofErr w:type="spellEnd"/>
      <w:r w:rsidR="003267B2" w:rsidRPr="00FD2974">
        <w:rPr>
          <w:rFonts w:ascii="Times New Roman" w:hAnsi="Times New Roman"/>
          <w:lang w:val="el-GR"/>
        </w:rPr>
        <w:t>)·</w:t>
      </w:r>
    </w:p>
    <w:p w:rsidR="003267B2" w:rsidRPr="00FD2974" w:rsidRDefault="00A61754" w:rsidP="00A61754">
      <w:pPr>
        <w:pStyle w:val="NormalHanging12a"/>
        <w:ind w:hanging="570"/>
      </w:pPr>
      <w:r w:rsidRPr="00FD2974">
        <w:t>8.</w:t>
      </w:r>
      <w:r w:rsidRPr="00FD2974">
        <w:tab/>
      </w:r>
      <w:r w:rsidR="003267B2" w:rsidRPr="00FD2974">
        <w:t xml:space="preserve">σημειώνει, για τρίτο συναπτό έτος, την επαναλαμβανόμενη «επισήμανση ειδικού θέματος» από το Ελεγκτικό Συνέδριο βάσει των σημειώσεων για τους οριστικούς ετήσιους λογαριασμούς του Οργανισμού, σύμφωνα με την οποία οι εισφορές των συνδεδεμένων χωρών Σένγκεν το 2022 υποεκτιμήθηκαν κατά 3,2 εκατομμύρια EUR, ενώ η εισφορά της Ένωσης υπερεκτιμήθηκε ισόποσα· εκφράζει την ανησυχία του για το γεγονός ότι οι συμφωνίες μεταξύ της Ένωσης και των συνδεδεμένων χωρών Σένγκεν που χρησιμεύουν ως νομική βάση για τον υπολογισμό των εισφορών τους στον προϋπολογισμό της Ένωσης είναι ασαφείς και επιτρέπουν αποκλίνουσες ερμηνείες, με αποτέλεσμα η εισφορά των συνδεδεμένων χωρών Σένγκεν, η οποία υπολογίζεται περίπου στο 7 %, να είναι χαμηλότερη· σημειώνει, με βάση την έκθεση του Ελεγκτικού Συνεδρίου, την απάντηση του Οργανισμού ότι οι απόψεις μεταξύ του </w:t>
      </w:r>
      <w:proofErr w:type="spellStart"/>
      <w:r w:rsidR="003267B2" w:rsidRPr="00FD2974">
        <w:t>υπολόγου</w:t>
      </w:r>
      <w:proofErr w:type="spellEnd"/>
      <w:r w:rsidR="003267B2" w:rsidRPr="00FD2974">
        <w:t xml:space="preserve"> του Οργανισμού, αφενός, και του ΔΣ του Οργανισμού, της Επιτροπής και των συνδεδεμένων χωρών Σένγκεν, αφετέρου, διαφέρουν όσον αφορά τον τρόπο εφαρμογής του υπολογισμού της εισφοράς των συνδεδεμένων χωρών Σένγκεν με βάση τις ισχύουσες συμφωνίες με τις συνδεδεμένες χώρες Σένγκεν· σημειώνει ότι, κατά την ερμηνεία του Οργανισμού, η μεθοδολογία που χρησιμοποιείται από το 2016 συνάδει με το ισχύον νομικό πλαίσιο και τις ισχύουσες συμφωνίες και ότι το 2021 το ΔΣ κατέληξε στο συμπέρασμα ότι η μεθοδολογία υπολογισμού των εισφορών των συνδεδεμένων χωρών Σένγκεν δεν θα αναθεωρηθεί· σημειώνει τα επιχειρήματα που διατύπωσε εκ νέου το Ελεγκτικό Συνέδριο με τα οποία διευκρινίζει για ποιον λόγο η ερμηνεία του Οργανισμού είναι εσφαλμένη· είναι της γνώμης ότι οι συνδεδεμένες χώρες Σένγκεν δεν θα πρέπει σε καμία περίπτωση να συνεισφέρουν λιγότερο από ό, τι αναμένεται στον προϋπολογισμό του Οργανισμού και ζητεί να επανεξεταστεί η ερμηνεία της μεθοδολογίας από τον Οργανισμό·</w:t>
      </w:r>
    </w:p>
    <w:p w:rsidR="003267B2" w:rsidRPr="00FD2974" w:rsidRDefault="00A61754" w:rsidP="00A61754">
      <w:pPr>
        <w:pStyle w:val="Normal12Hanging"/>
        <w:tabs>
          <w:tab w:val="left" w:pos="1276"/>
        </w:tabs>
        <w:ind w:hanging="570"/>
        <w:mirrorIndents/>
        <w:rPr>
          <w:rFonts w:ascii="Times New Roman" w:hAnsi="Times New Roman" w:cs="Times New Roman"/>
          <w:lang w:val="el-GR"/>
        </w:rPr>
      </w:pPr>
      <w:r w:rsidRPr="00FD2974">
        <w:rPr>
          <w:rFonts w:ascii="Times New Roman" w:hAnsi="Times New Roman" w:cs="Times New Roman"/>
          <w:lang w:val="el-GR"/>
        </w:rPr>
        <w:t>9.</w:t>
      </w:r>
      <w:r w:rsidRPr="00FD2974">
        <w:rPr>
          <w:rFonts w:ascii="Times New Roman" w:hAnsi="Times New Roman" w:cs="Times New Roman"/>
          <w:lang w:val="el-GR"/>
        </w:rPr>
        <w:tab/>
      </w:r>
      <w:r w:rsidR="003267B2" w:rsidRPr="00FD2974">
        <w:rPr>
          <w:rFonts w:ascii="Times New Roman" w:hAnsi="Times New Roman"/>
          <w:lang w:val="el-GR"/>
        </w:rPr>
        <w:t>σημειώνει με ανησυχία, με βάση την έκθεση του Ελεγκτικού Συνεδρίου, τις παρατηρήσεις που αφορούν την υπερεκτίμηση των δεδουλευμένων εξόδων που προέκυψαν το 2022 σχετικά με τα έξοδα αποστολών του Οργανισμού και την έλλειψη τυποποιημένων οδηγιών ή διαδικασιών στον Οργανισμό για τη διασφάλιση του συνεπούς υπολογισμού των δεδουλευμένων εξόδων· καλεί τον Οργανισμό να διευθετήσει αυτή την αδυναμία και να υποβάλει έκθεση στην αρμόδια για την απαλλαγή αρχή·</w:t>
      </w:r>
    </w:p>
    <w:p w:rsidR="003267B2" w:rsidRPr="00FD2974" w:rsidRDefault="003267B2" w:rsidP="003267B2">
      <w:pPr>
        <w:pStyle w:val="Normal12Hanging"/>
        <w:mirrorIndents/>
        <w:rPr>
          <w:rFonts w:ascii="Times New Roman" w:hAnsi="Times New Roman" w:cs="Times New Roman"/>
          <w:b/>
          <w:i/>
          <w:lang w:val="el-GR"/>
        </w:rPr>
      </w:pPr>
      <w:r w:rsidRPr="00FD2974">
        <w:rPr>
          <w:rFonts w:ascii="Times New Roman" w:hAnsi="Times New Roman"/>
          <w:b/>
          <w:i/>
          <w:lang w:val="el-GR"/>
        </w:rPr>
        <w:t>Επιδόσεις</w:t>
      </w:r>
    </w:p>
    <w:p w:rsidR="003267B2" w:rsidRPr="00FD2974" w:rsidRDefault="00A61754" w:rsidP="00A61754">
      <w:pPr>
        <w:pStyle w:val="NormalHanging12a"/>
        <w:widowControl/>
        <w:ind w:hanging="570"/>
        <w:mirrorIndents/>
        <w:rPr>
          <w:szCs w:val="24"/>
        </w:rPr>
      </w:pPr>
      <w:r w:rsidRPr="00FD2974">
        <w:rPr>
          <w:szCs w:val="24"/>
        </w:rPr>
        <w:t>10.</w:t>
      </w:r>
      <w:r w:rsidRPr="00FD2974">
        <w:rPr>
          <w:szCs w:val="24"/>
        </w:rPr>
        <w:tab/>
      </w:r>
      <w:r w:rsidR="003267B2" w:rsidRPr="00FD2974">
        <w:t>σημειώνει ότι το 2022 ο Οργανισμός χρησιμοποίησε ευρύ φάσμα (240) μέτρων ως βασικούς δείκτες επιδόσεων (ΒΔΕ) για την αξιολόγηση των επιδόσεων των (58) δραστηριοτήτων του, που εγκρίθηκαν από το ΔΣ του Οργανισμού και απορρέουν από το ενιαίο έγγραφο προγραμματισμού 2022-2024· σημειώνει ότι το ποσοστό εκτέλεσης του ετήσιου προγράμματος εργασίας του για το 2022 ανέρχεται σε 85,20 %, όπως αξιολογήθηκε από τον ίδιο τον Οργανισμό· επαινεί τη συνολική βελτίωση των ποιοτικών ΒΔΕ του Οργανισμού· σημειώνει, ωστόσο, την επιδείνωση ορισμένων ΒΔΕ του Οργανισμού, όπως το ποσοστό καθυστερήσεων πληρωμών που ήταν 20 % το 2022 (σε σύγκριση με 12 % το 2021)·</w:t>
      </w:r>
    </w:p>
    <w:p w:rsidR="003267B2" w:rsidRPr="00FD2974" w:rsidRDefault="00A61754" w:rsidP="00A61754">
      <w:pPr>
        <w:pStyle w:val="NormalHanging12a"/>
        <w:widowControl/>
        <w:ind w:hanging="570"/>
        <w:mirrorIndents/>
        <w:rPr>
          <w:szCs w:val="24"/>
        </w:rPr>
      </w:pPr>
      <w:r w:rsidRPr="00FD2974">
        <w:rPr>
          <w:szCs w:val="24"/>
        </w:rPr>
        <w:t>11.</w:t>
      </w:r>
      <w:r w:rsidRPr="00FD2974">
        <w:rPr>
          <w:szCs w:val="24"/>
        </w:rPr>
        <w:tab/>
      </w:r>
      <w:r w:rsidR="003267B2" w:rsidRPr="00FD2974">
        <w:t>εκφράζει την ευγνωμοσύνη του για τις ταχείες ενέργειες στις οποίες προέβη ο Οργανισμός μετά την παράνομη και απρόκλητη ρωσική εισβολή στην Ουκρανία, η οποία οδήγησε εκατομμύρια Ουκρανούς να εγκαταλείψουν τη χώρα τους και να μεταβούν στην Ένωση· εξαίρει τον Οργανισμό στο πλαίσιο αυτό για: την ενεργοποίηση μηχανισμού αντιμετώπισης κρίσεων και ειδικής ομάδας αντιμετώπισης κρίσεων που λειτούργησε 24/7·  την υπογραφή σε χρόνο ρεκόρ της συμφωνίας περί καθεστώτος με τη Μολδαβία, η οποία οδήγησε στην έναρξη νέας κοινής επιχείρησης με την ονομασία «JO Μολδαβία 2022»·  την ανάπτυξη περίπου 500 υπαλλήλων του μόνιμου σώματος που εργάζονται στα σύνορα της Ένωσης με την Ουκρανία και σε ολόκληρο το μήκος των ανατολικών συνόρων της Ένωσης από τη Φινλανδία έως τη Ρουμανία· και την ανάπτυξη άλλων πόρων (θαλάσσιων, εναέριων, χερσαίων) σε 102 νέες επιχειρησιακές τοποθεσίες· σημειώνει ότι ο πόλεμος στην Ουκρανία έχει επιφέρει αλλαγές στην Ένωση και στον τρόπο με τον οποίο οι πολίτες της Ένωσης αντιμετωπίζουν την ασφάλειά της, ιδίως στα ανατολικά σύνορα· επισημαίνει ότι η Ένωση αντιμετωπίζει τον μεγαλύτερο αριθμό παράνομων διελεύσεων των συνόρων από το 2016·</w:t>
      </w:r>
    </w:p>
    <w:p w:rsidR="003267B2" w:rsidRPr="00FD2974" w:rsidRDefault="00A61754" w:rsidP="00A61754">
      <w:pPr>
        <w:pStyle w:val="NormalHanging12a"/>
        <w:ind w:hanging="570"/>
      </w:pPr>
      <w:r w:rsidRPr="00FD2974">
        <w:t>12.</w:t>
      </w:r>
      <w:r w:rsidRPr="00FD2974">
        <w:tab/>
      </w:r>
      <w:r w:rsidR="003267B2" w:rsidRPr="00FD2974">
        <w:t xml:space="preserve">σημειώνει τις διάφορες πρωτοβουλίες που ανέλαβε ο Οργανισμός το 2022, μεταξύ άλλων την υπογραφή συμφωνίας περί καθεστώτος με τη Βόρεια Μακεδονία, καθώς και μνημονίου συμφωνίας και σχεδίου επιχειρησιακής δράσης με την Κύπρο, και τον διπλασιασμό της παρουσίας του Οργανισμού στην κοινή επιχείρηση «JO Σερβία 2022» και το άνοιγμα νέας περιοχής επιχειρήσεων στα </w:t>
      </w:r>
      <w:proofErr w:type="spellStart"/>
      <w:r w:rsidR="003267B2" w:rsidRPr="00FD2974">
        <w:t>σερβοουγγρικά</w:t>
      </w:r>
      <w:proofErr w:type="spellEnd"/>
      <w:r w:rsidR="003267B2" w:rsidRPr="00FD2974">
        <w:t xml:space="preserve"> σύνορα· τονίζει ότι το Δικαστήριο της Ευρωπαϊκής Ένωσης έχει αποφανθεί ότι οι δραστηριότητες της Ουγγαρίας δεν συνάδουν με την οδηγία για την επιστροφή και τον Χάρτη των Θεμελιωδών Δικαιωμάτων της Ευρωπαϊκής Ένωσης· σημειώνει με ανησυχία ότι, παρότι ο Οργανισμός δήλωσε ότι απέσυρε τις δραστηριότητες στην Ουγγαρία το 2021, ωστόσο συνέχισε να στηρίζει τις επιχειρήσεις επιστροφής της Ουγγαρίας· επαναλαμβάνει τις εκκλήσεις της FSWG προς τον εκτελεστικό διευθυντή του Οργανισμού να αναστείλει τις δραστηριότητές του στην Ουγγαρία·</w:t>
      </w:r>
    </w:p>
    <w:p w:rsidR="003267B2" w:rsidRPr="00FD2974" w:rsidRDefault="00A61754" w:rsidP="00A61754">
      <w:pPr>
        <w:pStyle w:val="NormalHanging12a"/>
        <w:widowControl/>
        <w:ind w:hanging="570"/>
        <w:mirrorIndents/>
        <w:rPr>
          <w:szCs w:val="24"/>
        </w:rPr>
      </w:pPr>
      <w:r w:rsidRPr="00FD2974">
        <w:rPr>
          <w:szCs w:val="24"/>
        </w:rPr>
        <w:t>13.</w:t>
      </w:r>
      <w:r w:rsidRPr="00FD2974">
        <w:rPr>
          <w:szCs w:val="24"/>
        </w:rPr>
        <w:tab/>
      </w:r>
      <w:r w:rsidR="003267B2" w:rsidRPr="00FD2974">
        <w:t>σημειώνει ότι ο Οργανισμός ολοκλήρωσε και αξιολόγησε το πιλοτικό σχέδιο για την ανάπτυξη αξιωματικών συνδέσμων των κρατών μελών στην έδρα του Οργανισμού· εκφράζει την ικανοποίησή του για το γεγονός ότι διενεργήθηκε εσωτερική αξιολόγηση του εν λόγω πιλοτικού σχεδίου και ο Οργανισμός αποφάσισε να συνεχίσει αυτή τη μορφή συνεργασίας με τα κράτη μέλη· καλεί όλα τα κράτη μέλη να ορίσουν αξιωματικούς συνδέσμους στον Οργανισμό·</w:t>
      </w:r>
    </w:p>
    <w:p w:rsidR="003267B2" w:rsidRPr="00FD2974" w:rsidRDefault="00A61754" w:rsidP="00A61754">
      <w:pPr>
        <w:pStyle w:val="NormalHanging12a"/>
        <w:ind w:hanging="570"/>
      </w:pPr>
      <w:r w:rsidRPr="00FD2974">
        <w:t>14.</w:t>
      </w:r>
      <w:r w:rsidRPr="00FD2974">
        <w:tab/>
      </w:r>
      <w:r w:rsidR="003267B2" w:rsidRPr="00FD2974">
        <w:t xml:space="preserve">σημειώνει ότι οι επιχειρησιακές δραστηριότητες που πραγματοποιήθηκαν στα χερσαία σύνορα το 2022 είχαν ως αποτέλεσμα την αναφορά σχεδόν 49 000 συμβάντων, στα οποία εμπλέκονται περισσότεροι από 26 000 παράτυποι μετανάστες που πιάστηκαν και 700 διακινητές που συνελήφθησαν· σημειώνει τις προσπάθειες του Οργανισμού που οδήγησαν στην επιστροφή με εναέρια μέσα 24 850 υπηκόων τρίτων χωρών (αριθμός που αυξήθηκε κατά 35 % σε σχέση με το 2021), εκ των οποίων 9 919 άτομα μέσω 291 επιχειρήσεων με ναυλωμένες πτήσεις σε 32 χώρες επιστροφής και 14 931 άτομα (αριθμός που αυξήθηκε κατά 84 % σε σχέση με το 2021) με 8 789 προγραμματισμένες πτήσεις σε 116 χώρες επιστροφής· σημειώνει περαιτέρω τις προσπάθειες του Οργανισμού στο πλαίσιο όλων των θαλάσσιων κοινών επιχειρήσεων το 2022, οι οποίες οδήγησαν στον εντοπισμό 1 105 ατόμων που παρείχαν βοήθεια για παράνομη είσοδο και 11 εμπόρων ανθρώπων, στην κατάσχεση δεκάδων τόνων λαθραίων ναρκωτικών και στη διάσωση χιλιάδων μεταναστών· σημειώνει, ταυτόχρονα, τις πολυάριθμες πρόσφατες τραγωδίες με ναυάγια και άλλα θανατηφόρα περιστατικά με μετανάστες στη Μεσόγειο· καλεί τον Οργανισμό να συνεργαστεί πλήρως στην έρευνα της </w:t>
      </w:r>
      <w:proofErr w:type="spellStart"/>
      <w:r w:rsidR="003267B2" w:rsidRPr="00FD2974">
        <w:t>Διαμεσολαβήτριας</w:t>
      </w:r>
      <w:proofErr w:type="spellEnd"/>
      <w:r w:rsidR="003267B2" w:rsidRPr="00FD2974">
        <w:t>· παρατηρεί ότι το 2022 ο Οργανισμός πραγματοποίησε 1 422 αποστολές επιτήρησης πολλαπλού σκοπού, με αποτέλεσμα τον εντοπισμό 1 177 συμβάντων και 51 362 μεταναστών·</w:t>
      </w:r>
    </w:p>
    <w:p w:rsidR="003267B2" w:rsidRPr="00FD2974" w:rsidRDefault="00A61754" w:rsidP="00A61754">
      <w:pPr>
        <w:pStyle w:val="NormalHanging12a"/>
        <w:widowControl/>
        <w:ind w:hanging="570"/>
        <w:mirrorIndents/>
        <w:rPr>
          <w:szCs w:val="24"/>
        </w:rPr>
      </w:pPr>
      <w:r w:rsidRPr="00FD2974">
        <w:rPr>
          <w:szCs w:val="24"/>
        </w:rPr>
        <w:t>15.</w:t>
      </w:r>
      <w:r w:rsidRPr="00FD2974">
        <w:rPr>
          <w:szCs w:val="24"/>
        </w:rPr>
        <w:tab/>
      </w:r>
      <w:r w:rsidR="003267B2" w:rsidRPr="00FD2974">
        <w:t xml:space="preserve">σημειώνει την αύξηση των οικειοθελών επιστροφών που υποστηρίζονται από τον </w:t>
      </w:r>
      <w:proofErr w:type="spellStart"/>
      <w:r w:rsidR="003267B2" w:rsidRPr="00FD2974">
        <w:t>Frontex</w:t>
      </w:r>
      <w:proofErr w:type="spellEnd"/>
      <w:r w:rsidR="003267B2" w:rsidRPr="00FD2974">
        <w:t xml:space="preserve">, από 26 % το 2021 σε 39 % το 2022· επαινεί την υλοποίηση των πρώτων ολοκληρωμένων επιχειρήσεων επιστροφής υπό την ηγεσία του </w:t>
      </w:r>
      <w:proofErr w:type="spellStart"/>
      <w:r w:rsidR="003267B2" w:rsidRPr="00FD2974">
        <w:t>Frontex</w:t>
      </w:r>
      <w:proofErr w:type="spellEnd"/>
      <w:r w:rsidR="003267B2" w:rsidRPr="00FD2974">
        <w:t xml:space="preserve">, στο πλαίσιο των οποίων ο Οργανισμός, αναλαμβάνοντας τον ρόλο του διοργανώνοντος κράτους μέλους, επέστρεψε 80 υπηκόους τρίτων χωρών στην Αλβανία και τη Νιγηρία· σημειώνει την έκθεση του Οργανισμού με τίτλο «Cooperation </w:t>
      </w:r>
      <w:proofErr w:type="spellStart"/>
      <w:r w:rsidR="003267B2" w:rsidRPr="00FD2974">
        <w:t>between</w:t>
      </w:r>
      <w:proofErr w:type="spellEnd"/>
      <w:r w:rsidR="003267B2" w:rsidRPr="00FD2974">
        <w:t xml:space="preserve"> the Agency and </w:t>
      </w:r>
      <w:proofErr w:type="spellStart"/>
      <w:r w:rsidR="003267B2" w:rsidRPr="00FD2974">
        <w:t>third</w:t>
      </w:r>
      <w:proofErr w:type="spellEnd"/>
      <w:r w:rsidR="003267B2" w:rsidRPr="00FD2974">
        <w:t xml:space="preserve"> </w:t>
      </w:r>
      <w:proofErr w:type="spellStart"/>
      <w:r w:rsidR="003267B2" w:rsidRPr="00FD2974">
        <w:t>countries</w:t>
      </w:r>
      <w:proofErr w:type="spellEnd"/>
      <w:r w:rsidR="003267B2" w:rsidRPr="00FD2974">
        <w:t xml:space="preserve"> in 2022» (Συνεργασία μεταξύ του Οργανισμού και τρίτων χωρών το 2022), στην οποία ο Οργανισμός αναπτύσσει τις δραστηριότητές του με εξωτερική διάσταση, όπως: την περαιτέρω ανάπτυξη του διαλόγου και της συνεργασίας με διάφορους εταίρους (π.χ. Δυτικά Βαλκάνια, περιφέρεια Ανατολικής Εταιρικής Σχέσης, Αφρική και Μέση Ανατολή)· το έργο του όσον αφορά τα πρότυπα για την προστασία των δεδομένων και τα θεμελιώδη δικαιώματα· την παροχή τεχνικής και επιχειρησιακής συνδρομής σε τρίτες χώρες για την αντιμετώπιση, μεταξύ άλλων, του διασυνοριακού εγκλήματος· και δράσεις ανάπτυξης ικανοτήτων (π.χ. κατάρτιση)· εκφράζει την ανησυχία του για αναφορές που υποδεικνύουν ενδεχόμενη εμπλοκή του Οργανισμού σε παραβιάσεις των ανθρωπίνων δικαιωμάτων, μεταξύ άλλων στις δραστηριότητές του με εξωτερική διάσταση, ιδίως όσον αφορά τους ισχυρισμούς για διευκόλυνση των παράνομων </w:t>
      </w:r>
      <w:proofErr w:type="spellStart"/>
      <w:r w:rsidR="003267B2" w:rsidRPr="00FD2974">
        <w:t>επαναπροωθήσεων</w:t>
      </w:r>
      <w:proofErr w:type="spellEnd"/>
      <w:r w:rsidR="003267B2" w:rsidRPr="00FD2974">
        <w:t xml:space="preserve"> στα εξωτερικά σύνορα της ΕΕ· σημειώνει ότι τα τελευταία τρία χρόνια, ο Οργανισμός, σύμφωνα με πρόσφατες πληροφορίες που παρείχε ο ίδιος, κοινοποιεί σε φορείς από τη Λιβύη τις συντεταγμένες των μεταναστών που βρίσκονται σε κίνδυνο· σημειώνει δύο εκκρεμείς αναφορές σοβαρών συμβάντων που αφορούν αναχαιτίσεις μεταναστών από τις πολιτοφυλακές </w:t>
      </w:r>
      <w:proofErr w:type="spellStart"/>
      <w:r w:rsidR="003267B2" w:rsidRPr="00FD2974">
        <w:t>Tareq</w:t>
      </w:r>
      <w:proofErr w:type="spellEnd"/>
      <w:r w:rsidR="003267B2" w:rsidRPr="00FD2974">
        <w:t xml:space="preserve"> </w:t>
      </w:r>
      <w:proofErr w:type="spellStart"/>
      <w:r w:rsidR="003267B2" w:rsidRPr="00FD2974">
        <w:t>Bin</w:t>
      </w:r>
      <w:proofErr w:type="spellEnd"/>
      <w:r w:rsidR="003267B2" w:rsidRPr="00FD2974">
        <w:t xml:space="preserve"> </w:t>
      </w:r>
      <w:proofErr w:type="spellStart"/>
      <w:r w:rsidR="003267B2" w:rsidRPr="00FD2974">
        <w:t>Zeyad</w:t>
      </w:r>
      <w:proofErr w:type="spellEnd"/>
      <w:r w:rsidR="003267B2" w:rsidRPr="00FD2974">
        <w:t xml:space="preserve"> αφότου είχαν εντοπιστεί από τον Οργανισμό·</w:t>
      </w:r>
    </w:p>
    <w:p w:rsidR="003267B2" w:rsidRPr="00FD2974" w:rsidRDefault="00A61754" w:rsidP="00A61754">
      <w:pPr>
        <w:pStyle w:val="NormalHanging12a"/>
        <w:widowControl/>
        <w:ind w:hanging="570"/>
        <w:mirrorIndents/>
      </w:pPr>
      <w:r w:rsidRPr="00FD2974">
        <w:t>16.</w:t>
      </w:r>
      <w:r w:rsidRPr="00FD2974">
        <w:tab/>
      </w:r>
      <w:r w:rsidR="003267B2" w:rsidRPr="00FD2974">
        <w:t>εκφράζει την ικανοποίησή του για την πρώτη έκθεση του Οργανισμού σχετικά με τη λειτουργία του EUROSUR, ενός βασικού μέσου που αποσκοπεί στη βελτίωση της επίγνωσης της κατάστασης και στην ενίσχυση των ικανοτήτων ανταπόκρισης για τους σκοπούς της διαχείρισης των συνόρων μέσω της ανταλλαγής πληροφοριών και της συνεργασίας μεταξύ των κρατών μελών και του Οργανισμού· σημειώνει με ικανοποίηση, από την εν λόγω έκθεση, την πρόοδο που έχει σημειωθεί σε διάφορους τομείς, όπως οι τεχνικές εξελίξεις των εφαρμογών που χρησιμοποιούνται για τους σκοπούς του EUROSUR, η ανάπτυξη 17 υπηρεσιών στο πλαίσιο των υπηρεσιών συγχώνευσης δεδομένων EUROSUR (με σχετικά μεγάλο αριθμό αιτημάτων υπηρεσιών από τα κράτη μέλη για δορυφορικές εικόνες και παρακολούθηση των ακτών) και η ανάπτυξη ενός χάρτη πορείας για τον επανασχεδιασμό και την ανάπτυξη του EUROSUR 2.0 με στόχο την πλήρη διαλειτουργικότητα των διαφορετικών εφαρμογών και συστημάτων έως το έτος 2026· σημειώνει, με βάση την ενοποιημένη ετήσια έκθεση δραστηριοτήτων του Οργανισμού για το 2022, την πρόοδο που σημείωσε ο Οργανισμός όσον αφορά το EUROSUR το 2022 και καλεί τον Οργανισμό να επιταχύνει τις προσπάθειές του ώστε να το ευθυγραμμίσει με τις απαιτήσεις του κανονισμού (ΕΕ) 2019/1896 και των εκτελεστικών κανονισμών του EUROSUR·</w:t>
      </w:r>
    </w:p>
    <w:p w:rsidR="003267B2" w:rsidRPr="00FD2974" w:rsidRDefault="00A61754" w:rsidP="00A61754">
      <w:pPr>
        <w:pStyle w:val="NormalHanging12a"/>
        <w:widowControl/>
        <w:ind w:hanging="570"/>
        <w:mirrorIndents/>
        <w:rPr>
          <w:szCs w:val="24"/>
        </w:rPr>
      </w:pPr>
      <w:r w:rsidRPr="00FD2974">
        <w:rPr>
          <w:szCs w:val="24"/>
        </w:rPr>
        <w:t>17.</w:t>
      </w:r>
      <w:r w:rsidRPr="00FD2974">
        <w:rPr>
          <w:szCs w:val="24"/>
        </w:rPr>
        <w:tab/>
      </w:r>
      <w:r w:rsidR="003267B2" w:rsidRPr="00FD2974">
        <w:t>εξαίρει τον Οργανισμό για τη σημαντική πρόοδο που σημειώθηκε το 2022 όσον αφορά τη σύσταση της κεντρικής μονάδας του Ευρωπαϊκού Συστήματος Πληροφοριών και Αδειοδότησης Ταξιδιού (ETIAS) μέσω δραστηριοτήτων όπως η ανάπτυξη εσωτερικών κανόνων και διαδικασιών, η εκπόνηση μεσοπρόθεσμης στρατηγικής, η δημιουργία πλαισίου δέσμευσης, η διενέργεια ανάλυσης επιχειρησιακού αντικτύπου, καθώς και η κατάρτιση σχεδίων για την ασφάλεια, τη συνέχιση των δραστηριοτήτων και την αποκατάσταση της λειτουργίας μετά από καταστροφή και η πρώτη διενέργεια εκτίμησης κινδύνων από την κεντρική μονάδα ETIAS· σημειώνει ότι, όσον αφορά τη σύσταση της κεντρικής μονάδας ETIAS, το 2022 ο Οργανισμός ολοκλήρωσε την πρόσληψη του δεύτερου κύματος προσωπικού της κεντρικής μονάδας ETIAS, φθάνοντας στο 55 % του συνόλου των προβλεπόμενων θέσεων, και δρομολόγησε άλλες διαδικασίες πρόσληψης· εκφράζει την ικανοποίησή του για το γεγονός ότι το 2022 η Επιτροπή, με την υποστήριξη του Οργανισμού, έθεσε σε εφαρμογή μια εκστρατεία ενημέρωσης του κοινού για την προώθηση του ETIAS μεταξύ των υπηκόων 60 χωρών που απαλλάσσονται από την υποχρέωση θεώρησης· σημειώνει τα άλλα επιχειρησιακά επιτεύγματα του Οργανισμού, όπως η έναρξη της ανάπτυξης μιας νέας ιεραρχίας διοίκησης για το μόνιμο σώμα με ενιαία δομή επιχειρησιακού συντονισμού και η ανάθεση περισσότερων αρμοδιοτήτων λήψης αποφάσεων επί τόπου·</w:t>
      </w:r>
    </w:p>
    <w:p w:rsidR="003267B2" w:rsidRPr="00FD2974" w:rsidRDefault="00A61754" w:rsidP="00A61754">
      <w:pPr>
        <w:pStyle w:val="NormalHanging12a"/>
        <w:widowControl/>
        <w:ind w:hanging="570"/>
        <w:mirrorIndents/>
        <w:rPr>
          <w:szCs w:val="24"/>
        </w:rPr>
      </w:pPr>
      <w:r w:rsidRPr="00FD2974">
        <w:rPr>
          <w:szCs w:val="24"/>
        </w:rPr>
        <w:t>18.</w:t>
      </w:r>
      <w:r w:rsidRPr="00FD2974">
        <w:rPr>
          <w:szCs w:val="24"/>
        </w:rPr>
        <w:tab/>
      </w:r>
      <w:r w:rsidR="003267B2" w:rsidRPr="00FD2974">
        <w:t xml:space="preserve">εκφράζει την ικανοποίησή του για την ετήσια έκθεση του Οργανισμού σχετικά με την πρακτική εφαρμογή του κανονισμού (ΕΕ) αριθ. 656/2014 όσον αφορά τις θαλάσσιες επιχειρήσεις του Οργανισμού το 2022, και συγκεκριμένα τις κοινές επιχειρήσεις: </w:t>
      </w:r>
      <w:proofErr w:type="spellStart"/>
      <w:r w:rsidR="003267B2" w:rsidRPr="00FD2974">
        <w:t>Themis</w:t>
      </w:r>
      <w:proofErr w:type="spellEnd"/>
      <w:r w:rsidR="003267B2" w:rsidRPr="00FD2974">
        <w:t xml:space="preserve"> (Ιταλία), </w:t>
      </w:r>
      <w:proofErr w:type="spellStart"/>
      <w:r w:rsidR="003267B2" w:rsidRPr="00FD2974">
        <w:t>Poseidon</w:t>
      </w:r>
      <w:proofErr w:type="spellEnd"/>
      <w:r w:rsidR="003267B2" w:rsidRPr="00FD2974">
        <w:t xml:space="preserve"> (Ελλάδα), </w:t>
      </w:r>
      <w:proofErr w:type="spellStart"/>
      <w:r w:rsidR="003267B2" w:rsidRPr="00FD2974">
        <w:t>Indalo</w:t>
      </w:r>
      <w:proofErr w:type="spellEnd"/>
      <w:r w:rsidR="003267B2" w:rsidRPr="00FD2974">
        <w:t xml:space="preserve"> (Ισπανία), </w:t>
      </w:r>
      <w:proofErr w:type="spellStart"/>
      <w:r w:rsidR="003267B2" w:rsidRPr="00FD2974">
        <w:t>Opal</w:t>
      </w:r>
      <w:proofErr w:type="spellEnd"/>
      <w:r w:rsidR="003267B2" w:rsidRPr="00FD2974">
        <w:t xml:space="preserve"> </w:t>
      </w:r>
      <w:proofErr w:type="spellStart"/>
      <w:r w:rsidR="003267B2" w:rsidRPr="00FD2974">
        <w:t>Coast</w:t>
      </w:r>
      <w:proofErr w:type="spellEnd"/>
      <w:r w:rsidR="003267B2" w:rsidRPr="00FD2974">
        <w:t xml:space="preserve"> (Βέλγιο και Γαλλία) και τη θαλάσσια επιχείρηση πολλαπλών σκοπών στη Μαύρη Θάλασσα (Βουλγαρία και Ρουμανία)· σημειώνει την παρατήρηση του Οργανισμού ότι υπάρχει ασυμμετρία μεταξύ των προτύπων και των απαιτήσεων που ισχύουν για τον Οργανισμό σύμφωνα με τον κανονισμό (ΕΕ) αριθ. 656/2014 και εκείνων που ισχύουν για άλλους φορείς (π.χ. ΝΑΤΟ, EMSA, EFCA) που συμμετέχουν σε θαλάσσιες επιχειρήσεις, καθώς οι εν λόγω φορείς, όταν ενεργούν με την υποστήριξη του Οργανισμού, ακολουθούν το διεθνές ναυτικό δίκαιο· υποστηρίζει τον Οργανισμό όσον αφορά τη διερεύνηση των δυνατοτήτων να συμπεριληφθούν στις σχετικές συμφωνίες περί καθεστώτος πρότυπα παρόμοια με εκείνα που αντικατοπτρίζονται στον κανονισμό (ΕΕ) αριθ. 656/2014·</w:t>
      </w:r>
    </w:p>
    <w:p w:rsidR="003267B2" w:rsidRPr="00FD2974" w:rsidRDefault="00A61754" w:rsidP="00A61754">
      <w:pPr>
        <w:pStyle w:val="NormalHanging12a"/>
        <w:widowControl/>
        <w:ind w:hanging="570"/>
        <w:mirrorIndents/>
        <w:rPr>
          <w:szCs w:val="24"/>
        </w:rPr>
      </w:pPr>
      <w:r w:rsidRPr="00FD2974">
        <w:rPr>
          <w:szCs w:val="24"/>
        </w:rPr>
        <w:t>19.</w:t>
      </w:r>
      <w:r w:rsidRPr="00FD2974">
        <w:rPr>
          <w:szCs w:val="24"/>
        </w:rPr>
        <w:tab/>
      </w:r>
      <w:r w:rsidR="003267B2" w:rsidRPr="00FD2974">
        <w:t xml:space="preserve">υπογραμμίζει τη σημασία ενός ισχυρού, αποτελεσματικού και εύρυθμα </w:t>
      </w:r>
      <w:proofErr w:type="spellStart"/>
      <w:r w:rsidR="003267B2" w:rsidRPr="00FD2974">
        <w:t>λειτουργούντος</w:t>
      </w:r>
      <w:proofErr w:type="spellEnd"/>
      <w:r w:rsidR="003267B2" w:rsidRPr="00FD2974">
        <w:t xml:space="preserve"> Οργανισμού, που θα είναι σε θέση να συνδράμει τα κράτη μέλη στη διαχείριση των κοινών εξωτερικών συνόρων της Ένωσης και να διασφαλίσει την ολοκληρωμένη διαχείριση των συνόρων με γνώμονα την αποδοτική διαχείριση των εν λόγω συνόρων με πλήρη σεβασμό προς τα θεμελιώδη δικαιώματα· σημειώνει τις κοινές ευθύνες που έχουν ο Οργανισμός και τα κράτη μέλη σε σχέση με την εκπλήρωση των υποχρεώσεων όσον αφορά τα θεμελιώδη δικαιώματα· τονίζει ότι η αποτελεσματική και δίκαιη διαχείριση των εξωτερικών συνόρων είναι κρίσιμη για την προστασία του χώρου Σένγκεν ως χώρου ελευθερίας, ασφάλειας και δικαιοσύνης· τονίζει ότι η στενή συνεργασία και οι συμφωνίες με τρίτες χώρες όσον αφορά πτυχές όπως οι συμφωνίες </w:t>
      </w:r>
      <w:proofErr w:type="spellStart"/>
      <w:r w:rsidR="003267B2" w:rsidRPr="00FD2974">
        <w:t>επανεισδοχής</w:t>
      </w:r>
      <w:proofErr w:type="spellEnd"/>
      <w:r w:rsidR="003267B2" w:rsidRPr="00FD2974">
        <w:t>, η τεχνική βοήθεια, η κατάρτιση, καθώς και οι νόμιμες δραστηριότητες επιστροφής, σε συνδυασμό με την παροχή αναπτυξιακής βοήθειας, είναι καίριας σημασίας για την προώθηση της αποδοτικής διαχείρισης των συνόρων της Ένωσης εφόσον διασφαλίζεται ο πλήρης σεβασμός των θεμελιωδών δικαιωμάτων·</w:t>
      </w:r>
      <w:r w:rsidR="003267B2" w:rsidRPr="00FD2974">
        <w:rPr>
          <w:color w:val="FF0000"/>
        </w:rPr>
        <w:t xml:space="preserve"> </w:t>
      </w:r>
      <w:r w:rsidR="003267B2" w:rsidRPr="00FD2974">
        <w:t>καλεί τον Οργανισμό και τα κράτη μέλη να αναπτύξουν περαιτέρω δομές συνεργασίας και ανταλλαγής πληροφοριών και βέλτιστων πρακτικών·</w:t>
      </w:r>
    </w:p>
    <w:p w:rsidR="003267B2" w:rsidRPr="00FD2974" w:rsidRDefault="00A61754" w:rsidP="00A61754">
      <w:pPr>
        <w:pStyle w:val="NormalHanging12a"/>
        <w:ind w:hanging="570"/>
      </w:pPr>
      <w:r w:rsidRPr="00FD2974">
        <w:t>20.</w:t>
      </w:r>
      <w:r w:rsidRPr="00FD2974">
        <w:tab/>
      </w:r>
      <w:r w:rsidR="003267B2" w:rsidRPr="00FD2974">
        <w:t xml:space="preserve">αναγνωρίζει τον καίριο ρόλο του υπευθύνου θεμελιωδών δικαιωμάτων από το 2021 στην εφαρμογή διαφόρων συστάσεων σχετικά με τα θεμελιώδη δικαιώματα, οι οποίες προέρχονται από την Ευρωπαία </w:t>
      </w:r>
      <w:proofErr w:type="spellStart"/>
      <w:r w:rsidR="003267B2" w:rsidRPr="00FD2974">
        <w:t>Διαμεσολαβήτρια</w:t>
      </w:r>
      <w:proofErr w:type="spellEnd"/>
      <w:r w:rsidR="003267B2" w:rsidRPr="00FD2974">
        <w:t xml:space="preserve">, την FSWG και τη </w:t>
      </w:r>
      <w:proofErr w:type="spellStart"/>
      <w:r w:rsidR="003267B2" w:rsidRPr="00FD2974">
        <w:t>FRaLO</w:t>
      </w:r>
      <w:proofErr w:type="spellEnd"/>
      <w:r w:rsidR="003267B2" w:rsidRPr="00FD2974">
        <w:t>· σημειώνει, με βάση την ετήσια έκθεση του υπευθύνου θεμελιωδών δικαιωμάτων του Οργανισμού για το 2022 («η έκθεση του υπευθύνου θεμελιωδών δικαιωμάτων»), ότι οι εν λόγω συστάσεις έχουν στην πλειονότητά τους εφαρμοστεί· καλεί τον Οργανισμό να συνεργαστεί πλήρως με τον υπεύθυνο θεμελιωδών δικαιωμάτων και να εφαρμόσει όλες τις συστάσεις του·</w:t>
      </w:r>
    </w:p>
    <w:p w:rsidR="003267B2" w:rsidRPr="004218C5" w:rsidRDefault="00A61754" w:rsidP="00A61754">
      <w:pPr>
        <w:pStyle w:val="NormalHanging12a"/>
        <w:ind w:hanging="570"/>
        <w:rPr>
          <w:szCs w:val="24"/>
        </w:rPr>
      </w:pPr>
      <w:r w:rsidRPr="004218C5">
        <w:rPr>
          <w:szCs w:val="24"/>
        </w:rPr>
        <w:t>21.</w:t>
      </w:r>
      <w:r w:rsidRPr="004218C5">
        <w:rPr>
          <w:szCs w:val="24"/>
        </w:rPr>
        <w:tab/>
      </w:r>
      <w:r w:rsidR="003267B2" w:rsidRPr="00FD2974">
        <w:t xml:space="preserve">υπενθυμίζει ότι ο Οργανισμός και οι αρμόδιες αρχές των κρατών μελών αποτελούν τους κύριους εγγυητές για ισχυρά και προστατευμένα ευρωπαϊκά εξωτερικά σύνορα, ενώ προασπίζουν παράλληλα τα θεμελιώδη δικαιώματα και τηρούν τις υποχρεώσεις διεθνούς προστασίας· σημειώνει ότι ο υπεύθυνος θεμελιωδών δικαιωμάτων, στη γνωμοδότησή του της 1ης Σεπτεμβρίου 2022, κατέληξε στο συμπέρασμα ότι πληρούνται οι προϋποθέσεις για την ενεργοποίηση του άρθρου 46 του κανονισμού για τον </w:t>
      </w:r>
      <w:proofErr w:type="spellStart"/>
      <w:r w:rsidR="003267B2" w:rsidRPr="00FD2974">
        <w:t>Frontex</w:t>
      </w:r>
      <w:proofErr w:type="spellEnd"/>
      <w:r w:rsidR="003267B2" w:rsidRPr="00FD2974">
        <w:t xml:space="preserve">· σημειώνει επίσης ότι η ομάδα εργασίας του Οργανισμού για τα θεμελιώδη δικαιώματα εξέδωσε, βάσει του άρθρου 46, σειρά συστάσεων σχετικά με τα θεμελιώδη δικαιώματα στην Ελλάδα, τέσσερις εκ των οποίων εφαρμόστηκαν πλήρως τον Οκτώβριο του 2023· σημειώνει ότι η ομάδα εργασίας του Οργανισμού προτίθεται να παρακολουθεί την περαιτέρω πρόοδο και ότι εξακολουθούν να εφαρμόζονται τα </w:t>
      </w:r>
      <w:proofErr w:type="spellStart"/>
      <w:r w:rsidR="003267B2" w:rsidRPr="00FD2974">
        <w:t>συνιστώμενα</w:t>
      </w:r>
      <w:proofErr w:type="spellEnd"/>
      <w:r w:rsidR="003267B2" w:rsidRPr="00FD2974">
        <w:t xml:space="preserve"> μέτρα· ζητεί να εφαρμοστούν πλήρως όλες οι συστάσεις κατά προτεραιότητα και ο Οργανισμός να συνεχίσει να ενημερώνει το Κοινοβούλιο σχετικά με την πρόοδο που σημειώνεται·</w:t>
      </w:r>
    </w:p>
    <w:p w:rsidR="004218C5" w:rsidRPr="00FD2974" w:rsidRDefault="00A61754" w:rsidP="00A61754">
      <w:pPr>
        <w:pStyle w:val="NormalHanging12a"/>
        <w:ind w:hanging="570"/>
        <w:rPr>
          <w:szCs w:val="24"/>
        </w:rPr>
      </w:pPr>
      <w:r w:rsidRPr="00FD2974">
        <w:rPr>
          <w:szCs w:val="24"/>
        </w:rPr>
        <w:t>22.</w:t>
      </w:r>
      <w:r w:rsidRPr="00FD2974">
        <w:rPr>
          <w:szCs w:val="24"/>
        </w:rPr>
        <w:tab/>
      </w:r>
      <w:r w:rsidR="004218C5" w:rsidRPr="004218C5">
        <w:rPr>
          <w:szCs w:val="24"/>
        </w:rPr>
        <w:t>λαμβάνει υπόψη την έρευνα του Ευρωπαίου Διαμεσολαβητή σχετικά με τον ρόλο του Οργανισμού στις επιχειρήσεις έρευνας και διάσωσης (OI/3/2023/MHZ), η οποία ξεκίνησε μετά την τραγωδία του Adriana τον Ιούνιο του 2023· σημειώνει με ανησυχία τα συμπεράσματα του Διαμεσολαβητή ότι ο Οργανισμός δεν είναι σε θέση να εκπληρώσει τις υποχρεώσεις του όσον αφορά τα θεμελιώδη δικαιώματα και εξαρτάται υπερβολικά από τις ενέργειες των κρατών μελών όταν μετανάστες βρίσκονται σε κίνδυνο· ο λόγος είναι ότι ο Οργανισμός δεν διαθέτει εσωτερικές κατευθυντήριες γραμμές για την κήρυξη κατάστασης έκτακτης ανάγκης και οι παρατηρητές θεμελιωδών δικαιωμάτων του Οργανισμού δεν συμμετέχουν πάντα επαρκώς στις αποφάσεις για καταστάσεις έκτακτης ανάγκης, και ότι, μετά την τραγωδία του Adriana, δεν έχουν γίνει επαρκείς αλλαγές για την πρόληψη τέτοιων περιστατικών· υπενθυμίζει ότι η αρμόδια για την απαλλαγή αρχή έχει επανειλημμένα επισημάνει αυτές τις ελλείψεις σε προηγούμενα ψηφίσματα απαλλαγής και εκφράζει τη λύπη του για το γεγονός ότι το ζήτημα παραμένει ανεπίλυτο· σημειώνει την έκκληση του Διαμεσολαβητή προς τον Οργανισμό να αντιμετωπίσει τις ελλείψεις που εντοπίστηκαν και την έκκλησή του προς το Κοινοβούλιο, την Επιτροπή και το Συμβούλιο να συστήσουν ανεξάρτητη επιτροπή έρευνας επί του θέματος·</w:t>
      </w:r>
    </w:p>
    <w:p w:rsidR="003267B2" w:rsidRPr="00FD2974" w:rsidRDefault="00A61754" w:rsidP="00A61754">
      <w:pPr>
        <w:pStyle w:val="NormalHanging12a"/>
        <w:widowControl/>
        <w:ind w:hanging="570"/>
        <w:mirrorIndents/>
        <w:rPr>
          <w:szCs w:val="24"/>
        </w:rPr>
      </w:pPr>
      <w:r w:rsidRPr="00FD2974">
        <w:rPr>
          <w:szCs w:val="24"/>
        </w:rPr>
        <w:t>23.</w:t>
      </w:r>
      <w:r w:rsidRPr="00FD2974">
        <w:rPr>
          <w:szCs w:val="24"/>
        </w:rPr>
        <w:tab/>
      </w:r>
      <w:r w:rsidR="003267B2" w:rsidRPr="00FD2974">
        <w:t>εκφράζει την ικανοποίησή του για την απόφαση του ΔΣ του Οργανισμού, της 20ής Ιουλίου 2022, η οποία ενίσχυσε τη συνεργασία και την επικοινωνία μεταξύ των διαφόρων οντοτήτων του Οργανισμού, συμπεριλαμβανομένων του συμβουλευτικού φόρουμ και του υπευθύνου θεμελιωδών δικαιωμάτων, μέσω κανόνων οι οποίοι ορίζουν ότι ο εκτελεστικός διευθυντής και το ΔΣ του Οργανισμού ενημερώνουν το συμβουλευτικό φόρουμ σχετικά με τη συνέχεια που δίνεται στις συστάσεις του τελευταίου και μεριμνούν για την ανάληψη δράσης σε σχέση με τις συστάσεις του υπευθύνου θεμελιωδών δικαιωμάτων·</w:t>
      </w:r>
      <w:r w:rsidR="003267B2" w:rsidRPr="00FD2974">
        <w:rPr>
          <w:shd w:val="clear" w:color="auto" w:fill="FFFFFF"/>
        </w:rPr>
        <w:t xml:space="preserve"> εκφράζει επίσης την ικανοποίησή του για την έγκριση, το 2022, των τυποποιημένων επιχειρησιακών διαδικασιών στο άρθρο 46 του κανονισμού (ΕΕ) 2019/1896, καθώς και</w:t>
      </w:r>
      <w:r w:rsidR="003267B2" w:rsidRPr="00FD2974">
        <w:t xml:space="preserve"> των τυποποιημένων επιχειρησιακών διαδικασιών όσον αφορά τις μεθόδους εργασίας που άπτονται των εξουσιών έρευνας του υπευθύνου θεμελιωδών δικαιωμάτων</w:t>
      </w:r>
      <w:r w:rsidR="003267B2" w:rsidRPr="00FD2974">
        <w:rPr>
          <w:shd w:val="clear" w:color="auto" w:fill="FFFFFF"/>
        </w:rPr>
        <w:t>·</w:t>
      </w:r>
    </w:p>
    <w:p w:rsidR="003267B2" w:rsidRPr="00FD2974" w:rsidRDefault="00A61754" w:rsidP="00A61754">
      <w:pPr>
        <w:pStyle w:val="NormalHanging12a"/>
        <w:widowControl/>
        <w:ind w:hanging="570"/>
        <w:mirrorIndents/>
        <w:rPr>
          <w:szCs w:val="24"/>
        </w:rPr>
      </w:pPr>
      <w:r w:rsidRPr="00FD2974">
        <w:rPr>
          <w:szCs w:val="24"/>
        </w:rPr>
        <w:t>24.</w:t>
      </w:r>
      <w:r w:rsidRPr="00FD2974">
        <w:rPr>
          <w:szCs w:val="24"/>
        </w:rPr>
        <w:tab/>
      </w:r>
      <w:r w:rsidR="003267B2" w:rsidRPr="00FD2974">
        <w:t>εκφράζει την ικανοποίησή του για το γεγονός ότι,</w:t>
      </w:r>
      <w:r w:rsidR="003267B2" w:rsidRPr="00FD2974">
        <w:rPr>
          <w:color w:val="FF0000"/>
        </w:rPr>
        <w:t xml:space="preserve"> </w:t>
      </w:r>
      <w:r w:rsidR="003267B2" w:rsidRPr="00FD2974">
        <w:t xml:space="preserve">έπειτα από τις συστάσεις για έναν αποτελεσματικό οργανισμό </w:t>
      </w:r>
      <w:proofErr w:type="spellStart"/>
      <w:r w:rsidR="003267B2" w:rsidRPr="00FD2974">
        <w:t>συνοριοφυλακής</w:t>
      </w:r>
      <w:proofErr w:type="spellEnd"/>
      <w:r w:rsidR="003267B2" w:rsidRPr="00FD2974">
        <w:t xml:space="preserve"> που θα συμμορφώνεται με τα θεμελιώδη δικαιώματα, και προκειμένου να βελτιωθούν η λογοδοσία, η κανονικότητα και η νομιμότητα όλων των δραστηριοτήτων του Οργανισμού,</w:t>
      </w:r>
      <w:r w:rsidR="003267B2" w:rsidRPr="00FD2974">
        <w:rPr>
          <w:color w:val="FF0000"/>
        </w:rPr>
        <w:t xml:space="preserve"> </w:t>
      </w:r>
      <w:r w:rsidR="003267B2" w:rsidRPr="00FD2974">
        <w:t>προσλήφθηκαν εξωτερικά επιπλέον 22 παρατηρητές θεμελιωδών δικαιωμάτων·</w:t>
      </w:r>
      <w:r w:rsidR="003267B2" w:rsidRPr="00FD2974">
        <w:rPr>
          <w:color w:val="FF0000"/>
        </w:rPr>
        <w:t xml:space="preserve"> </w:t>
      </w:r>
      <w:r w:rsidR="003267B2" w:rsidRPr="00FD2974">
        <w:t>υπενθυμίζει ότι όλοι οι παρατηρητές θεμελιωδών δικαιωμάτων θα πρέπει να προσλαμβάνονται σε επίπεδο AD το συντομότερο δυνατόν μέσω των κατάλληλων διαδικασιών· σημειώνει ότι, με βάση την επικαιροποιημένη εντολή του Οργανισμού, θα υπάρξει ζήτηση για επιπλέον παρατηρητές θεμελιωδών δικαιωμάτων στο μέλλον· εκφράζει την ικανοποίησή του για το γεγονός ότι το Γραφείο Θεμελιωδών Δικαιωμάτων πραγματοποίησε 1 183 ημέρες ανάπτυξης επισκεπτόμενη 50 χώρες, που συνιστά σημαντική αύξηση σε σύγκριση με το προηγούμενο έτος·</w:t>
      </w:r>
    </w:p>
    <w:p w:rsidR="003267B2" w:rsidRPr="00FD2974" w:rsidRDefault="00A61754" w:rsidP="00A61754">
      <w:pPr>
        <w:pStyle w:val="NormalHanging12a"/>
        <w:widowControl/>
        <w:ind w:hanging="570"/>
        <w:mirrorIndents/>
        <w:rPr>
          <w:szCs w:val="24"/>
        </w:rPr>
      </w:pPr>
      <w:r w:rsidRPr="00FD2974">
        <w:rPr>
          <w:szCs w:val="24"/>
        </w:rPr>
        <w:t>25.</w:t>
      </w:r>
      <w:r w:rsidRPr="00FD2974">
        <w:rPr>
          <w:szCs w:val="24"/>
        </w:rPr>
        <w:tab/>
      </w:r>
      <w:r w:rsidR="003267B2" w:rsidRPr="00FD2974">
        <w:rPr>
          <w:shd w:val="clear" w:color="auto" w:fill="FFFFFF"/>
        </w:rPr>
        <w:t>τονίζει ότι η άμεση και έμμεση συμμετοχή του Οργανισμού στις δραστηριότητες διαχείρισης των συνόρων και επιτήρησης των συνόρων πρέπει να συμβαδίζει με τον σεβασμό των θεμελιωδών δικαιωμάτων·</w:t>
      </w:r>
    </w:p>
    <w:p w:rsidR="003267B2" w:rsidRPr="00FD2974" w:rsidRDefault="00A61754" w:rsidP="00A61754">
      <w:pPr>
        <w:pStyle w:val="NormalHanging12a"/>
        <w:widowControl/>
        <w:ind w:hanging="570"/>
        <w:mirrorIndents/>
        <w:rPr>
          <w:szCs w:val="24"/>
        </w:rPr>
      </w:pPr>
      <w:r w:rsidRPr="00FD2974">
        <w:rPr>
          <w:szCs w:val="24"/>
        </w:rPr>
        <w:t>26.</w:t>
      </w:r>
      <w:r w:rsidRPr="00FD2974">
        <w:rPr>
          <w:szCs w:val="24"/>
        </w:rPr>
        <w:tab/>
      </w:r>
      <w:r w:rsidR="003267B2" w:rsidRPr="00FD2974">
        <w:t>σημειώνει, με βάση την έκθεση του υπευθύνου θεμελιωδών δικαιωμάτων, περαιτέρω αύξηση του αριθμού των αναφορών σοβαρών συμβάντων (SIR) από 62 το 2021 σε 72 το 2022, οι οποίες καλύπτονται όλες από τις τυποποιημένες επιχειρησιακές διαδικασίες, όπως αυτές τροποποιήθηκαν το 2021· συγχαίρει τον υπεύθυνο θεμελιωδών δικαιωμάτων για την ανάπτυξη διαδικασιών που τυποποιούν τον τρόπο με τον οποίο το οικείο γραφείο αξιολογεί και επεξεργάζεται τις πληροφορίες που λαμβάνει σχετικά με συμβάντα· σημειώνει ότι το 2022 στις περισσότερες περιπτώσεις αναφοράς σοβαρών συμβάντων (σε 38 από τις 72) η πρωταρχική πηγή πληροφοριών ήταν οι αποσπασμένοι υπάλληλοι του Οργανισμού, ωστόσο ο υπεύθυνος θεμελιωδών δικαιωμάτων βασίστηκε επίσης σε άλλες πηγές πληροφοριών, όπως τα μέσα ενημέρωσης (σε 4 περιπτώσεις) και οι μη κυβερνητικές οργανώσεις (σε 10 περιπτώσεις)· υπενθυμίζει ότι η αναγκαία πρόσθετη αναθεώρηση των τυποποιημένων επιχειρησιακών διαδικασιών του μηχανισμού αναφοράς σοβαρών συμβάντων έχει καθυστερήσει·</w:t>
      </w:r>
      <w:r w:rsidR="003267B2" w:rsidRPr="00FD2974">
        <w:rPr>
          <w:color w:val="1E1E1F"/>
          <w:shd w:val="clear" w:color="auto" w:fill="FFFFFF"/>
        </w:rPr>
        <w:t xml:space="preserve"> προσδοκά να εφαρμόσει ο Οργανισμός τις συστάσεις του υπευθύνου θεμελιωδών δικαιωμάτων, όπως διατυπώθηκαν στην ετήσια έκθεσή του για το 2022·</w:t>
      </w:r>
    </w:p>
    <w:p w:rsidR="003267B2" w:rsidRPr="00FD2974" w:rsidRDefault="00A61754" w:rsidP="00A61754">
      <w:pPr>
        <w:pStyle w:val="NormalHanging12a"/>
        <w:widowControl/>
        <w:ind w:hanging="570"/>
        <w:mirrorIndents/>
        <w:rPr>
          <w:szCs w:val="24"/>
        </w:rPr>
      </w:pPr>
      <w:r w:rsidRPr="00FD2974">
        <w:rPr>
          <w:szCs w:val="24"/>
        </w:rPr>
        <w:t>27.</w:t>
      </w:r>
      <w:r w:rsidRPr="00FD2974">
        <w:rPr>
          <w:szCs w:val="24"/>
        </w:rPr>
        <w:tab/>
      </w:r>
      <w:r w:rsidR="003267B2" w:rsidRPr="00FD2974">
        <w:t xml:space="preserve">σημειώνει, με βάση την έκθεση του υπευθύνου θεμελιωδών δικαιωμάτων, ότι το 2022 ο υπεύθυνος θεμελιωδών δικαιωμάτων έλαβε συνολικά 69 καταγγελίες (αριθμός που συνιστά αύξηση έναντι 27 το 2021)· σημειώνει περαιτέρω ότι εννέα από τις εν λόγω καταγγελίες κρίθηκαν παραδεκτές (αριθμός που συνιστά αύξηση έναντι 6 το 2021)· εκφράζει την ικανοποίησή του για τους αναθεωρημένους κανόνες σχετικά με τον μηχανισμό υποβολής καταγγελιών που εγκρίθηκαν από το ΔΣ του Οργανισμού το 2022, οι οποίοι προβλέπουν την ενίσχυση των χρονοδιαγραμμάτων και της ενδεδειγμένης συνέχειας που πρέπει να δοθεί· συγχαίρει τον υπεύθυνο θεμελιωδών δικαιωμάτων για τις πρόσθετες προσπάθειές του στον τομέα που σχετίζεται με τον μηχανισμό υποβολής καταγγελιών, όπως δράσεις για την ενίσχυση της ευαισθητοποίησης, π.χ. μέσω της </w:t>
      </w:r>
      <w:proofErr w:type="spellStart"/>
      <w:r w:rsidR="003267B2" w:rsidRPr="00FD2974">
        <w:t>επικαιροποίησης</w:t>
      </w:r>
      <w:proofErr w:type="spellEnd"/>
      <w:r w:rsidR="003267B2" w:rsidRPr="00FD2974">
        <w:t xml:space="preserve"> του ενημερωτικού υλικού και των δραστηριοτήτων ανάπτυξης ικανοτήτων υπό μορφή κατάρτισης για τους αποσπασμένους υπαλλήλους και τους τοπικούς εταίρους του Οργανισμού κατά τη διάρκεια επισκέψεων στις περιοχές επιχειρήσεων του Οργανισμού·</w:t>
      </w:r>
    </w:p>
    <w:p w:rsidR="003267B2" w:rsidRPr="00FD2974" w:rsidRDefault="00A61754" w:rsidP="00A61754">
      <w:pPr>
        <w:pStyle w:val="NormalHanging12a"/>
        <w:ind w:hanging="570"/>
      </w:pPr>
      <w:r w:rsidRPr="00FD2974">
        <w:t>28.</w:t>
      </w:r>
      <w:r w:rsidRPr="00FD2974">
        <w:tab/>
      </w:r>
      <w:r w:rsidR="003267B2" w:rsidRPr="00FD2974">
        <w:t>επαινεί τον Οργανισμό για την πρόοδο που έχει σημειωθεί στην εφαρμογή του σχεδίου δράσης για τα θεμελιώδη δικαιώματα, στο οποίο προβλέπονται 87 δραστηριότητες· σημειώνει, με βάση την έκθεση του υπευθύνου θεμελιωδών δικαιωμάτων, ότι 18 από τις εν λόγω δραστηριότητες έχουν υλοποιηθεί πλήρως (δηλαδή δεν απαιτούνται περαιτέρω ενέργειες), 62 βρίσκονται σε εξέλιξη (δηλαδή υλοποιούνται με συστηματικό τρόπο και σε κυλιόμενη βάση), μία εν μέρει υλοποιείται και έξι έχουν καθυστερήσει· εκφράζει τη λύπη του για τις καθυστερήσεις αυτές και καλεί τον Οργανισμό να σημειώσει ταχεία πρόοδο όσον αφορά τις εκκρεμείς δράσεις· υπενθυμίζει, στο πλαίσιο αυτό, τον σημαντικό ρόλο που διαδραματίζουν οι παρατηρητές θεμελιωδών δικαιωμάτων, μεταξύ άλλων όσον αφορά την πρόσβασή τους στις περιοχές επιχειρήσεων και τη στενή συνεργασία με το επιχειρησιακό προσωπικό του Οργανισμού, καθώς και τις προσπάθειές τους για την υλοποίηση των δραστηριοτήτων του σχεδίου δράσης για τα θεμελιώδη δικαιώματα (αριθ. 23, 63 και 83 μεταξύ άλλων)· επικροτεί την οριστικοποίηση και την έγκριση των τυποποιημένων επιχειρησιακών διαδικασιών σχετικά με τους ρόλους και τις αρμοδιότητες των παρατηρητών θεμελιωδών δικαιωμάτων στις επιχειρησιακές δραστηριότητες του Οργανισμού· επικροτεί τη δημιουργία, στις αρχές του 2022, δικτύου σημείων επαφής για τα θεμελιώδη δικαιώματα σε όλες τις μονάδες του Οργανισμού για την ανάπτυξη εμπειρογνωσίας στον τομέα των θεμελιωδών δικαιωμάτων σε όλους τους τομείς δραστηριότητας·</w:t>
      </w:r>
    </w:p>
    <w:p w:rsidR="003267B2" w:rsidRPr="00FD2974" w:rsidRDefault="003267B2" w:rsidP="003267B2">
      <w:pPr>
        <w:pStyle w:val="NormalHanging12a"/>
        <w:widowControl/>
        <w:ind w:left="0" w:firstLine="0"/>
        <w:mirrorIndents/>
        <w:rPr>
          <w:b/>
          <w:i/>
          <w:szCs w:val="24"/>
        </w:rPr>
      </w:pPr>
      <w:r w:rsidRPr="00FD2974">
        <w:rPr>
          <w:b/>
          <w:i/>
        </w:rPr>
        <w:t>Αποδοτικότητα και βελτιώσεις</w:t>
      </w:r>
    </w:p>
    <w:p w:rsidR="003267B2" w:rsidRPr="00FD2974" w:rsidRDefault="00A61754" w:rsidP="00A61754">
      <w:pPr>
        <w:pStyle w:val="NormalHanging12a"/>
        <w:widowControl/>
        <w:ind w:hanging="570"/>
        <w:mirrorIndents/>
        <w:rPr>
          <w:szCs w:val="24"/>
        </w:rPr>
      </w:pPr>
      <w:r w:rsidRPr="00FD2974">
        <w:rPr>
          <w:szCs w:val="24"/>
        </w:rPr>
        <w:t>29.</w:t>
      </w:r>
      <w:r w:rsidRPr="00FD2974">
        <w:rPr>
          <w:szCs w:val="24"/>
        </w:rPr>
        <w:tab/>
      </w:r>
      <w:r w:rsidR="003267B2" w:rsidRPr="00FD2974">
        <w:t xml:space="preserve">επαινεί τον Οργανισμό για τη στενή συνεργασία του και/ή την </w:t>
      </w:r>
      <w:proofErr w:type="spellStart"/>
      <w:r w:rsidR="003267B2" w:rsidRPr="00FD2974">
        <w:t>κοινοχρησία</w:t>
      </w:r>
      <w:proofErr w:type="spellEnd"/>
      <w:r w:rsidR="003267B2" w:rsidRPr="00FD2974">
        <w:t xml:space="preserve"> πόρων με διάφορους οργανισμούς και άλλα ενδιαφερόμενα μέρη, όπως η Επιτροπή, τα κράτη μέλη ή τρίτες χώρες· επισημαίνει τα οριζόντια οφέλη που επιφέρουν η συνεργασία και η υιοθέτηση βέλτιστων πρακτικών, και τονίζει ότι με τις κοινές πρωτοβουλίες συνδυάζονται διαφορετικές προοπτικές, μειώνεται η αλληλεπικάλυψη των προσπαθειών, ενισχύεται η μάθηση και ενδυναμώνονται οι σχέσεις μεταξύ των συμμετεχόντων· σημειώνει, στο πλαίσιο αυτό, τις δράσεις του Οργανισμού σε σχέση, μεταξύ άλλων, με: τις διαπραγματεύσεις για την ανανέωση των συμφωνιών συνεργασίας βάσει των οποίων διαρθρώνεται η διμερής συνεργασία με διάφορους οργανισμούς στον τομέα της δικαιοσύνης και των εσωτερικών υποθέσεων (ΔΕΥ)· τη μετεγκατάσταση μέρους του προσωπικού του στον </w:t>
      </w:r>
      <w:proofErr w:type="spellStart"/>
      <w:r w:rsidR="003267B2" w:rsidRPr="00FD2974">
        <w:t>eu</w:t>
      </w:r>
      <w:proofErr w:type="spellEnd"/>
      <w:r w:rsidR="003267B2" w:rsidRPr="00FD2974">
        <w:t>-LISA για την περίοδο 2022-2024 για έργα που συνδέονται με το Σύστημα Εισόδου/Εξόδου (ΣΕΕ) και το ETIAS, και στην Ευρωπόλ, από 1ης Ιανουαρίου 2024, για έργα στον τομέα της διαλειτουργικότητας των συστημάτων της Ένωσης· και τη συμβολή του Οργανισμού σε τακτική βάση στα ετήσια προγράμματα εργασίας άλλων οργανισμών με στόχο την ευθυγράμμιση των δραστηριοτήτων·</w:t>
      </w:r>
    </w:p>
    <w:p w:rsidR="003267B2" w:rsidRPr="00FD2974" w:rsidRDefault="00A61754" w:rsidP="00A61754">
      <w:pPr>
        <w:pStyle w:val="NormalHanging12a"/>
        <w:widowControl/>
        <w:ind w:hanging="570"/>
        <w:mirrorIndents/>
        <w:rPr>
          <w:szCs w:val="24"/>
        </w:rPr>
      </w:pPr>
      <w:r w:rsidRPr="00FD2974">
        <w:rPr>
          <w:szCs w:val="24"/>
        </w:rPr>
        <w:t>30.</w:t>
      </w:r>
      <w:r w:rsidRPr="00FD2974">
        <w:rPr>
          <w:szCs w:val="24"/>
        </w:rPr>
        <w:tab/>
      </w:r>
      <w:r w:rsidR="003267B2" w:rsidRPr="00FD2974">
        <w:t xml:space="preserve">σημειώνει ειδικότερα τη συνεργασία του Οργανισμού μέσω τριμερούς συμφωνίας συνεργασίας με την Ευρωπαϊκή Υπηρεσία Ελέγχου της Αλιείας (EFCA) και τον Ευρωπαϊκό Οργανισμό για την Ασφάλεια στη Θάλασσα (EMSA) με σκοπό τον συντονισμό και την </w:t>
      </w:r>
      <w:proofErr w:type="spellStart"/>
      <w:r w:rsidR="003267B2" w:rsidRPr="00FD2974">
        <w:t>κοινοχρησία</w:t>
      </w:r>
      <w:proofErr w:type="spellEnd"/>
      <w:r w:rsidR="003267B2" w:rsidRPr="00FD2974">
        <w:t xml:space="preserve"> πόρων σε διάφορους τομείς, όπως η ανταλλαγή πληροφοριών, οι υπηρεσίες επιτήρησης και επικοινωνίας ή η </w:t>
      </w:r>
      <w:proofErr w:type="spellStart"/>
      <w:r w:rsidR="003267B2" w:rsidRPr="00FD2974">
        <w:t>κοινοχρησία</w:t>
      </w:r>
      <w:proofErr w:type="spellEnd"/>
      <w:r w:rsidR="003267B2" w:rsidRPr="00FD2974">
        <w:t xml:space="preserve"> ικανοτήτων· επικροτεί την έναρξη θαλάσσιων επιχειρήσεων πολλαπλών σκοπών, οι οποίες διασφαλίζουν την εκτέλεση διαφορετικών καθηκόντων ακτοφυλακής σε μία επιχείρηση που άπτεται των εντολών των τριών αυτών οργανισμών και ενισχύει τη διατομεακή και διασυνοριακή συνεργασία· εκφράζει την ικανοποίησή του για το γεγονός ότι η έννοια των θαλάσσιων επιχειρήσεων πολλαπλών σκοπών αναπτύχθηκε περαιτέρω με την υλοποίηση της θαλάσσιας επιχείρησης πολλαπλών σκοπών στη Μαύρη Θάλασσα από τον Αύγουστο έως τον Νοέμβριο του 2022 σε συνεργασία με την EFCA, τον EMSA και έξι αρχές από τη Ρουμανία και τη Βουλγαρία· εκφράζει επίσης την ικανοποίησή του για το γεγονός ότι το 2023 οι τρεις αυτοί οργανισμοί συμφώνησαν να επεκτείνουν την υλοποίηση της έννοιας της θαλάσσιας επιχείρησης πολλαπλών σκοπών στην Αδριατική και στη Βαλτική Θάλασσα·</w:t>
      </w:r>
    </w:p>
    <w:p w:rsidR="003267B2" w:rsidRPr="00FD2974" w:rsidRDefault="00A61754" w:rsidP="00A61754">
      <w:pPr>
        <w:pStyle w:val="NormalHanging12a"/>
        <w:widowControl/>
        <w:ind w:hanging="570"/>
        <w:mirrorIndents/>
        <w:rPr>
          <w:szCs w:val="24"/>
        </w:rPr>
      </w:pPr>
      <w:r w:rsidRPr="00FD2974">
        <w:rPr>
          <w:szCs w:val="24"/>
        </w:rPr>
        <w:t>31.</w:t>
      </w:r>
      <w:r w:rsidRPr="00FD2974">
        <w:rPr>
          <w:szCs w:val="24"/>
        </w:rPr>
        <w:tab/>
      </w:r>
      <w:r w:rsidR="003267B2" w:rsidRPr="00FD2974">
        <w:t xml:space="preserve">υποστηρίζει τα σχέδια του Οργανισμού όσον αφορά τον σχεδιασμό και την ανέγερση ενός νέου κτιρίου για τη μελλοντική έδρα του (μόνιμες εγκαταστάσεις), καθώς ένα τέτοιο κτίριο, το οποίο αναμένεται να πληροί τα υψηλότερα πρότυπα βιωσιμότητας, θα παραμείνει φιλικό προς το περιβάλλον καθ’ όλη τη διάρκεια ζωής του· σημειώνει ότι η διαδικασία υποβολής προσφορών, η οποία κινήθηκε τον Ιούλιο του 2022, βασίζεται στις κατευθυντήριες γραμμές για τις πράσινες δημόσιες συμβάσεις· σημειώνει περαιτέρω ότι, στο πλαίσιο αυτό, ο Οργανισμός έχει αναπτύξει μια έννοια που βασίζεται στην ιδέα της εργασίας με γνώμονα τις δραστηριότητες, υποστηρίζοντας τις βασικές αρχές της εργασίας ανεξαρτήτως </w:t>
      </w:r>
      <w:proofErr w:type="spellStart"/>
      <w:r w:rsidR="003267B2" w:rsidRPr="00FD2974">
        <w:t>χωροχρονικών</w:t>
      </w:r>
      <w:proofErr w:type="spellEnd"/>
      <w:r w:rsidR="003267B2" w:rsidRPr="00FD2974">
        <w:t xml:space="preserve"> παραμέτρων, της ποικιλότητας των χώρων εργασίας και της έμφασης στη συνεργασία μεταξύ οντοτήτων και την ανταλλαγή γνώσεων, και η οποία θα δοκιμαστεί πρώτα στις τρέχουσες εγκαταστάσεις του Οργανισμού· καλεί τον Οργανισμό να τηρεί ενήμερη την αρμόδια για την απαλλαγή αρχή όσον αφορά τα αποτελέσματα της εν λόγω δοκιμής και τη συνέχεια που θα δοθεί·</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32.</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ότι, στην πορεία του προς την ενσωμάτωση της περιβαλλοντικής βιωσιμότητας σε όλες τις διαδικασίες, τις πολιτικές και τις λειτουργίες του, και τελικά προς την επίτευξη ουδέτερου ισοζυγίου διοξειδίου του άνθρακα έως το 2050, ο Οργανισμός δρομολόγησε, το 2021, και δημοσίευσε, το 2022, μελέτη με τίτλο «The </w:t>
      </w:r>
      <w:proofErr w:type="spellStart"/>
      <w:r w:rsidR="003267B2" w:rsidRPr="00FD2974">
        <w:rPr>
          <w:rFonts w:ascii="Times New Roman" w:hAnsi="Times New Roman"/>
          <w:lang w:val="el-GR"/>
        </w:rPr>
        <w:t>Green</w:t>
      </w:r>
      <w:proofErr w:type="spellEnd"/>
      <w:r w:rsidR="003267B2" w:rsidRPr="00FD2974">
        <w:rPr>
          <w:rFonts w:ascii="Times New Roman" w:hAnsi="Times New Roman"/>
          <w:lang w:val="el-GR"/>
        </w:rPr>
        <w:t xml:space="preserve"> </w:t>
      </w:r>
      <w:proofErr w:type="spellStart"/>
      <w:r w:rsidR="003267B2" w:rsidRPr="00FD2974">
        <w:rPr>
          <w:rFonts w:ascii="Times New Roman" w:hAnsi="Times New Roman"/>
          <w:lang w:val="el-GR"/>
        </w:rPr>
        <w:t>Deal</w:t>
      </w:r>
      <w:proofErr w:type="spellEnd"/>
      <w:r w:rsidR="003267B2" w:rsidRPr="00FD2974">
        <w:rPr>
          <w:rFonts w:ascii="Times New Roman" w:hAnsi="Times New Roman"/>
          <w:lang w:val="el-GR"/>
        </w:rPr>
        <w:t xml:space="preserve"> and the European </w:t>
      </w:r>
      <w:proofErr w:type="spellStart"/>
      <w:r w:rsidR="003267B2" w:rsidRPr="00FD2974">
        <w:rPr>
          <w:rFonts w:ascii="Times New Roman" w:hAnsi="Times New Roman"/>
          <w:lang w:val="el-GR"/>
        </w:rPr>
        <w:t>Border</w:t>
      </w:r>
      <w:proofErr w:type="spellEnd"/>
      <w:r w:rsidR="003267B2" w:rsidRPr="00FD2974">
        <w:rPr>
          <w:rFonts w:ascii="Times New Roman" w:hAnsi="Times New Roman"/>
          <w:lang w:val="el-GR"/>
        </w:rPr>
        <w:t xml:space="preserve"> and </w:t>
      </w:r>
      <w:proofErr w:type="spellStart"/>
      <w:r w:rsidR="003267B2" w:rsidRPr="00FD2974">
        <w:rPr>
          <w:rFonts w:ascii="Times New Roman" w:hAnsi="Times New Roman"/>
          <w:lang w:val="el-GR"/>
        </w:rPr>
        <w:t>Coast</w:t>
      </w:r>
      <w:proofErr w:type="spellEnd"/>
      <w:r w:rsidR="003267B2" w:rsidRPr="00FD2974">
        <w:rPr>
          <w:rFonts w:ascii="Times New Roman" w:hAnsi="Times New Roman"/>
          <w:lang w:val="el-GR"/>
        </w:rPr>
        <w:t xml:space="preserve"> </w:t>
      </w:r>
      <w:proofErr w:type="spellStart"/>
      <w:r w:rsidR="003267B2" w:rsidRPr="00FD2974">
        <w:rPr>
          <w:rFonts w:ascii="Times New Roman" w:hAnsi="Times New Roman"/>
          <w:lang w:val="el-GR"/>
        </w:rPr>
        <w:t>Guard</w:t>
      </w:r>
      <w:proofErr w:type="spellEnd"/>
      <w:r w:rsidR="003267B2" w:rsidRPr="00FD2974">
        <w:rPr>
          <w:rFonts w:ascii="Times New Roman" w:hAnsi="Times New Roman"/>
          <w:lang w:val="el-GR"/>
        </w:rPr>
        <w:t xml:space="preserve"> (EBCG)» (Η Πράσινη Συμφωνία και η Ευρωπαϊκή </w:t>
      </w:r>
      <w:proofErr w:type="spellStart"/>
      <w:r w:rsidR="003267B2" w:rsidRPr="00FD2974">
        <w:rPr>
          <w:rFonts w:ascii="Times New Roman" w:hAnsi="Times New Roman"/>
          <w:lang w:val="el-GR"/>
        </w:rPr>
        <w:t>Συνοριοφυλακή</w:t>
      </w:r>
      <w:proofErr w:type="spellEnd"/>
      <w:r w:rsidR="003267B2" w:rsidRPr="00FD2974">
        <w:rPr>
          <w:rFonts w:ascii="Times New Roman" w:hAnsi="Times New Roman"/>
          <w:lang w:val="el-GR"/>
        </w:rPr>
        <w:t xml:space="preserve"> και Ακτοφυλακή), η οποία βασίζεται κυρίως σε περιπτωσιολογικές μελέτες βέλτιστων πρακτικών σε διάφορους διεθνείς οργανισμούς (π.χ. η Ευρωπαϊκή Κεντρική Τράπεζα, το Υπουργείο Εσωτερικών της Γαλλίας, το Υπουργείο Εσωτερικής Ασφάλειας των ΗΠΑ, μεταξύ άλλων)· σημειώνει με ικανοποίηση ότι η έκθεση εντοπίζει δέκα διαφορετικούς τομείς (μεταξύ άλλων όσον αφορά τη βιωσιμότητα σε επιχειρησιακές δραστηριότητες όπου η κοινότητα της Ευρωπαϊκής </w:t>
      </w:r>
      <w:proofErr w:type="spellStart"/>
      <w:r w:rsidR="003267B2" w:rsidRPr="00FD2974">
        <w:rPr>
          <w:rFonts w:ascii="Times New Roman" w:hAnsi="Times New Roman"/>
          <w:lang w:val="el-GR"/>
        </w:rPr>
        <w:t>Συνοριοφυλακής</w:t>
      </w:r>
      <w:proofErr w:type="spellEnd"/>
      <w:r w:rsidR="003267B2" w:rsidRPr="00FD2974">
        <w:rPr>
          <w:rFonts w:ascii="Times New Roman" w:hAnsi="Times New Roman"/>
          <w:lang w:val="el-GR"/>
        </w:rPr>
        <w:t xml:space="preserve"> και Ακτοφυλακής έχει τον μεγαλύτερο αντίκτυπο στο περιβάλλον) με χάρτες πορείας για τον βραχυπρόθεσμο, μεσοπρόθεσμο και μακροπρόθεσμο χρονικό ορίζοντα· σημειώνει, με βάση τη μελέτη αυτή, ότι το πλαίσιο διαχείρισης αλλαγών, τα συστήματα αναφοράς και διαχείρισης κινδύνων και η εφαρμογή και πιστοποίηση του EMAS είναι θεμελιώδους σημασίας για τον επιτυχή μετασχηματισμό που επιδιώκει ο Οργανισμός από κοινού με την κοινότητα της Ευρωπαϊκής </w:t>
      </w:r>
      <w:proofErr w:type="spellStart"/>
      <w:r w:rsidR="003267B2" w:rsidRPr="00FD2974">
        <w:rPr>
          <w:rFonts w:ascii="Times New Roman" w:hAnsi="Times New Roman"/>
          <w:lang w:val="el-GR"/>
        </w:rPr>
        <w:t>Συνοριοφυλακής</w:t>
      </w:r>
      <w:proofErr w:type="spellEnd"/>
      <w:r w:rsidR="003267B2" w:rsidRPr="00FD2974">
        <w:rPr>
          <w:rFonts w:ascii="Times New Roman" w:hAnsi="Times New Roman"/>
          <w:lang w:val="el-GR"/>
        </w:rPr>
        <w:t xml:space="preserve"> και Ακτοφυλακής·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33.</w:t>
      </w:r>
      <w:r w:rsidRPr="00FD2974">
        <w:rPr>
          <w:rFonts w:ascii="Times New Roman" w:hAnsi="Times New Roman" w:cs="Times New Roman"/>
          <w:lang w:val="el-GR"/>
        </w:rPr>
        <w:tab/>
      </w:r>
      <w:r w:rsidR="003267B2" w:rsidRPr="00FD2974">
        <w:rPr>
          <w:rFonts w:ascii="Times New Roman" w:hAnsi="Times New Roman"/>
          <w:lang w:val="el-GR"/>
        </w:rPr>
        <w:t>σημειώνει ότι ο Οργανισμός ενσωματώνει περιβαλλοντικά κριτήρια στις διαδικασίες σύναψης συμβάσεων σε σχέση π.χ. με τις πτήσεις, την τροφοδοσία, τις μόνιμες εγκαταστάσεις του Οργανισμού· αναγνωρίζει, ωστόσο, ότι οι ιδιαιτερότητες των αγορών του Οργανισμού (π.χ. αγορές ειδών θωράκισης σώματος) δεν επιτρέπουν πάντα την ενσωμάτωση τέτοιων κριτηρίων· σημειώνει περαιτέρω το έργο εξωτερικών συμβουλευτικών υπηρεσιών του Οργανισμού σχετικά με τον τρόπο καθορισμού βάσης για τη μέτρηση του ενεργειακού και περιβαλλοντικού αποτυπώματος του προσωπικού και του τεχνικού επιχειρησιακού εξοπλισμού, καθώς και την πιλοτική κατάρτιση για οικολογική οδήγηση που παρέχεται σε ομάδα μελών του μόνιμου σώματος και την ενσωμάτωση κατάρτισης για την ενίσχυση της ευαισθητοποίησης σχετικά με τις πρακτικές οικολογικής οδήγησης στη βασική διαδικτυακή κατάρτιση για νέους υπαλλήλους (μέλη του μόνιμου σώματος)·</w:t>
      </w:r>
    </w:p>
    <w:p w:rsidR="003267B2" w:rsidRPr="00FD2974" w:rsidRDefault="003267B2" w:rsidP="003267B2">
      <w:pPr>
        <w:pStyle w:val="Normal12Hanging"/>
        <w:mirrorIndents/>
        <w:rPr>
          <w:rFonts w:ascii="Times New Roman" w:hAnsi="Times New Roman" w:cs="Times New Roman"/>
          <w:b/>
          <w:i/>
          <w:lang w:val="el-GR"/>
        </w:rPr>
      </w:pPr>
      <w:r w:rsidRPr="00FD2974">
        <w:rPr>
          <w:rFonts w:ascii="Times New Roman" w:hAnsi="Times New Roman"/>
          <w:b/>
          <w:i/>
          <w:lang w:val="el-GR"/>
        </w:rPr>
        <w:t>Πολιτική προσωπικού</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34.</w:t>
      </w:r>
      <w:r w:rsidRPr="00FD2974">
        <w:rPr>
          <w:rFonts w:ascii="Times New Roman" w:hAnsi="Times New Roman" w:cs="Times New Roman"/>
          <w:lang w:val="el-GR"/>
        </w:rPr>
        <w:tab/>
      </w:r>
      <w:r w:rsidR="003267B2" w:rsidRPr="00FD2974">
        <w:rPr>
          <w:rFonts w:ascii="Times New Roman" w:hAnsi="Times New Roman"/>
          <w:lang w:val="el-GR"/>
        </w:rPr>
        <w:t>αναγνωρίζει τις συνεχείς προσπάθειες του Οργανισμού και τις κρίσιμες βελτιώσεις στον τομέα των προσλήψεων, παρά τις καθυστερήσεις· σημειώνει ότι στις 31 Δεκεμβρίου 2022, το ποσοστό εκτέλεσης του πίνακα προσωπικού ήταν 88,46% (έναντι 82 % το 2021), καθώς καλύπτονταν οι 1 150 από τις 1 300 θέσεις έκτακτων υπαλλήλων που είχαν εγκριθεί στον προϋπολογισμό της Ένωσης· σημειώνει ότι, επιπλέον, για τον Οργανισμό εργάστηκαν 723 συμβασιούχοι υπάλληλοι (εκ των οποίων 11 με χρηματοδότηση από εξωτερικό προϋπολογισμό) και 190 αποσπασμένοι εθνικοί εμπειρογνώμονες (σε σύγκριση με 964 συμβασιούχους υπαλλήλους και 220 αποσπασμένους εθνικούς εμπειρογνώμονες που είχαν εγκριθεί για τον Οργανισμό το 2022)· χαιρετίζει την αύξηση (κατά περίπου 6,5 % σε σύγκριση με το 2021), για δεύτερο συναπτό έτος, του ποσοστού πληρότητας του Οργανισμού, χάρη στην πρόσληψη 509 νέων υπαλλήλων το 2022, που επέφερε την καθαρή αύξηση του αριθμού των υπαλλήλων του Οργανισμού συνολικά, από 1 554 το 2021 σε 2 063 το 2022, και ιδίως των υπαλλήλων του μόνιμου σώματος κατηγορίας 1, από 595 το 2021 σε 963 το 2022· εκφράζει, στο πλαίσιο αυτό, την ικανοποίησή του για το γεγονός ότι η κεντρική μονάδα ETIAS προσέλαβε και υποδέχτηκε 65 νέους υπαλλήλους, καθώς και 22 νέους παρατηρητές θεμελιωδών δικαιωμάτων, ενώ στις 31 Δεκεμβρίου 2022 ο Οργανισμός είχε καλύψει 44 θέσεις παρατηρητών θεμελιωδών δικαιωμάτων (αριθμός που από 1ης Σεπτεμβρίου 2023 αυξήθηκε σε 46), προσεγγίζοντας έτσι την πλήρη εκτέλεση της διευρυμένης εντολής του Οργανισμού· σημειώνει, επιπλέον, ότι τον Οκτώβριο του 2022 η εφεδρεία παρατηρητών αναγκαστικής επιστροφής του Οργανισμού αριθμούσε 60 παρατηρητές από 24 κράτη μέλη της Ένωσης και συνδεδεμένες χώρες Σένγκεν, πέντε εκ των οποίων προέρχονταν από την εφεδρεία των παρατηρητών θεμελιωδών δικαιωμάτων· επιδοκιμάζει την πτωτική τάση του ετήσιου ποσοστού κενών θέσεων του Οργανισμού σε όλα τα είδη συμβάσεων και στους δύο πυλώνες Α και Β·</w:t>
      </w:r>
    </w:p>
    <w:p w:rsidR="003267B2" w:rsidRPr="00FD2974" w:rsidRDefault="00A61754" w:rsidP="00A61754">
      <w:pPr>
        <w:pStyle w:val="NormalHanging12a"/>
        <w:ind w:hanging="570"/>
      </w:pPr>
      <w:r w:rsidRPr="00FD2974">
        <w:t>35.</w:t>
      </w:r>
      <w:r w:rsidRPr="00FD2974">
        <w:tab/>
      </w:r>
      <w:r w:rsidR="003267B2" w:rsidRPr="00FD2974">
        <w:t>εκφράζει έντονη ανησυχία για την κατανομή των φύλων που καταγράφηκε στον Οργανισμό το 2022 σε επίπεδο ανώτερων και μεσαίων διευθυντικών στελεχών με 19 άνδρες (79 %) και 7 γυναίκες (21 %), στο επίπεδο του ΔΣ με 54 άνδρες (87 %) και 8 γυναίκες (13 %), και όσον αφορά το προσωπικό του Οργανισμού συνολικά, με 1 473 άνδρες (71 %) και 590 γυναίκες (29 %)· υπενθυμίζει ότι είναι σημαντικό να διασφαλιστεί η ισόρροπη εκπροσώπηση των φύλων, και καλεί τον Οργανισμό να λαμβάνει υπόψη την πτυχή αυτή όσον αφορά τις μελλοντικές προσλήψεις προσωπικού και τους διορισμούς σε ανώτερες και μεσαίες διευθυντικές θέσεις· ζητεί από την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Οργανισμού· σημειώνει, με βάση την έκθεση του Οργανισμού με τίτλο «</w:t>
      </w:r>
      <w:proofErr w:type="spellStart"/>
      <w:r w:rsidR="003267B2" w:rsidRPr="00FD2974">
        <w:t>Frontex’s</w:t>
      </w:r>
      <w:proofErr w:type="spellEnd"/>
      <w:r w:rsidR="003267B2" w:rsidRPr="00FD2974">
        <w:t xml:space="preserve"> </w:t>
      </w:r>
      <w:proofErr w:type="spellStart"/>
      <w:r w:rsidR="003267B2" w:rsidRPr="00FD2974">
        <w:t>individual</w:t>
      </w:r>
      <w:proofErr w:type="spellEnd"/>
      <w:r w:rsidR="003267B2" w:rsidRPr="00FD2974">
        <w:t xml:space="preserve"> </w:t>
      </w:r>
      <w:proofErr w:type="spellStart"/>
      <w:r w:rsidR="003267B2" w:rsidRPr="00FD2974">
        <w:t>follow</w:t>
      </w:r>
      <w:proofErr w:type="spellEnd"/>
      <w:r w:rsidR="003267B2" w:rsidRPr="00FD2974">
        <w:t xml:space="preserve"> </w:t>
      </w:r>
      <w:proofErr w:type="spellStart"/>
      <w:r w:rsidR="003267B2" w:rsidRPr="00FD2974">
        <w:t>up</w:t>
      </w:r>
      <w:proofErr w:type="spellEnd"/>
      <w:r w:rsidR="003267B2" w:rsidRPr="00FD2974">
        <w:t xml:space="preserve"> </w:t>
      </w:r>
      <w:proofErr w:type="spellStart"/>
      <w:r w:rsidR="003267B2" w:rsidRPr="00FD2974">
        <w:t>report</w:t>
      </w:r>
      <w:proofErr w:type="spellEnd"/>
      <w:r w:rsidR="003267B2" w:rsidRPr="00FD2974">
        <w:t xml:space="preserve"> for the 2021 </w:t>
      </w:r>
      <w:proofErr w:type="spellStart"/>
      <w:r w:rsidR="003267B2" w:rsidRPr="00FD2974">
        <w:t>budgetary</w:t>
      </w:r>
      <w:proofErr w:type="spellEnd"/>
      <w:r w:rsidR="003267B2" w:rsidRPr="00FD2974">
        <w:t xml:space="preserve"> </w:t>
      </w:r>
      <w:proofErr w:type="spellStart"/>
      <w:r w:rsidR="003267B2" w:rsidRPr="00FD2974">
        <w:t>discharge</w:t>
      </w:r>
      <w:proofErr w:type="spellEnd"/>
      <w:r w:rsidR="003267B2" w:rsidRPr="00FD2974">
        <w:t xml:space="preserve">» (ατομική έκθεση παρακολούθησης του </w:t>
      </w:r>
      <w:proofErr w:type="spellStart"/>
      <w:r w:rsidR="003267B2" w:rsidRPr="00FD2974">
        <w:t>Frontex</w:t>
      </w:r>
      <w:proofErr w:type="spellEnd"/>
      <w:r w:rsidR="003267B2" w:rsidRPr="00FD2974">
        <w:t xml:space="preserve"> για την απαλλαγή για τον προϋπολογισμό του 2021) (εφεξής «η έκθεση παρακολούθησης του Οργανισμού»), τα μέτρα και τις πρωτοβουλίες που έχει λάβει ο Οργανισμός ώστε να βελτιωθεί η ισόρροπη εκπροσώπηση των φύλων· σημειώνει ότι, παρά τις προσπάθειες αυτές, ο δεδηλωμένος στόχος του Οργανισμού να έχει τουλάχιστον 40 % μέλη του </w:t>
      </w:r>
      <w:proofErr w:type="spellStart"/>
      <w:r w:rsidR="003267B2" w:rsidRPr="00FD2974">
        <w:t>υποεκπροσωπούμενου</w:t>
      </w:r>
      <w:proofErr w:type="spellEnd"/>
      <w:r w:rsidR="003267B2" w:rsidRPr="00FD2974">
        <w:t xml:space="preserve"> φύλου σε όλα τα επίπεδα διοίκησης απέχει ακόμη πολύ από το να επιτευχθεί· καλεί τον Οργανισμό να επιληφθεί αυτού του ζητήματος και να υποβάλει έκθεση στην αρμόδια για την απαλλαγή αρχή σχετικά με την επιτευχθείσα πρόοδο· σημειώνει, ωστόσο, με βάση την έκθεση παρακολούθησης του Οργανισμού, ότι η παρακολούθηση της ισόρροπης εκπροσώπησης των φύλων πραγματοποιείται λαμβανομένων επίσης υπόψη πέντε σημαντικών κατηγοριών προσωπικού, για ορισμένες από τις οποίες, όπως οι διευθυντικές θέσεις, η δεξαμενή προσλήψεων (εθνικές υπηρεσίες επιβολής του νόμου) αποτελείται κυρίως από άνδρες· σημειώνει, όμως, με βάση την εν λόγω έκθεση, ότι, τον Μάιο του 2023, στην κατηγορία των διοικητικών θέσεων, ο Οργανισμός επέτυχε σχεδόν ιδανική ισορροπία μεταξύ των φύλων (417 άνδρες και 426 γυναίκες)·</w:t>
      </w:r>
    </w:p>
    <w:p w:rsidR="003267B2" w:rsidRPr="00FD2974" w:rsidRDefault="00A61754" w:rsidP="00A61754">
      <w:pPr>
        <w:pStyle w:val="NormalHanging12a"/>
        <w:ind w:hanging="570"/>
      </w:pPr>
      <w:r w:rsidRPr="00FD2974">
        <w:t>36.</w:t>
      </w:r>
      <w:r w:rsidRPr="00FD2974">
        <w:tab/>
      </w:r>
      <w:r w:rsidR="003267B2" w:rsidRPr="00FD2974">
        <w:t xml:space="preserve">εκφράζει την ικανοποίησή του για τα εκτεταμένα μέτρα και τις πολιτικές που εφαρμόζει ο Οργανισμός κατά της παρενόχλησης με βάση τους εμπιστευτικούς συμβούλους (17 υπάλληλοι, εκ των οποίων 6 από την ομάδα του μόνιμου σώματος), ο ρόλος των οποίων είναι καίριας σημασίας για την προστασία της αξιοπρέπειας του προσωπικού του Οργανισμού και την πρόληψη της ψυχολογικής και σεξουαλικής παρενόχλησης· εκφράζει την ικανοποίησή του, με βάση την έκθεση παρακολούθησης του Οργανισμού, για τις δράσεις που έχουν ήδη υλοποιηθεί και εκείνες που βρίσκονται σε εξέλιξη, καθώς και για τον κατάλογο των προτεινόμενων μέτρων, που αποσκοπούν όλα στη διασφάλιση μηδενικής ανοχής έναντι της σεξουαλικής παρενόχλησης σε όλες τις δραστηριότητες του Οργανισμού· καλεί τον Οργανισμό να παραμείνει προορατικός και να εφαρμόσει πλήρως το σχέδιο δράσης του όσον αφορά τα μέτρα κατά της παρενόχλησης· επισημαίνει ότι αυτό αποτελεί ουσιαστικό στοιχείο της μεταρρύθμισης της </w:t>
      </w:r>
      <w:proofErr w:type="spellStart"/>
      <w:r w:rsidR="003267B2" w:rsidRPr="00FD2974">
        <w:t>οργανωσιακής</w:t>
      </w:r>
      <w:proofErr w:type="spellEnd"/>
      <w:r w:rsidR="003267B2" w:rsidRPr="00FD2974">
        <w:t xml:space="preserve"> νοοτροπίας του Οργανισμού και καλεί τον Οργανισμό να υποβάλλει περιοδικά εκθέσεις σχετικά με την πρόοδο που έχει επιτευχθεί εν προκειμένω·</w:t>
      </w:r>
    </w:p>
    <w:p w:rsidR="003267B2" w:rsidRPr="00FD2974" w:rsidRDefault="00A61754" w:rsidP="00A61754">
      <w:pPr>
        <w:pStyle w:val="NormalHanging12a"/>
        <w:ind w:hanging="570"/>
      </w:pPr>
      <w:r w:rsidRPr="00FD2974">
        <w:t>37.</w:t>
      </w:r>
      <w:r w:rsidRPr="00FD2974">
        <w:tab/>
      </w:r>
      <w:r w:rsidR="003267B2" w:rsidRPr="00FD2974">
        <w:t xml:space="preserve">σημειώνει με ανησυχία, με βάση τις απαντήσεις του Οργανισμού στις γραπτές ερωτήσεις του Κοινοβουλίου, ότι το 2022 αναφέρθηκαν 31 ανώνυμα περιστατικά παρενόχλησης (27 ψυχολογικής και 4 σεξουαλικής), εκ των οποίων τα 22 περατώθηκαν στο στάδιο της ανώνυμης εξέτασης, 4 περιστατικά βρίσκονταν σε διαδικασία συμβιβασμού με τον φερόμενο ως </w:t>
      </w:r>
      <w:proofErr w:type="spellStart"/>
      <w:r w:rsidR="003267B2" w:rsidRPr="00FD2974">
        <w:t>παρενοχλούντα</w:t>
      </w:r>
      <w:proofErr w:type="spellEnd"/>
      <w:r w:rsidR="003267B2" w:rsidRPr="00FD2974">
        <w:t xml:space="preserve"> και 5 παραπέμφθηκαν σε επίσημη διαδικασία· σημειώνει περαιτέρω ότι το 2022 κινήθηκαν 11 υποθέσεις ψυχολογικής (7) ή σεξουαλικής (4) παρενόχλησης, ενώ η εξέταση 5 υποθέσεων περατώθηκε μετά το στάδιο της προκαταρκτικής αξιολόγησης και σε 6 υποθέσεις διατυπώθηκαν συστάσεις που κυμαίνονταν από την παρακολούθηση κατάρτισης ευαισθητοποίησης για την πρόληψη της παρενόχλησης έως την καταγγελία της σύμβασης· καλεί τον Οργανισμό να αξιολογεί προσεκτικά κάθε εκκρεμή υπόθεση, ακολουθώντας μια προσέγγιση μηδενικής ανοχής απέναντι στην ψυχολογική, σεξουαλική ή κάθε άλλης μορφής παρενόχληση, και να ενεργεί ταχέως ώστε να λογοδοτούν οι αυτουργοί παρόμοιων παραπτωμάτων· σημειώνει, με βάση την έκθεση παρακολούθησης του Οργανισμού, το συμπέρασμα του Οργανισμού σχετικά με την επανέναρξη της έρευνας για τον τραγικό θάνατο μέλους του προσωπικού το 2020, σύμφωνα με το οποίο δεν τεκμηριώθηκε παρενόχληση και, συνεπώς, δεν κατέστη δυνατό να διαπιστωθεί άμεση ή έμμεση σύνδεση μεταξύ της αυτοκτονίας του εικαζόμενου θύματος και του εργασιακού περιβάλλοντος·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38.</w:t>
      </w:r>
      <w:r w:rsidRPr="00FD2974">
        <w:rPr>
          <w:rFonts w:ascii="Times New Roman" w:hAnsi="Times New Roman" w:cs="Times New Roman"/>
          <w:lang w:val="el-GR"/>
        </w:rPr>
        <w:tab/>
      </w:r>
      <w:r w:rsidR="003267B2" w:rsidRPr="00FD2974">
        <w:rPr>
          <w:rFonts w:ascii="Times New Roman" w:hAnsi="Times New Roman"/>
          <w:lang w:val="el-GR"/>
        </w:rPr>
        <w:t>επαινεί τον Οργανισμό για την πληθώρα προγραμμάτων κατάρτισης που προσφέρθηκαν στο προσωπικό του το 2022· σημειώνει, εν προκειμένω, ότι ο Οργανισμός παρείχε 21 προγράμματα εξειδίκευσης για την κατηγορία 1 του μόνιμου σώματος (1 194 συμμετέχοντες), 15 διαφορετικά προγράμματα για τις κατηγορίες 2 και 3 του μόνιμου σώματος (με περισσότερους από 1 450 συμμετέχοντες), 34 προγράμματα για διαφορετικές κατηγορίες αξιωματικών (σχεδόν 4 000 συμμετέχοντες) και ένα εκτεταμένο πρόγραμμα βασικής κατάρτισης για 325 υπαλλήλους του μόνιμου σώματος, ενώ οι πτυχές των θεμελιωδών δικαιωμάτων, συμπεριλαμβανομένης της προστασίας των δεδομένων, παρέμειναν κεντρικά στοιχεία των προγραμμάτων κατάρτισης· σημειώνει περαιτέρω την υιοθέτηση του «Χάρτη για την πολυμορφία και την ένταξη» και την ποικιλία των μέτρων που έχει λάβει ο Οργανισμός για την ένταξη των ατόμων με αναπηρία και για τη βελτίωση της ευεξίας του προσωπικού και της ισορροπίας μεταξύ επαγγελματικής και ιδιωτικής ζωής·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39.</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με ανησυχία τα στοιχεία που έδωσε η Ευρωπαία </w:t>
      </w:r>
      <w:proofErr w:type="spellStart"/>
      <w:r w:rsidR="003267B2" w:rsidRPr="00FD2974">
        <w:rPr>
          <w:rFonts w:ascii="Times New Roman" w:hAnsi="Times New Roman"/>
          <w:lang w:val="el-GR"/>
        </w:rPr>
        <w:t>Διαμεσολαβήτρια</w:t>
      </w:r>
      <w:proofErr w:type="spellEnd"/>
      <w:r w:rsidR="003267B2" w:rsidRPr="00FD2974">
        <w:rPr>
          <w:rFonts w:ascii="Times New Roman" w:hAnsi="Times New Roman"/>
          <w:lang w:val="el-GR"/>
        </w:rPr>
        <w:t xml:space="preserve"> σχετικά με τους υπαλλήλους του μόνιμου σώματος του Οργανισμού που άσκησαν καθήκοντα επιφυλακής πριν από τις 5 Οκτωβρίου 2022, υπηρεσία για την οποία δεν έλαβαν καμία χρηματική αποζημίωση· εκφράζει την ανησυχία του, σε αυτό το πλαίσιο, για το γεγονός ότι, λόγω της έλλειψης πρόσθετων πληροφοριών και κατάλληλων ερευνών, η </w:t>
      </w:r>
      <w:proofErr w:type="spellStart"/>
      <w:r w:rsidR="003267B2" w:rsidRPr="00FD2974">
        <w:rPr>
          <w:rFonts w:ascii="Times New Roman" w:hAnsi="Times New Roman"/>
          <w:lang w:val="el-GR"/>
        </w:rPr>
        <w:t>Διαμεσολαβήτρια</w:t>
      </w:r>
      <w:proofErr w:type="spellEnd"/>
      <w:r w:rsidR="003267B2" w:rsidRPr="00FD2974">
        <w:rPr>
          <w:rFonts w:ascii="Times New Roman" w:hAnsi="Times New Roman"/>
          <w:lang w:val="el-GR"/>
        </w:rPr>
        <w:t xml:space="preserve"> κατέληξε στο συμπέρασμα ότι παραμένει ασαφές για ποιον λόγο ο Οργανισμός θεωρεί ότι δεν υπάρχει νομική βάση για την καταβολή των απαιτούμενων πληρωμών· παροτρύνει τον Οργανισμό να συστήσει ειδική ομάδα με σκοπό τη συλλογή και την επαλήθευση όλων των δηλώσεων σχετικά με τις υπηρεσίες επιφυλακής που εκτελέστηκαν πριν από τις 5 Οκτωβρίου 2022 και να τηρεί ενήμερη την αρμόδια για την απαλλαγή αρχή σχετικά με την επιτευχθείσα πρόοδο στο θέμα αυτό·</w:t>
      </w:r>
    </w:p>
    <w:p w:rsidR="003267B2" w:rsidRPr="00FD2974" w:rsidRDefault="00A61754" w:rsidP="00A61754">
      <w:pPr>
        <w:pStyle w:val="NormalHanging12a"/>
        <w:ind w:hanging="570"/>
      </w:pPr>
      <w:r w:rsidRPr="00FD2974">
        <w:t>40.</w:t>
      </w:r>
      <w:r w:rsidRPr="00FD2974">
        <w:tab/>
      </w:r>
      <w:r w:rsidR="003267B2" w:rsidRPr="00FD2974">
        <w:t xml:space="preserve">εκφράζει την ικανοποίησή του για τα μέτρα που έλαβε ο Οργανισμός με στόχο την υλοποίηση μιας μεταβατικής διαδικασίας για τη βελτίωση της νοοτροπίας διαχείρισης και την προώθηση της ευεξίας του προσωπικού· καλεί τη νέα διοίκηση να συνεχίσει να συμμετέχει στη ριζική μεταρρύθμιση της </w:t>
      </w:r>
      <w:proofErr w:type="spellStart"/>
      <w:r w:rsidR="003267B2" w:rsidRPr="00FD2974">
        <w:t>οργανωσιακής</w:t>
      </w:r>
      <w:proofErr w:type="spellEnd"/>
      <w:r w:rsidR="003267B2" w:rsidRPr="00FD2974">
        <w:t xml:space="preserve"> νοοτροπίας του Οργανισμού·</w:t>
      </w:r>
    </w:p>
    <w:p w:rsidR="003267B2" w:rsidRPr="00FD2974" w:rsidRDefault="003267B2" w:rsidP="003267B2">
      <w:pPr>
        <w:pStyle w:val="Normal12Hanging"/>
        <w:mirrorIndents/>
        <w:rPr>
          <w:rFonts w:ascii="Times New Roman" w:hAnsi="Times New Roman" w:cs="Times New Roman"/>
          <w:b/>
          <w:i/>
          <w:lang w:val="el-GR"/>
        </w:rPr>
      </w:pPr>
      <w:r w:rsidRPr="00FD2974">
        <w:rPr>
          <w:rFonts w:ascii="Times New Roman" w:hAnsi="Times New Roman"/>
          <w:b/>
          <w:i/>
          <w:lang w:val="el-GR"/>
        </w:rPr>
        <w:t>Δημόσιες συμβάσεις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41.</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με βάση την έκθεση του Ελεγκτικού Συνεδρίου, την παρατήρηση σχετικά με την αύξηση (μέσω τεσσάρων τροποποιήσεων, από 79 000 EUR σε 502 900 EUR) της αξίας μιας σύμβασης πέραν του ορίου (50 %) που επιτρέπεται βάσει του δημοσιονομικού κανονισμού (άρθρο 172 παράγραφος 3 στοιχείο α) σημείο </w:t>
      </w:r>
      <w:proofErr w:type="spellStart"/>
      <w:r w:rsidR="003267B2" w:rsidRPr="00FD2974">
        <w:rPr>
          <w:rFonts w:ascii="Times New Roman" w:hAnsi="Times New Roman"/>
          <w:lang w:val="el-GR"/>
        </w:rPr>
        <w:t>iii</w:t>
      </w:r>
      <w:proofErr w:type="spellEnd"/>
      <w:r w:rsidR="003267B2" w:rsidRPr="00FD2974">
        <w:rPr>
          <w:rFonts w:ascii="Times New Roman" w:hAnsi="Times New Roman"/>
          <w:lang w:val="el-GR"/>
        </w:rPr>
        <w:t>))· σημειώνει ότι η εν λόγω αύξηση οδήγησε σε πληρωμές, εκ των οποίων πληρωμές ύψους 384 000 EUR ήταν παράτυπες· αναγνωρίζει, στο πλαίσιο αυτό, με βάση την απάντηση του Οργανισμού, ότι, προκειμένου να μην καθυστερήσουν προσλήψεις μελών του μόνιμου σώματος, κρίθηκαν απαραίτητες εξαιρέσεις από τους κανόνες, οι οποίες καταχωρίστηκαν στο μητρώο εξαιρέσεων και περιπτώσεων μη συμμόρφωσης του Οργανισμού·</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42.</w:t>
      </w:r>
      <w:r w:rsidRPr="00FD2974">
        <w:rPr>
          <w:rFonts w:ascii="Times New Roman" w:hAnsi="Times New Roman" w:cs="Times New Roman"/>
          <w:lang w:val="el-GR"/>
        </w:rPr>
        <w:tab/>
      </w:r>
      <w:r w:rsidR="003267B2" w:rsidRPr="00FD2974">
        <w:rPr>
          <w:rFonts w:ascii="Times New Roman" w:hAnsi="Times New Roman"/>
          <w:lang w:val="el-GR"/>
        </w:rPr>
        <w:t>σημειώνει ότι το 2022 ο Οργανισμός προκήρυξε 53 ανοικτές διαδικασίες υποβολής προσφορών, εκ των οποίων οι 20 κατέληξαν στην υπογραφή συμβάσεων συνολικής αξίας 140,5 εκατομμυρίων EUR και 25 διαδικασίες, για συμβάσεις εκτιμώμενης αξίας 486,51 εκατομμυρίων EUR, βρίσκονται ακόμα σε εξέλιξη· σημειώνει ακόμη ότι ο Οργανισμός διαχειρίστηκε 33 διαδικασίες χαμηλής και μεσαίας αξίας (που αποτέλεσαν αντικείμενο διαπραγμάτευσης με τρεις και πέντε υποψηφίους) συνολικής αξίας 3,4 εκατομμυρίων EUR, και ότι από τις 33 διαδικασίες οι 20 κατέληξαν, το 2022, στην υπογραφή συμβάσεων συνολικής αξίας 2,03 εκατομμυρίων EUR, ενώ τέσσερις, συνολικής αξίας 524 000 EUR, βρίσκονται ακόμα σε εξέλιξη· σημειώνει ακόμη ότι το 2022 ο Οργανισμός διαχειρίστηκε 228 διαδικασίες πολύ χαμηλής αξίας (που αποτέλεσαν αντικείμενο διαπραγμάτευσης με έναν υποψήφιο), συνολικής αξίας 1,62 εκατομμυρίου EUR· σημειώνει τέλος ότι το 2022 τέθηκαν υπό διαχείριση 1 116 διαδικασίες βάσει υφιστάμενων συμβάσεων-πλαισίων συνολικής αξίας 188,9 εκατομμυρίων EUR, εκ των οποίων οι 983 κατέληξαν στην υπογραφή ειδικών συμβάσεων ή δελτίων παραγγελίας, συνολικής αξίας 153,4 εκατομμυρίων EUR, ενώ 32, συνολικής αξίας 16,6 εκατομμυρίων EUR, βρίσκονται ακόμα σε εξέλιξη· παρατηρεί μείωση κατά περίπου 15 % της συνολικής αξίας των διαδικασιών σύναψης συμβάσεων που ολοκληρώθηκαν, από 406,9 εκατομμύρια EUR το 2021 σε 348,5 εκατομμύρια EUR το 2022·</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43.</w:t>
      </w:r>
      <w:r w:rsidRPr="00FD2974">
        <w:rPr>
          <w:rFonts w:ascii="Times New Roman" w:hAnsi="Times New Roman" w:cs="Times New Roman"/>
          <w:lang w:val="el-GR"/>
        </w:rPr>
        <w:tab/>
      </w:r>
      <w:r w:rsidR="003267B2" w:rsidRPr="00FD2974">
        <w:rPr>
          <w:rFonts w:ascii="Times New Roman" w:hAnsi="Times New Roman"/>
          <w:lang w:val="el-GR"/>
        </w:rPr>
        <w:t xml:space="preserve">επικροτεί τις προσπάθειες που κατέβαλε ο Οργανισμός το 2022 για την εξασφάλιση συμβάσεων στρατηγικής σημασίας σε τομείς που κυμαίνονται από την παροχή υπηρεσιών προσωρινής στελέχωσης έως την παροχή υπηρεσιών για συστήματα γεωγραφικών πληροφοριών, </w:t>
      </w:r>
      <w:proofErr w:type="spellStart"/>
      <w:r w:rsidR="003267B2" w:rsidRPr="00FD2974">
        <w:rPr>
          <w:rFonts w:ascii="Times New Roman" w:hAnsi="Times New Roman"/>
          <w:lang w:val="el-GR"/>
        </w:rPr>
        <w:t>γεωδιαστημικές</w:t>
      </w:r>
      <w:proofErr w:type="spellEnd"/>
      <w:r w:rsidR="003267B2" w:rsidRPr="00FD2974">
        <w:rPr>
          <w:rFonts w:ascii="Times New Roman" w:hAnsi="Times New Roman"/>
          <w:lang w:val="el-GR"/>
        </w:rPr>
        <w:t xml:space="preserve"> πληροφορίες και πληροφορίες από εικόνες· επισημαίνει ότι σημειώθηκε σημαντική πρόοδος σε σχέση με κρίσιμες διαδικασίες σύναψης συμβάσεων για σημαντικά χρηματικά ποσά όσον αφορά τις μόνιμες εγκαταστάσεις του Οργανισμού (140 εκατομμύρια EUR), την παροχή υπηρεσιών σχετικών με τα ταξίδια (666 εκατομμύρια EUR) και υπηρεσίες σχετικές με υποδομές και λογισμικό (32 εκατομμύρια EUR)·</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44.</w:t>
      </w:r>
      <w:r w:rsidRPr="00FD2974">
        <w:rPr>
          <w:rFonts w:ascii="Times New Roman" w:hAnsi="Times New Roman" w:cs="Times New Roman"/>
          <w:lang w:val="el-GR"/>
        </w:rPr>
        <w:tab/>
      </w:r>
      <w:r w:rsidR="003267B2" w:rsidRPr="00FD2974">
        <w:rPr>
          <w:rFonts w:ascii="Times New Roman" w:hAnsi="Times New Roman"/>
          <w:lang w:val="el-GR"/>
        </w:rPr>
        <w:t>σημειώνει ότι ο Οργανισμός ανέφερε ότι βελτίωσε τον σχεδιασμό και την παρακολούθηση του ετήσιου σχεδίου προμηθειών· καλεί την Υπηρεσία Εσωτερικού Λογιστικού Ελέγχου (IAS) να συμπεριλάβει το σχέδιο αυτό στους μελλοντικούς ελέγχους της·</w:t>
      </w:r>
    </w:p>
    <w:p w:rsidR="003267B2" w:rsidRPr="00FD2974" w:rsidRDefault="003267B2" w:rsidP="003267B2">
      <w:pPr>
        <w:pStyle w:val="NormalHanging12a"/>
        <w:widowControl/>
        <w:ind w:left="0" w:firstLine="0"/>
        <w:mirrorIndents/>
        <w:rPr>
          <w:b/>
          <w:i/>
          <w:szCs w:val="24"/>
        </w:rPr>
      </w:pPr>
      <w:r w:rsidRPr="00FD2974">
        <w:rPr>
          <w:b/>
          <w:i/>
        </w:rPr>
        <w:t>Πρόληψη και διαχείριση συγκρούσεων συμφερόντων και διαφάνεια</w:t>
      </w:r>
    </w:p>
    <w:p w:rsidR="003267B2" w:rsidRPr="00FD2974" w:rsidRDefault="00A61754" w:rsidP="00A61754">
      <w:pPr>
        <w:pStyle w:val="NormalHanging12a"/>
        <w:ind w:hanging="573"/>
      </w:pPr>
      <w:r w:rsidRPr="00FD2974">
        <w:t>45.</w:t>
      </w:r>
      <w:r w:rsidRPr="00FD2974">
        <w:tab/>
      </w:r>
      <w:r w:rsidR="003267B2" w:rsidRPr="00FD2974">
        <w:t>σημειώνει με ικανοποίηση ότι τα βιογραφικά σημειώματα και οι δηλώσεις συμφερόντων των μελών του ΔΣ και της εκτελεστικής διοίκησης του Οργανισμού δημοσιεύονται στον ιστότοπο του Οργανισμού· σημειώνει περαιτέρω ότι το 2022 διεκπεραιώθηκαν πέντε υποθέσεις καταγγελίας δυσλειτουργιών, εκ των οποίων τρεις περατώθηκαν ή έκλεισαν κατά το στάδιο της προκαταρκτικής αξιολόγησης και δύο υποθέσεις βρίσκονται επί του παρόντος υπό έρευνα της OLAF· καλεί τους ενδιαφερόμενους και τον Οργανισμό να διασφαλίσουν πλήρη συνεργασία με την OLAF κατά τη διάρκεια της έρευνας· σημειώνει, τέλος, ότι το 2022 δεν διερευνήθηκαν περιπτώσεις σύγκρουσης συμφερόντων·</w:t>
      </w:r>
    </w:p>
    <w:p w:rsidR="003267B2" w:rsidRPr="00FD2974" w:rsidRDefault="00A61754" w:rsidP="00A61754">
      <w:pPr>
        <w:pStyle w:val="NormalHanging12a"/>
        <w:ind w:hanging="573"/>
      </w:pPr>
      <w:r w:rsidRPr="00FD2974">
        <w:t>46.</w:t>
      </w:r>
      <w:r w:rsidRPr="00FD2974">
        <w:tab/>
      </w:r>
      <w:r w:rsidR="003267B2" w:rsidRPr="00FD2974">
        <w:t>σημειώνει, με βάση την απάντηση του Οργανισμού στις γραπτές ερωτήσεις του Κοινοβουλίου, ότι ο Οργανισμός εκπονεί πολιτική για την παρακολούθηση της συμμόρφωσης νυν και πρώην ανώτερων στελεχών του Οργανισμού όσον αφορά καταστάσεις μεταπήδησης στον ιδιωτικό τομέα· καλεί τον Οργανισμό να τηρεί ενήμερη την αρμόδια για την απαλλαγή αρχή σχετικά με την πρόοδο στο ζήτημα αυτό· επαναλαμβάνει την έκκλησή του προς τον Οργανισμό να θεσπίσει επίσης για τα μέλη του οικείου ΔΣ αρχές, διαδικασίες και ειδικούς μηχανισμούς για την αντιμετώπιση των συγκρούσεων συμφερόντων των εν λόγω μελών και των καταστάσεων μεταπήδησης στον ιδιωτικό τομέα·</w:t>
      </w:r>
    </w:p>
    <w:p w:rsidR="003267B2" w:rsidRPr="00FD2974" w:rsidRDefault="00A61754" w:rsidP="00A61754">
      <w:pPr>
        <w:pStyle w:val="NormalHanging12a"/>
        <w:widowControl/>
        <w:ind w:hanging="573"/>
        <w:mirrorIndents/>
        <w:rPr>
          <w:szCs w:val="24"/>
        </w:rPr>
      </w:pPr>
      <w:r w:rsidRPr="00FD2974">
        <w:rPr>
          <w:szCs w:val="24"/>
        </w:rPr>
        <w:t>47.</w:t>
      </w:r>
      <w:r w:rsidRPr="00FD2974">
        <w:rPr>
          <w:szCs w:val="24"/>
        </w:rPr>
        <w:tab/>
      </w:r>
      <w:r w:rsidR="003267B2" w:rsidRPr="00FD2974">
        <w:t xml:space="preserve">σημειώνει την απάντηση στην αρμόδια για την απαλλαγή αρχή, όπου παρέχονται πληροφορίες σχετικά με τις επαφές και τις συνεδριάσεις που καταχωρίστηκαν και τεκμηριώθηκαν στο Μητρώο Διαφάνειας του Οργανισμού το 2022· σημειώνει τις διάφορες συνεδριάσεις του Οργανισμού (Ημέρες Βιομηχανίας) που έδωσαν σε εταιρείες της βιομηχανίας την ευκαιρία να παρουσιάσουν τα προϊόντα και τις υπηρεσίες τους που μπορούν να στηρίξουν τις δραστηριότητες διαχείρισης των συνόρων και να ενθαρρύνουν τον διάλογο μεταξύ της κοινότητας της Ευρωπαϊκής </w:t>
      </w:r>
      <w:proofErr w:type="spellStart"/>
      <w:r w:rsidR="003267B2" w:rsidRPr="00FD2974">
        <w:t>Συνοριοφυλακής</w:t>
      </w:r>
      <w:proofErr w:type="spellEnd"/>
      <w:r w:rsidR="003267B2" w:rsidRPr="00FD2974">
        <w:t xml:space="preserve"> και Ακτοφυλακής και της βιομηχανίας· σημειώνει ότι, στο πλαίσιο των Ημερών Βιομηχανίας για το 2022, ο Οργανισμός έλαβε 277 αιτήσεις για λύσεις, κάλεσε 88 εταιρείες να επιδείξουν τις τεχνολογίες τους και διοργάνωσε διαδικτυακές συνεδρίες όπου ανταλλάχθηκαν πληροφορίες σχετικά με 175 λύσεις· εκφράζει την ικανοποίησή του για το γεγονός ότι ο κατάλογος των συμμετεχουσών εταιρειών έχει δημοσιευτεί στον ιστότοπο του Οργανισμού·</w:t>
      </w:r>
    </w:p>
    <w:p w:rsidR="003267B2" w:rsidRPr="00FD2974" w:rsidRDefault="00A61754" w:rsidP="00A61754">
      <w:pPr>
        <w:pStyle w:val="NormalHanging12a"/>
        <w:ind w:hanging="573"/>
      </w:pPr>
      <w:r w:rsidRPr="00FD2974">
        <w:t>48.</w:t>
      </w:r>
      <w:r w:rsidRPr="00FD2974">
        <w:tab/>
      </w:r>
      <w:r w:rsidR="003267B2" w:rsidRPr="00FD2974">
        <w:t xml:space="preserve">σημειώνει, με βάση την ενοποιημένη ετήσια έκθεση δραστηριοτήτων του Οργανισμού, ότι η υπηρεσία διαφάνειας του Οργανισμού διεκπεραίωσε σημαντικά υψηλότερο αριθμό αιτήσεων (469) για πρόσβαση του κοινού σε έγγραφα, που σημειώνει αύξηση κατά σχεδόν 34 % σε ετήσια βάση· σημειώνει περαιτέρω ότι το 2022 δημιουργήθηκε ο </w:t>
      </w:r>
      <w:proofErr w:type="spellStart"/>
      <w:r w:rsidR="003267B2" w:rsidRPr="00FD2974">
        <w:t>ιστότοπος</w:t>
      </w:r>
      <w:proofErr w:type="spellEnd"/>
      <w:r w:rsidR="003267B2" w:rsidRPr="00FD2974">
        <w:t xml:space="preserve"> του δημόσιου μητρώου εγγράφων του Οργανισμού και </w:t>
      </w:r>
      <w:proofErr w:type="spellStart"/>
      <w:r w:rsidR="003267B2" w:rsidRPr="00FD2974">
        <w:t>αναφορτώθηκαν</w:t>
      </w:r>
      <w:proofErr w:type="spellEnd"/>
      <w:r w:rsidR="003267B2" w:rsidRPr="00FD2974">
        <w:t xml:space="preserve"> περίπου 1 900 βασικά έγγραφα· σημειώνει ότι η Ευρωπαία </w:t>
      </w:r>
      <w:proofErr w:type="spellStart"/>
      <w:r w:rsidR="003267B2" w:rsidRPr="00FD2974">
        <w:t>Διαμεσολαβήτρια</w:t>
      </w:r>
      <w:proofErr w:type="spellEnd"/>
      <w:r w:rsidR="003267B2" w:rsidRPr="00FD2974">
        <w:t xml:space="preserve">, με βάση την αυτεπάγγελτη έρευνα που διενήργησε (υπόθεση OI/2022/PB), κατέληξε στο συμπέρασμα ότι ο Οργανισμός καθυστερεί συστηματικά να διεκπεραιώσει αιτήματα πρόσβασης του κοινού σε έγγραφα, ιδίως όταν πρόκειται για μεγάλο αριθμό εγγράφων και σε περίπτωση που ο Οργανισμός θεωρεί ότι το αίτημα είναι ασαφές, και ότι αυτό συνιστά κακοδιοίκηση· εκφράζει τη λύπη του για το γεγονός ότι ο Οργανισμός δεν αποδέχθηκε τη σύσταση της </w:t>
      </w:r>
      <w:proofErr w:type="spellStart"/>
      <w:r w:rsidR="003267B2" w:rsidRPr="00FD2974">
        <w:t>Διαμεσολαβήτριας</w:t>
      </w:r>
      <w:proofErr w:type="spellEnd"/>
      <w:r w:rsidR="003267B2" w:rsidRPr="00FD2974">
        <w:t xml:space="preserve"> και καλεί τον Οργανισμό να αρχίσει να διεκπεραιώνει τα αιτήματα πρόσβασης του κοινού σε έγγραφα ταχύτερα και με μεγαλύτερη διαφάνεια ως ζήτημα προτεραιότητας·</w:t>
      </w:r>
    </w:p>
    <w:p w:rsidR="003267B2" w:rsidRPr="00FD2974" w:rsidRDefault="00A61754" w:rsidP="00A61754">
      <w:pPr>
        <w:spacing w:after="240"/>
        <w:ind w:left="567" w:hanging="573"/>
        <w:mirrorIndents/>
      </w:pPr>
      <w:r w:rsidRPr="00FD2974">
        <w:t>49.</w:t>
      </w:r>
      <w:r w:rsidRPr="00FD2974">
        <w:tab/>
      </w:r>
      <w:r w:rsidR="003267B2" w:rsidRPr="00FD2974">
        <w:t>αναγνωρίζει το γενικό τεκμήριο της μη δημοσιοποίησης της δημόσιας πρόσβασης σε έγγραφα που αφορούν εν εξελίξει έρευνες της OLAF</w:t>
      </w:r>
      <w:r w:rsidR="003267B2" w:rsidRPr="00FD2974">
        <w:rPr>
          <w:rStyle w:val="FootnoteReference"/>
        </w:rPr>
        <w:footnoteReference w:id="12"/>
      </w:r>
      <w:r w:rsidR="003267B2" w:rsidRPr="00FD2974">
        <w:t xml:space="preserve">· επαναλαμβάνει, ωστόσο, την έκκλησή του να δημοσιοποιούνται οι εκθέσεις της OLAF σχετικά με τον Οργανισμό σε περιπτώσεις που η δημοσιοποίηση ενέχει υπερισχύον δημόσιο συμφέρον και, σε κάθε περίπτωση, να παρέχεται στους αρμόδιους βουλευτές του Κοινοβουλίου πρόσβαση στις εν λόγω εκθέσεις εντός εύλογου χρονικού διαστήματος, ώστε να μπορούν να ασκούν αποτελεσματικά δημοκρατικό έλεγχο και να καθιστούν τον Οργανισμό υπόλογο για τις ενέργειές του· πιστεύει ότι οι ισχύοντες κανόνες πρέπει να αναθεωρηθούν προκειμένου να διασφαλιστεί ότι το Κοινοβούλιο ενημερώνεται πλήρως στο πλαίσιο του ρόλου του ως φορέα χάραξης πολιτικής και </w:t>
      </w:r>
      <w:proofErr w:type="spellStart"/>
      <w:r w:rsidR="003267B2" w:rsidRPr="00FD2974">
        <w:t>συννομοθέτη</w:t>
      </w:r>
      <w:proofErr w:type="spellEnd"/>
      <w:r w:rsidR="003267B2" w:rsidRPr="00FD2974">
        <w:t>, ιδίως όσον αφορά τις δημοσιονομικές εξουσίες του·</w:t>
      </w:r>
    </w:p>
    <w:p w:rsidR="003267B2" w:rsidRPr="00FD2974" w:rsidRDefault="00A61754" w:rsidP="00A61754">
      <w:pPr>
        <w:pStyle w:val="NormalHanging12a"/>
        <w:ind w:hanging="573"/>
      </w:pPr>
      <w:r w:rsidRPr="00FD2974">
        <w:t>50.</w:t>
      </w:r>
      <w:r w:rsidRPr="00FD2974">
        <w:tab/>
      </w:r>
      <w:r w:rsidR="003267B2" w:rsidRPr="00FD2974">
        <w:t xml:space="preserve">σημειώνει την έρευνα της </w:t>
      </w:r>
      <w:proofErr w:type="spellStart"/>
      <w:r w:rsidR="003267B2" w:rsidRPr="00FD2974">
        <w:t>Διαμεσολαβήτριας</w:t>
      </w:r>
      <w:proofErr w:type="spellEnd"/>
      <w:r w:rsidR="003267B2" w:rsidRPr="00FD2974">
        <w:t xml:space="preserve"> σχετικά με την άρνηση του Οργανισμού να παράσχει στο κοινό πρόσβαση στην έκθεση του υπευθύνου θεμελιωδών δικαιωμάτων του σχετικά με επιχείρηση του Οργανισμού στην Αλβανία (υπόθεση 652/2023/VB)</w:t>
      </w:r>
      <w:r w:rsidR="003267B2" w:rsidRPr="00FD2974">
        <w:rPr>
          <w:rStyle w:val="FootnoteReference"/>
        </w:rPr>
        <w:footnoteReference w:id="13"/>
      </w:r>
      <w:r w:rsidR="003267B2" w:rsidRPr="00FD2974">
        <w:t>·</w:t>
      </w:r>
    </w:p>
    <w:p w:rsidR="003267B2" w:rsidRPr="00FD2974" w:rsidRDefault="00A61754" w:rsidP="00A61754">
      <w:pPr>
        <w:pStyle w:val="NormalHanging12a"/>
        <w:widowControl/>
        <w:ind w:hanging="573"/>
        <w:mirrorIndents/>
        <w:rPr>
          <w:szCs w:val="24"/>
        </w:rPr>
      </w:pPr>
      <w:r w:rsidRPr="00FD2974">
        <w:rPr>
          <w:szCs w:val="24"/>
        </w:rPr>
        <w:t>51.</w:t>
      </w:r>
      <w:r w:rsidRPr="00FD2974">
        <w:rPr>
          <w:szCs w:val="24"/>
        </w:rPr>
        <w:tab/>
      </w:r>
      <w:r w:rsidR="003267B2" w:rsidRPr="00FD2974">
        <w:rPr>
          <w:color w:val="1E1E1F"/>
          <w:shd w:val="clear" w:color="auto" w:fill="FFFFFF"/>
        </w:rPr>
        <w:t xml:space="preserve">υπενθυμίζει την απόφαση της Ευρωπαίας </w:t>
      </w:r>
      <w:proofErr w:type="spellStart"/>
      <w:r w:rsidR="003267B2" w:rsidRPr="00FD2974">
        <w:rPr>
          <w:color w:val="1E1E1F"/>
          <w:shd w:val="clear" w:color="auto" w:fill="FFFFFF"/>
        </w:rPr>
        <w:t>Διαμεσολαβήτριας</w:t>
      </w:r>
      <w:proofErr w:type="spellEnd"/>
      <w:r w:rsidR="003267B2" w:rsidRPr="00FD2974">
        <w:rPr>
          <w:color w:val="1E1E1F"/>
          <w:shd w:val="clear" w:color="auto" w:fill="FFFFFF"/>
        </w:rPr>
        <w:t xml:space="preserve"> στο πλαίσιο της αυτεπάγγελτης έρευνας (υπόθεση OI/4/2021/MHZ) σχετικά με τη συμμόρφωση του Οργανισμού με τις υποχρεώσεις του στον τομέα των θεμελιωδών δικαιωμάτων· υπενθυμίζει, στο πλαίσιο αυτό, </w:t>
      </w:r>
      <w:r w:rsidR="003267B2" w:rsidRPr="00FD2974">
        <w:t xml:space="preserve">ότι ο Οργανισμός έχει την υποχρέωση να εξασφαλίζει με δική του πρωτοβουλία διαφάνεια, όπως αναφέρεται στο άρθρο 114 παράγραφος 2 του κανονισμού (ΕΕ) 2019/1896· </w:t>
      </w:r>
      <w:r w:rsidR="003267B2" w:rsidRPr="00FD2974">
        <w:rPr>
          <w:color w:val="1E1E1F"/>
          <w:shd w:val="clear" w:color="auto" w:fill="FFFFFF"/>
        </w:rPr>
        <w:t xml:space="preserve">καλεί τον Οργανισμό να ολοκληρώσει την εφαρμογή όλων των συστάσεων της </w:t>
      </w:r>
      <w:proofErr w:type="spellStart"/>
      <w:r w:rsidR="003267B2" w:rsidRPr="00FD2974">
        <w:rPr>
          <w:color w:val="1E1E1F"/>
          <w:shd w:val="clear" w:color="auto" w:fill="FFFFFF"/>
        </w:rPr>
        <w:t>Διαμεσολαβήτριας</w:t>
      </w:r>
      <w:proofErr w:type="spellEnd"/>
      <w:r w:rsidR="003267B2" w:rsidRPr="00FD2974">
        <w:rPr>
          <w:color w:val="1E1E1F"/>
          <w:shd w:val="clear" w:color="auto" w:fill="FFFFFF"/>
        </w:rPr>
        <w:t>· σημειώνει, με βάση την έκθεση παρακολούθησης του Οργανισμού, ότι συνεχίζονται οι εργασίες για την ενοποίηση των τριών κωδίκων δεοντολογίας (δύο που διέπουν επιχειρησιακούς τομείς και ένας εφαρμοστέος για ολόκληρο το προσωπικό του Οργανισμού) σε έναν κώδικα δεοντολογίας που καλύπτει τις ειδικές διατάξεις για τους επιχειρησιακούς τομείς· ζητεί από τον Οργανισμό να τηρεί ενήμερη την αρμόδια για την απαλλαγή αρχή σχετικά με την πρόοδο στο ζήτημα αυτό·</w:t>
      </w:r>
    </w:p>
    <w:p w:rsidR="003267B2" w:rsidRPr="00FD2974" w:rsidRDefault="00A61754" w:rsidP="00A61754">
      <w:pPr>
        <w:pStyle w:val="NormalHanging12a"/>
        <w:ind w:hanging="573"/>
      </w:pPr>
      <w:r w:rsidRPr="00FD2974">
        <w:t>52.</w:t>
      </w:r>
      <w:r w:rsidRPr="00FD2974">
        <w:tab/>
      </w:r>
      <w:r w:rsidR="003267B2" w:rsidRPr="00FD2974">
        <w:t>λαμβάνει υπόψη το από 27ης Ιουνίου 2022 ενημερωτικό σημείωμα του Οργανισμού σχετικά με τις δράσεις που ανέλαβε η διοίκηση του Οργανισμού κατά τη διάρκεια της μεταβατικής περιόδου, και δη τις</w:t>
      </w:r>
      <w:bookmarkStart w:id="8" w:name="_GoBack"/>
      <w:bookmarkEnd w:id="8"/>
      <w:r w:rsidR="003267B2" w:rsidRPr="00FD2974">
        <w:t xml:space="preserve"> προσπάθειες να ενισχυθούν οι διαδικασίες που απαιτούνται για τη χρηστή διακυβέρνηση και τη λογοδοσία στον οργανισμό, με την ενίσχυση της διαφάνειας, της προορατικής επικοινωνίας και της συνεργασίας με εσωτερικούς και εξωτερικούς ενδιαφερόμενους φορείς· επικροτεί την πρωτοβουλία του Οργανισμού για επιχειρησιακή σύντομη ενημέρωση του κοινού σχετικά με τις επιχειρησιακές του δραστηριότητες με ολοκληρωμένο τρόπο· καλεί τη νέα ηγεσία να προβεί σε μεταρρυθμίσεις που είναι απαραίτητες όσον αφορά τη διαφάνεια και την αποτελεσματικότητα των εσωτερικών διαδικασιών, και να ενισχύσει τη λογοδοσία έναντι του Κοινοβουλίου και του Συμβουλίου σύμφωνα με το ισχύον νομικό πλαίσιο·</w:t>
      </w:r>
    </w:p>
    <w:p w:rsidR="003267B2" w:rsidRPr="00FD2974" w:rsidRDefault="003267B2" w:rsidP="003267B2">
      <w:pPr>
        <w:pStyle w:val="Normal12Hanging"/>
        <w:ind w:left="0" w:firstLine="0"/>
        <w:mirrorIndents/>
        <w:rPr>
          <w:rFonts w:ascii="Times New Roman" w:hAnsi="Times New Roman" w:cs="Times New Roman"/>
          <w:b/>
          <w:i/>
          <w:lang w:val="el-GR"/>
        </w:rPr>
      </w:pPr>
      <w:r w:rsidRPr="00FD2974">
        <w:rPr>
          <w:rFonts w:ascii="Times New Roman" w:hAnsi="Times New Roman"/>
          <w:b/>
          <w:i/>
          <w:lang w:val="el-GR"/>
        </w:rPr>
        <w:t>Εσωτερικοί έλεγχοι</w:t>
      </w:r>
    </w:p>
    <w:p w:rsidR="003267B2" w:rsidRPr="00FD2974" w:rsidRDefault="00A61754" w:rsidP="00A61754">
      <w:pPr>
        <w:pStyle w:val="NormalHanging12a"/>
        <w:ind w:hanging="570"/>
      </w:pPr>
      <w:r w:rsidRPr="00FD2974">
        <w:t>53.</w:t>
      </w:r>
      <w:r w:rsidRPr="00FD2974">
        <w:tab/>
      </w:r>
      <w:r w:rsidR="003267B2" w:rsidRPr="00FD2974">
        <w:t xml:space="preserve">εκφράζει την ικανοποίησή του για την απόφαση του Οργανισμού να εκδίδει, σε βελτιωμένη μορφή, τριμηνιαία έκθεση προς την FSWG, η οποία θα καλύπτει την κατάσταση προόδου σχετικά με την εφαρμογή των συστάσεων που έχουν διατυπώσει διάφοροι φορείς ελέγχου· βεβαιώνει την παραλαβή της εν λόγω έκθεσης για το τρίτο τρίμηνο του 2023 (εφεξής η «έκθεση για το τρίτο τρίμηνο του 2023»)· επαινεί, στο πλαίσιο αυτό, τη σημαντική πρόοδο που έχει σημειώσει ο Οργανισμός όσον αφορά την εφαρμογή 36 εκ των 42 συστάσεων της FSWG· σημειώνει, με βάση την έκθεση για το τρίτο τρίμηνο του 2023, τα ποσοστά υλοποίησης των συστάσεων και/ή των απαιτούμενων δράσεων από την FWSG (91 %), τη </w:t>
      </w:r>
      <w:proofErr w:type="spellStart"/>
      <w:r w:rsidR="003267B2" w:rsidRPr="00FD2974">
        <w:t>FRaLO</w:t>
      </w:r>
      <w:proofErr w:type="spellEnd"/>
      <w:r w:rsidR="003267B2" w:rsidRPr="00FD2974">
        <w:t xml:space="preserve"> (87 %), τη </w:t>
      </w:r>
      <w:proofErr w:type="spellStart"/>
      <w:r w:rsidR="003267B2" w:rsidRPr="00FD2974">
        <w:t>Διαμεσολαβήτρια</w:t>
      </w:r>
      <w:proofErr w:type="spellEnd"/>
      <w:r w:rsidR="003267B2" w:rsidRPr="00FD2974">
        <w:t xml:space="preserve"> (79 %) και την OLAF (54 %)· αναγνωρίζει τον ρόλο που διαδραματίζει το Γραφείο Επιθεώρησης και Ελέγχου του Οργανισμού όσον αφορά την παροχή στήριξης για την υλοποίηση των εν λόγω συστάσεων με την επιτέλεση καθηκόντων συνδέσμου και εργασιών συντονισμού· σημειώνει περαιτέρω, με βάση την έκθεση για το τρίτο τρίμηνο του 2023, ότι 10 συστάσεις της IAS (που καλύπτουν συνολικά 32 δράσεις) εξακολουθούν να εκκρεμούν, ενώ 21 δράσεις χαρακτηρίζονται ως πολύ σημαντικές, παρότι καμία από αυτές δεν θεωρείται κρίσιμης σημασίας· επαινεί περαιτέρω την πρόοδο που σημείωσε ο Οργανισμός όσον αφορά την εφαρμογή των υπόλοιπων εκκρεμών συστάσεων που περιλαμβάνονται στις ειδικές εκθέσεις του Ελεγκτικού Συνεδρίου αριθ. 22/2020 (σύσταση 2) και αριθ. 8/2021 (συστάσεις 1, 2 και 4)· επαναλαμβάνει την έκκλησή του στον Οργανισμό να υλοποιήσει πλήρως όλες τις εκκρεμείς συστάσεις και τις σχετικές δράσεις, μεταξύ άλλων όσον αφορά τις σχετικές παρατηρήσεις του Ελεγκτικού Συνεδρίου, οι οποίες περιλαμβάνονται στις ετήσιες εκθέσεις ελέγχου του Ελεγκτικού Συνεδρίου για τα προηγούμενα έτη (2015, 2016, 2018, 2019, 2020 και 2021)· καλεί τον Οργανισμό να συνεχίσει να ενημερώνει τακτικά την αρμόδια για την απαλλαγή αρχή σχετικά με την πρόοδο που σημειώνεται στα ζητήματα αυτά·</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54.</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με ανησυχία, με βάση την έκθεση του Ελεγκτικού Συνεδρίου, σειρά παρατηρήσεων που υποδεικνύουν αδυναμίες στα συστήματα διαχείρισης και εσωτερικού ελέγχου του Οργανισμού στους τομείς της σύναψης συμβάσεων και της διαχείρισης συμβάσεων, των διαδικασιών πρόσληψης και της μεταβίβασης αρμοδιοτήτων σε κύριους </w:t>
      </w:r>
      <w:proofErr w:type="spellStart"/>
      <w:r w:rsidR="003267B2" w:rsidRPr="00FD2974">
        <w:rPr>
          <w:rFonts w:ascii="Times New Roman" w:hAnsi="Times New Roman"/>
          <w:lang w:val="el-GR"/>
        </w:rPr>
        <w:t>διατάκτες</w:t>
      </w:r>
      <w:proofErr w:type="spellEnd"/>
      <w:r w:rsidR="003267B2" w:rsidRPr="00FD2974">
        <w:rPr>
          <w:rFonts w:ascii="Times New Roman" w:hAnsi="Times New Roman"/>
          <w:lang w:val="el-GR"/>
        </w:rPr>
        <w:t>· εκφράζει τη βαθιά του ανησυχία για το γεγονός ότι, για δεύτερο συναπτό έτος, το Ελεγκτικό Συνέδριο διατύπωσε παρατηρήσεις όσον αφορά τη σύναψη σύμβασης για την παροχή ταξιδιωτικών υπηρεσιών, ενώ τα επίμαχα ποσά είναι πολύ σημαντικά· τονίζει ότι είναι εξαιρετικά σημαντικό ο Οργανισμός να τηρεί την αρχή της χρηστής δημοσιονομικής διαχείρισης κατά την εκτέλεση των κονδυλίων της Ένωσης, όπως ορίζεται στον δημοσιονομικό κανονισμό, δεδομένου ότι ο Οργανισμός προΐσταται μεταξύ των αποκεντρωμένων οργανισμών της Ένωσης όσον αφορά τον ετήσιο προϋπολογισμό του Οργανισμού, ο οποίος έχει υπερδιπλασιαστεί από το 2019·</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55.</w:t>
      </w:r>
      <w:r w:rsidRPr="00FD2974">
        <w:rPr>
          <w:rFonts w:ascii="Times New Roman" w:hAnsi="Times New Roman" w:cs="Times New Roman"/>
          <w:lang w:val="el-GR"/>
        </w:rPr>
        <w:tab/>
      </w:r>
      <w:r w:rsidR="003267B2" w:rsidRPr="00FD2974">
        <w:rPr>
          <w:rFonts w:ascii="Times New Roman" w:hAnsi="Times New Roman"/>
          <w:lang w:val="el-GR"/>
        </w:rPr>
        <w:t>σημειώνει με ανησυχία, με βάση το παράρτημα 12 της ενοποιημένης ετήσιας έκθεσης δραστηριοτήτων του Οργανισμού, τις παρατηρήσεις της πρώην προσωρινής εκτελεστικής διευθύντριας (επί του παρόντος αναπληρώτριας εκτελεστικής διευθύντριας για τη διοίκηση του μόνιμου σώματος), σύμφωνα με τις οποίες, όσον αφορά σύμβαση για υπηρεσίες στέγασης και ταξιδιωτικές υπηρεσίες για υπαλλήλους του μόνιμου σώματος, το 2021 εικάζεται ότι υπήρξαν υπερτιμολόγηση, καταβολή πληρωμών χωρίς δικαιολογητικά έγγραφα και μη παροχή συμβατικών υπηρεσιών·</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56.</w:t>
      </w:r>
      <w:r w:rsidRPr="00FD2974">
        <w:rPr>
          <w:rFonts w:ascii="Times New Roman" w:hAnsi="Times New Roman" w:cs="Times New Roman"/>
          <w:lang w:val="el-GR"/>
        </w:rPr>
        <w:tab/>
      </w:r>
      <w:r w:rsidR="003267B2" w:rsidRPr="00FD2974">
        <w:rPr>
          <w:rFonts w:ascii="Times New Roman" w:hAnsi="Times New Roman"/>
          <w:lang w:val="el-GR"/>
        </w:rPr>
        <w:t>σημειώνει, με βάση την έκθεση του Ελεγκτικού Συνεδρίου, την παρατήρηση σχετικά με τον σημαντικό κίνδυνο δήλωσης εξόδων καθ’ υπέρβαση των πραγματικών όσον αφορά τις πληρωμές που πραγματοποιήθηκαν για ταξιδιωτικές υπηρεσίες (σύμβαση-πλαίσιο ύψους 30 εκατομμυρίων EUR), ιδίως για διαμονή, καθώς τα τιμολόγια που εξέδωσε το ταξιδιωτικό πρακτορείο δεν συνοδεύονταν από τα πρωτότυπα τιμολόγια των ξενοδοχείων, αλλά από τιμολόγια που είχε εκδώσει θυγατρική του ταξιδιωτικού πρακτορείου· καλεί τον Οργανισμό να βελτιώσει τους εσωτερικούς ελέγχους του έτσι ώστε τα σχετικά τιμολόγια να εκδίδονται από τον πραγματικό πάροχο της υπηρεσίας·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57.</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επίσης τον κίνδυνο οι πληρωμές που σχετίζονται με τα έξοδα του ταξιδιωτικού πρακτορείου να μην είναι ορθές, διότι στο σύστημα του Οργανισμού με τις πληροφορίες για τη διαχείριση των ταξιδιωτικών εξόδων, δεν γίνεται αντιπαραβολή μεταξύ των πραγματικών εξόδων που εξοφλήθηκαν και των εξόδων του ταξιδιωτικού πρακτορείου, τα οποία αναφέρονται και υποβάλλονται σε επεξεργασία χωριστά από τα έξοδα που καταβάλλονται από το προσωπικό όταν βρίσκεται σε αποστολή· κατανοεί από την απάντηση του Οργανισμού τον λόγο για τον οποίο υπάρχουν αποκλίσεις μεταξύ του </w:t>
      </w:r>
      <w:proofErr w:type="spellStart"/>
      <w:r w:rsidR="003267B2" w:rsidRPr="00FD2974">
        <w:rPr>
          <w:rFonts w:ascii="Times New Roman" w:hAnsi="Times New Roman"/>
          <w:lang w:val="el-GR"/>
        </w:rPr>
        <w:t>MiPS</w:t>
      </w:r>
      <w:proofErr w:type="spellEnd"/>
      <w:r w:rsidR="003267B2" w:rsidRPr="00FD2974">
        <w:rPr>
          <w:rFonts w:ascii="Times New Roman" w:hAnsi="Times New Roman"/>
          <w:lang w:val="el-GR"/>
        </w:rPr>
        <w:t xml:space="preserve"> και του συστήματος λογιστικής σε δεδουλευμένη βάση (ABAC) και αντιλαμβάνεται ότι, κατά τη γνώμη του Οργανισμού, δεν υπάρχει κίνδυνος καταβολής λανθασμένου ποσού·</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58.</w:t>
      </w:r>
      <w:r w:rsidRPr="00FD2974">
        <w:rPr>
          <w:rFonts w:ascii="Times New Roman" w:hAnsi="Times New Roman" w:cs="Times New Roman"/>
          <w:lang w:val="el-GR"/>
        </w:rPr>
        <w:tab/>
      </w:r>
      <w:r w:rsidR="003267B2" w:rsidRPr="00FD2974">
        <w:rPr>
          <w:rFonts w:ascii="Times New Roman" w:hAnsi="Times New Roman"/>
          <w:lang w:val="el-GR"/>
        </w:rPr>
        <w:t xml:space="preserve">σημειώνει ότι, με βάση την έκθεση του Ελεγκτικού Συνεδρίου, για δεύτερο συναπτό έτος, διατυπώνεται παρατήρηση σχετικά με την αδυναμία εσωτερικού ελέγχου του Οργανισμού στον τομέα των διαδικασιών πρόσληψης· σημειώνει, στο πλαίσιο αυτό, ότι το 2022, σε μια διαδικασία πρόσληψης έκτακτων υπαλλήλων, χρησιμοποιήθηκαν ατομικές βαθμολογίες από μέλη της επιτροπής επιλογής, αντί να εφαρμοστεί συναινετική μέθοδος, σύμφωνα με τα προβλεπόμενα στον εσωτερικό κανονισμό του Οργανισμού· εκφράζει τη λύπη του για την επανάληψη αυτής της αδυναμίας, παρά το γεγονός ότι </w:t>
      </w:r>
      <w:r w:rsidR="003267B2" w:rsidRPr="00FD2974">
        <w:rPr>
          <w:rFonts w:ascii="Times New Roman" w:hAnsi="Times New Roman"/>
          <w:shd w:val="clear" w:color="auto" w:fill="FFFFFF"/>
          <w:lang w:val="el-GR"/>
        </w:rPr>
        <w:t xml:space="preserve">τον Ιανουάριο του 2022, ο Οργανισμός ενέκρινε νέους κανόνες εφαρμογής με σαφέστερες οδηγίες προς τα μέλη της επιτροπής επιλογής, με στόχο τη διασφάλιση </w:t>
      </w:r>
      <w:proofErr w:type="spellStart"/>
      <w:r w:rsidR="003267B2" w:rsidRPr="00FD2974">
        <w:rPr>
          <w:rFonts w:ascii="Times New Roman" w:hAnsi="Times New Roman"/>
          <w:shd w:val="clear" w:color="auto" w:fill="FFFFFF"/>
          <w:lang w:val="el-GR"/>
        </w:rPr>
        <w:t>συνεκτικότερης</w:t>
      </w:r>
      <w:proofErr w:type="spellEnd"/>
      <w:r w:rsidR="003267B2" w:rsidRPr="00FD2974">
        <w:rPr>
          <w:rFonts w:ascii="Times New Roman" w:hAnsi="Times New Roman"/>
          <w:shd w:val="clear" w:color="auto" w:fill="FFFFFF"/>
          <w:lang w:val="el-GR"/>
        </w:rPr>
        <w:t xml:space="preserve"> αξιολόγησης και εναρμονισμένων διαδικασιών· επικροτεί τη δέσμευση του Οργανισμού να επεκτείνει στην πρόσληψη έκτακτων υπαλλήλων τους κανόνες σύμφωνα με τους οποίους εξετάζεται μόνο μία τελική έκθεση αξιολόγησης επί της οποίας έχουν συμφωνήσει τα μέλη της επιτροπής επιλογής, χωρίς να λαμβάνονται υπόψη οι ατομικές τους βαθμολογίες·</w:t>
      </w:r>
      <w:r w:rsidR="003267B2" w:rsidRPr="00FD2974">
        <w:rPr>
          <w:rFonts w:ascii="Times New Roman" w:hAnsi="Times New Roman"/>
          <w:lang w:val="el-GR"/>
        </w:rPr>
        <w:t xml:space="preserve"> καλεί τον Οργανισμό να ενισχύσει την εφαρμογή των νέων κανόνων και να εντείνει τους εσωτερικούς ελέγχους του στον τομέα των διαδικασιών πρόσληψης·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59.</w:t>
      </w:r>
      <w:r w:rsidRPr="00FD2974">
        <w:rPr>
          <w:rFonts w:ascii="Times New Roman" w:hAnsi="Times New Roman" w:cs="Times New Roman"/>
          <w:lang w:val="el-GR"/>
        </w:rPr>
        <w:tab/>
      </w:r>
      <w:r w:rsidR="003267B2" w:rsidRPr="00FD2974">
        <w:rPr>
          <w:rFonts w:ascii="Times New Roman" w:hAnsi="Times New Roman"/>
          <w:lang w:val="el-GR"/>
        </w:rPr>
        <w:t>σημειώνει την αξιολόγηση του συστήματος εσωτερικού ελέγχου του Οργανισμού που διενεργήθηκε το 2022· σημειώνει το συμπέρασμα της αξιολόγησης, σύμφωνα με το οποίο το σύστημα εσωτερικού ελέγχου υφίσταται και λειτουργεί αποτελεσματικά, με ορισμένους τομείς να χρειάζονται βελτιώσεις όσον αφορά τα στοιχεία «περιβάλλον δικλείδων ελέγχου» (ιδίως την αρχή 1: «επιδεικνύει προσήλωση στην ακεραιότητα και τις δεοντολογικές αξίες»), «δραστηριότητες ελέγχου» (ιδίως το σημείο 10.5 με τίτλο «Διαπίστωση ευαίσθητων θέσεων») και «Πληροφόρηση και επικοινωνία» (ιδίως το σημείο 15.1 με τίτλο «Εξωτερική επικοινωνία»)· παρατηρεί συνολική βελτίωση το 2022 σε σύγκριση με το 2021 όσον αφορά τις βαθμολογίες που καταγράφηκαν με γνώμονα τις αρχές και για τα πέντε στοιχεία του συστήματος εσωτερικού ελέγχου·</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60.</w:t>
      </w:r>
      <w:r w:rsidRPr="00FD2974">
        <w:rPr>
          <w:rFonts w:ascii="Times New Roman" w:hAnsi="Times New Roman" w:cs="Times New Roman"/>
          <w:lang w:val="el-GR"/>
        </w:rPr>
        <w:tab/>
      </w:r>
      <w:r w:rsidR="003267B2" w:rsidRPr="00FD2974">
        <w:rPr>
          <w:rFonts w:ascii="Times New Roman" w:hAnsi="Times New Roman"/>
          <w:lang w:val="el-GR"/>
        </w:rPr>
        <w:t>σημειώνει με ικανοποίηση την ενίσχυση της εσωτερικής εποπτείας του Οργανισμού το 2022 μέσω της σύστασης του κλιμακίου εσωτερικού ελέγχου και της έγκρισης του κεφαλαίου για τον εσωτερικό έλεγχο· εκφράζει την ικανοποίησή του για το γεγονός ότι το 2023 ανέλαβε τα καθήκοντά του ο επικεφαλής του κλιμακίου εσωτερικού ελέγχου και το πρώτο σχέδιο ετήσιου ελέγχου του κλιμακίου εσωτερικού ελέγχου έχει ήδη εγκριθεί από το ΔΣ·</w:t>
      </w:r>
    </w:p>
    <w:p w:rsidR="003267B2" w:rsidRPr="00FD2974" w:rsidRDefault="00A61754" w:rsidP="00A61754">
      <w:pPr>
        <w:pStyle w:val="Normal12Hanging"/>
        <w:ind w:hanging="570"/>
        <w:mirrorIndents/>
        <w:rPr>
          <w:rFonts w:ascii="Times New Roman" w:hAnsi="Times New Roman" w:cs="Times New Roman"/>
          <w:lang w:val="el-GR"/>
        </w:rPr>
      </w:pPr>
      <w:r w:rsidRPr="00FD2974">
        <w:rPr>
          <w:rFonts w:ascii="Times New Roman" w:hAnsi="Times New Roman" w:cs="Times New Roman"/>
          <w:lang w:val="el-GR"/>
        </w:rPr>
        <w:t>61.</w:t>
      </w:r>
      <w:r w:rsidRPr="00FD2974">
        <w:rPr>
          <w:rFonts w:ascii="Times New Roman" w:hAnsi="Times New Roman" w:cs="Times New Roman"/>
          <w:lang w:val="el-GR"/>
        </w:rPr>
        <w:tab/>
      </w:r>
      <w:r w:rsidR="003267B2" w:rsidRPr="00FD2974">
        <w:rPr>
          <w:rFonts w:ascii="Times New Roman" w:hAnsi="Times New Roman"/>
          <w:lang w:val="el-GR"/>
        </w:rPr>
        <w:t>υπενθυμίζει τη σύσταση από την έκθεση του Ελεγκτικού Συνεδρίου για το 2018 σύμφωνα με την οποία ο Οργανισμός θα πρέπει να εγκρίνει και να εφαρμόσει πολιτική για τις ευαίσθητες θέσεις· σημειώνει ότι ο Οργανισμός υποβάλλει εκθέσεις σχετικά με τις προετοιμασίες που πραγματοποιήθηκαν για τη λήψη απόφασης σχετικά με την εν λόγω πολιτική, η οποία εν τω μεταξύ εγκρίθηκε (στο τέλος του 2023)·</w:t>
      </w:r>
    </w:p>
    <w:p w:rsidR="003267B2" w:rsidRPr="00FD2974" w:rsidRDefault="003267B2" w:rsidP="003267B2">
      <w:pPr>
        <w:pStyle w:val="Normal12Hanging"/>
        <w:ind w:left="0" w:firstLine="0"/>
        <w:mirrorIndents/>
        <w:rPr>
          <w:rFonts w:ascii="Times New Roman" w:hAnsi="Times New Roman" w:cs="Times New Roman"/>
          <w:b/>
          <w:i/>
          <w:lang w:val="el-GR"/>
        </w:rPr>
      </w:pPr>
      <w:r w:rsidRPr="00FD2974">
        <w:rPr>
          <w:rFonts w:ascii="Times New Roman" w:hAnsi="Times New Roman"/>
          <w:b/>
          <w:i/>
          <w:lang w:val="el-GR"/>
        </w:rPr>
        <w:t>Λοιπές παρατηρήσεις</w:t>
      </w:r>
    </w:p>
    <w:p w:rsidR="003267B2" w:rsidRPr="00FD2974" w:rsidRDefault="00A61754" w:rsidP="00A61754">
      <w:pPr>
        <w:pStyle w:val="NormalHanging12a"/>
        <w:ind w:hanging="570"/>
      </w:pPr>
      <w:r w:rsidRPr="00FD2974">
        <w:t>62.</w:t>
      </w:r>
      <w:r w:rsidRPr="00FD2974">
        <w:tab/>
      </w:r>
      <w:r w:rsidR="003267B2" w:rsidRPr="00FD2974">
        <w:t xml:space="preserve">σημειώνει ότι οι γνώμες του Ευρωπαίου Επόπτη Προστασίας Δεδομένων (ΕΕΠΔ) σχετικά με τις αποφάσεις 68/2021 και 69/2021 του ΔΣ </w:t>
      </w:r>
      <w:r w:rsidR="00A46F80">
        <w:t xml:space="preserve">του Οργανισμού </w:t>
      </w:r>
      <w:r w:rsidR="003267B2" w:rsidRPr="00FD2974">
        <w:t xml:space="preserve">ήταν αρνητικές· σημειώνει ότι ο Οργανισμός κατάρτισε σχέδιο εφαρμογής για να ανταποκριθεί σε όλες τις σχετικές συστάσεις του ΕΕΠΔ· σημειώνει περαιτέρω ότι οι εν λόγω αποφάσεις του ΔΣ αναδιατυπώθηκαν και αναπροσαρμόστηκαν μετά από τακτικές συνεδριάσεις και άτυπες ανταλλαγές απόψεων του υπευθύνου προστασίας δεδομένων του Οργανισμού με το προσωπικό του ΕΕΠΔ, καθώς και λαμβανομένης υπόψη της έκθεσης ελέγχου του ΕΕΠΔ που δημοσιεύτηκε στις 24 Μαΐου 2023 (εφεξής «η έκθεση ελέγχου»)· σημειώνει ότι η έκθεση ελέγχου εξακρίβωσε τη συμμόρφωση της επεξεργασίας δεδομένων προσωπικού χαρακτήρα από τον Οργανισμό στο πλαίσιο κοινών επιχειρήσεων με τον κανονισμό (ΕΕ) 2018/1725 και τις σχετικές διατάξεις του κανονισμού </w:t>
      </w:r>
      <w:r w:rsidR="003267B2" w:rsidRPr="00FD2974">
        <w:rPr>
          <w:shd w:val="clear" w:color="auto" w:fill="FFFFFF"/>
        </w:rPr>
        <w:t>(ΕΕ) 2019/1896</w:t>
      </w:r>
      <w:r w:rsidR="003267B2" w:rsidRPr="00FD2974">
        <w:t xml:space="preserve">· σημειώνει περαιτέρω, στο πλαίσιο αυτό, ότι η έκθεση ελέγχου κατέληξε σε 36 επίσημα πορίσματα και εξέδωσε 32 συστάσεις σχετικά με τον έλεγχο προσώπων και τις συνεντεύξεις </w:t>
      </w:r>
      <w:proofErr w:type="spellStart"/>
      <w:r w:rsidR="003267B2" w:rsidRPr="00FD2974">
        <w:t>απενημέρωσης</w:t>
      </w:r>
      <w:proofErr w:type="spellEnd"/>
      <w:r w:rsidR="003267B2" w:rsidRPr="00FD2974">
        <w:t xml:space="preserve">, τις συμφωνίες των από κοινού υπευθύνων επεξεργασίας, τη χαμηλή αξιοπιστία των πληροφοριών που χρησιμοποιούνται για τη διενέργεια αναλύσεων κινδύνου και την εφαρμογή της προστασίας των δεδομένων ήδη από τον σχεδιασμό και εξ ορισμού, μεταξύ άλλων· σημειώνει με ανησυχία, με βάση την έκθεση ελέγχου, ότι τα πορίσματα του ΕΕΠΔ καταδεικνύουν, επίσης, ότι ο Οργανισμός έχει παραβεί πολλά άρθρα της ισχύουσας νομικής βάσης για τον Οργανισμό (κανονισμός (ΕΕ) 2018/1725, κανονισμός </w:t>
      </w:r>
      <w:r w:rsidR="003267B2" w:rsidRPr="00FD2974">
        <w:rPr>
          <w:shd w:val="clear" w:color="auto" w:fill="FFFFFF"/>
        </w:rPr>
        <w:t>(ΕΕ) 2019/1896</w:t>
      </w:r>
      <w:r w:rsidR="003267B2" w:rsidRPr="00FD2974">
        <w:t xml:space="preserve"> και απόφαση 58/2015 του ΔΣ), καθώς δεν αξιολόγησε την αυστηρή επιταγή ανταλλαγής συνόλων δεδομένων με την Ευρωπόλ για την εκτέλεση της εντολής της και, κατά συνέπεια, ο ΕΕΠΔ έχει κινήσει έρευνα, η οποία μπορεί να οδηγήσει στην άσκηση μέτρων επιβολής· εκφράζει τη λύπη του για το γεγονός ότι ο ΕΕΠΔ εντόπισε, έπειτα από έλεγχο, έξι νέες περιπτώσεις διαβίβασης από τον Οργανισμό στην Ευρωπόλ δεδομένων προσωπικού χαρακτήρα που αφορούν υπαλλήλους ΜΚΟ, οι οποίες χρήζουν περαιτέρω διερεύνησης ως προς τη νομιμότητά τους· καλεί τον Οργανισμό να μεριμνήσει σχετικά με όλες τις συστάσεις εντός των προθεσμιών υλοποίησης που εξέδωσε ο ΕΕΠΔ στην έκθεση ελέγχου του και να τηρεί ενήμερη την αρμόδια για την απαλλαγή αρχή σχετικά με τις εξελίξεις στο ζήτημα αυτό·</w:t>
      </w:r>
    </w:p>
    <w:p w:rsidR="003267B2" w:rsidRDefault="00A61754" w:rsidP="00A61754">
      <w:pPr>
        <w:pStyle w:val="NormalHanging12a"/>
        <w:ind w:hanging="570"/>
      </w:pPr>
      <w:r>
        <w:t>63.</w:t>
      </w:r>
      <w:r>
        <w:tab/>
      </w:r>
      <w:r w:rsidR="003267B2" w:rsidRPr="00FD2974">
        <w:t>εκφράζει την ικανοποίησή του για το γεγονός ότι, κατά τη διάρκεια των δύο τελευταίων ετών, στον Οργανισμό έχουν υλοποιηθεί σημαντικές αλλαγές σε επίπεδο διεύθυνσης, μεταξύ των οποίων συγκαταλέγονται η ανάληψη καθηκόντων από έναν νέο αναπληρωτή υπεύθυνο θεμελιωδών δικαιωμάτων, έναν νέο πρόεδρο του διοικητικού συμβουλίου του, δύο νέους αναπληρωτές εκτελεστικούς διευθυντές, καθώς και ο διορισμός ενός νέου εκτελεστικού διευθυντή· σημειώνει την κατάρτιση σχεδίων δράσης με τις εθνικές αρχές για τη διόρθωση των προβλημάτων του παρελθόντος και του παρόντος·</w:t>
      </w:r>
    </w:p>
    <w:p w:rsidR="003E7876" w:rsidRDefault="003E7876" w:rsidP="003E7876">
      <w:pPr>
        <w:pStyle w:val="NormalHanging12a"/>
        <w:widowControl/>
        <w:ind w:left="0" w:firstLine="0"/>
        <w:jc w:val="center"/>
      </w:pPr>
      <w:r>
        <w:t>°</w:t>
      </w:r>
    </w:p>
    <w:p w:rsidR="003E7876" w:rsidRDefault="003E7876" w:rsidP="003E7876">
      <w:pPr>
        <w:pStyle w:val="NormalHanging12a"/>
        <w:widowControl/>
        <w:ind w:left="0" w:firstLine="0"/>
        <w:jc w:val="center"/>
      </w:pPr>
      <w:r>
        <w:t>°     °</w:t>
      </w:r>
    </w:p>
    <w:p w:rsidR="00E365E1" w:rsidRPr="00FD2974" w:rsidRDefault="00A61754" w:rsidP="00A61754">
      <w:pPr>
        <w:pStyle w:val="NormalHanging12a"/>
        <w:ind w:hanging="570"/>
      </w:pPr>
      <w:r w:rsidRPr="00FD2974">
        <w:t>64.</w:t>
      </w:r>
      <w:r w:rsidRPr="00FD2974">
        <w:tab/>
      </w:r>
      <w:r w:rsidR="003267B2" w:rsidRPr="00FD2974">
        <w:t xml:space="preserve">παραπέμπει, όσον αφορά άλλες παρατηρήσεις οριζόντιου χαρακτήρα που συνοδεύουν την απόφαση απαλλαγής, στο ψήφισμά του της </w:t>
      </w:r>
      <w:r w:rsidR="00A46F80">
        <w:t>11ης Απριλίου 202</w:t>
      </w:r>
      <w:r w:rsidR="004918EA">
        <w:t>4</w:t>
      </w:r>
      <w:r w:rsidR="003267B2" w:rsidRPr="00FD2974">
        <w:rPr>
          <w:rStyle w:val="FootnoteReference"/>
        </w:rPr>
        <w:footnoteReference w:id="14"/>
      </w:r>
      <w:r w:rsidR="003267B2" w:rsidRPr="00FD2974">
        <w:t xml:space="preserve"> σχετικά με τις επιδόσεις, τη χρηματοοικονομική διαχείριση και τον έλεγχο των οργανισμών.</w:t>
      </w:r>
      <w:bookmarkStart w:id="9" w:name="TextBodyEnd"/>
      <w:bookmarkEnd w:id="9"/>
    </w:p>
    <w:sectPr w:rsidR="00E365E1" w:rsidRPr="00FD2974" w:rsidSect="00FD297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17C" w:rsidRPr="00FD2974" w:rsidRDefault="009F617C">
      <w:r w:rsidRPr="00FD2974">
        <w:separator/>
      </w:r>
    </w:p>
  </w:endnote>
  <w:endnote w:type="continuationSeparator" w:id="0">
    <w:p w:rsidR="009F617C" w:rsidRPr="00FD2974" w:rsidRDefault="009F617C">
      <w:r w:rsidRPr="00FD2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7B2" w:rsidRPr="00FD2974" w:rsidRDefault="003267B2" w:rsidP="00A90CB7">
    <w:pPr>
      <w:pStyle w:val="EPFooter"/>
    </w:pPr>
    <w:r w:rsidRPr="00FD2974">
      <w:t>PE</w:t>
    </w:r>
    <w:r w:rsidRPr="00FD2974">
      <w:rPr>
        <w:rStyle w:val="HideTWBExt"/>
      </w:rPr>
      <w:t>&lt;</w:t>
    </w:r>
    <w:proofErr w:type="spellStart"/>
    <w:r w:rsidRPr="00FD2974">
      <w:rPr>
        <w:rStyle w:val="HideTWBExt"/>
      </w:rPr>
      <w:t>NoPE</w:t>
    </w:r>
    <w:proofErr w:type="spellEnd"/>
    <w:r w:rsidRPr="00FD2974">
      <w:rPr>
        <w:rStyle w:val="HideTWBExt"/>
      </w:rPr>
      <w:t>&gt;</w:t>
    </w:r>
    <w:r w:rsidRPr="00FD2974">
      <w:t>753.543</w:t>
    </w:r>
    <w:r w:rsidRPr="00FD2974">
      <w:rPr>
        <w:rStyle w:val="HideTWBExt"/>
      </w:rPr>
      <w:t>&lt;/</w:t>
    </w:r>
    <w:proofErr w:type="spellStart"/>
    <w:r w:rsidRPr="00FD2974">
      <w:rPr>
        <w:rStyle w:val="HideTWBExt"/>
      </w:rPr>
      <w:t>NoPE</w:t>
    </w:r>
    <w:proofErr w:type="spellEnd"/>
    <w:r w:rsidRPr="00FD2974">
      <w:rPr>
        <w:rStyle w:val="HideTWBExt"/>
      </w:rPr>
      <w:t>&gt;&lt;Version&gt;</w:t>
    </w:r>
    <w:r w:rsidRPr="00FD2974">
      <w:t>v03-00</w:t>
    </w:r>
    <w:r w:rsidRPr="00FD2974">
      <w:rPr>
        <w:rStyle w:val="HideTWBExt"/>
      </w:rPr>
      <w:t>&lt;/</w:t>
    </w:r>
    <w:proofErr w:type="spellStart"/>
    <w:r w:rsidRPr="00FD2974">
      <w:rPr>
        <w:rStyle w:val="HideTWBExt"/>
      </w:rPr>
      <w:t>Version</w:t>
    </w:r>
    <w:proofErr w:type="spellEnd"/>
    <w:r w:rsidRPr="00FD2974">
      <w:rPr>
        <w:rStyle w:val="HideTWBExt"/>
      </w:rPr>
      <w:t>&gt;</w:t>
    </w:r>
    <w:r w:rsidRPr="00FD2974">
      <w:tab/>
    </w:r>
    <w:r w:rsidRPr="00FD2974">
      <w:fldChar w:fldCharType="begin"/>
    </w:r>
    <w:r w:rsidRPr="00FD2974">
      <w:instrText xml:space="preserve"> PAGE  \* MERGEFORMAT </w:instrText>
    </w:r>
    <w:r w:rsidRPr="00FD2974">
      <w:fldChar w:fldCharType="separate"/>
    </w:r>
    <w:r w:rsidRPr="00FD2974">
      <w:rPr>
        <w:noProof/>
      </w:rPr>
      <w:t>4</w:t>
    </w:r>
    <w:r w:rsidRPr="00FD2974">
      <w:fldChar w:fldCharType="end"/>
    </w:r>
    <w:r w:rsidRPr="00FD2974">
      <w:t>/</w:t>
    </w:r>
    <w:fldSimple w:instr=" NUMPAGES  \* MERGEFORMAT ">
      <w:r w:rsidRPr="00FD2974">
        <w:rPr>
          <w:noProof/>
        </w:rPr>
        <w:t>4</w:t>
      </w:r>
    </w:fldSimple>
    <w:r w:rsidRPr="00FD2974">
      <w:tab/>
    </w:r>
    <w:r w:rsidRPr="00FD2974">
      <w:rPr>
        <w:rStyle w:val="HideTWBExt"/>
      </w:rPr>
      <w:t>&lt;PathFdR&gt;</w:t>
    </w:r>
    <w:r w:rsidRPr="00FD2974">
      <w:t>RR\1298909EL.docx</w:t>
    </w:r>
    <w:r w:rsidRPr="00FD2974">
      <w:rPr>
        <w:rStyle w:val="HideTWBExt"/>
      </w:rPr>
      <w:t>&lt;/</w:t>
    </w:r>
    <w:proofErr w:type="spellStart"/>
    <w:r w:rsidRPr="00FD2974">
      <w:rPr>
        <w:rStyle w:val="HideTWBExt"/>
      </w:rPr>
      <w:t>PathFdR</w:t>
    </w:r>
    <w:proofErr w:type="spellEnd"/>
    <w:r w:rsidRPr="00FD2974">
      <w:rPr>
        <w:rStyle w:val="HideTWBExt"/>
      </w:rPr>
      <w:t>&gt;</w:t>
    </w:r>
  </w:p>
  <w:p w:rsidR="003267B2" w:rsidRPr="00FD2974" w:rsidRDefault="003267B2" w:rsidP="00A90CB7">
    <w:pPr>
      <w:pStyle w:val="EPFooter2"/>
    </w:pPr>
    <w:r w:rsidRPr="00FD297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7B2" w:rsidRPr="00FD2974" w:rsidRDefault="003267B2" w:rsidP="00A90CB7">
    <w:pPr>
      <w:pStyle w:val="EPFooter"/>
    </w:pPr>
    <w:r w:rsidRPr="00FD2974">
      <w:rPr>
        <w:rStyle w:val="HideTWBExt"/>
      </w:rPr>
      <w:t>&lt;PathFdR&gt;</w:t>
    </w:r>
    <w:r w:rsidRPr="00FD2974">
      <w:t>RR\1298909EL.docx</w:t>
    </w:r>
    <w:r w:rsidRPr="00FD2974">
      <w:rPr>
        <w:rStyle w:val="HideTWBExt"/>
      </w:rPr>
      <w:t>&lt;/</w:t>
    </w:r>
    <w:proofErr w:type="spellStart"/>
    <w:r w:rsidRPr="00FD2974">
      <w:rPr>
        <w:rStyle w:val="HideTWBExt"/>
      </w:rPr>
      <w:t>PathFdR</w:t>
    </w:r>
    <w:proofErr w:type="spellEnd"/>
    <w:r w:rsidRPr="00FD2974">
      <w:rPr>
        <w:rStyle w:val="HideTWBExt"/>
      </w:rPr>
      <w:t>&gt;</w:t>
    </w:r>
    <w:r w:rsidRPr="00FD2974">
      <w:tab/>
    </w:r>
    <w:r w:rsidRPr="00FD2974">
      <w:tab/>
      <w:t>PE</w:t>
    </w:r>
    <w:r w:rsidRPr="00FD2974">
      <w:rPr>
        <w:rStyle w:val="HideTWBExt"/>
      </w:rPr>
      <w:t>&lt;</w:t>
    </w:r>
    <w:proofErr w:type="spellStart"/>
    <w:r w:rsidRPr="00FD2974">
      <w:rPr>
        <w:rStyle w:val="HideTWBExt"/>
      </w:rPr>
      <w:t>NoPE</w:t>
    </w:r>
    <w:proofErr w:type="spellEnd"/>
    <w:r w:rsidRPr="00FD2974">
      <w:rPr>
        <w:rStyle w:val="HideTWBExt"/>
      </w:rPr>
      <w:t>&gt;</w:t>
    </w:r>
    <w:r w:rsidRPr="00FD2974">
      <w:t>753.543</w:t>
    </w:r>
    <w:r w:rsidRPr="00FD2974">
      <w:rPr>
        <w:rStyle w:val="HideTWBExt"/>
      </w:rPr>
      <w:t>&lt;/</w:t>
    </w:r>
    <w:proofErr w:type="spellStart"/>
    <w:r w:rsidRPr="00FD2974">
      <w:rPr>
        <w:rStyle w:val="HideTWBExt"/>
      </w:rPr>
      <w:t>NoPE</w:t>
    </w:r>
    <w:proofErr w:type="spellEnd"/>
    <w:r w:rsidRPr="00FD2974">
      <w:rPr>
        <w:rStyle w:val="HideTWBExt"/>
      </w:rPr>
      <w:t>&gt;&lt;Version&gt;</w:t>
    </w:r>
    <w:r w:rsidRPr="00FD2974">
      <w:t>v03-00</w:t>
    </w:r>
    <w:r w:rsidRPr="00FD2974">
      <w:rPr>
        <w:rStyle w:val="HideTWBExt"/>
      </w:rPr>
      <w:t>&lt;/</w:t>
    </w:r>
    <w:proofErr w:type="spellStart"/>
    <w:r w:rsidRPr="00FD2974">
      <w:rPr>
        <w:rStyle w:val="HideTWBExt"/>
      </w:rPr>
      <w:t>Version</w:t>
    </w:r>
    <w:proofErr w:type="spellEnd"/>
    <w:r w:rsidRPr="00FD2974">
      <w:rPr>
        <w:rStyle w:val="HideTWBExt"/>
      </w:rPr>
      <w:t>&gt;</w:t>
    </w:r>
  </w:p>
  <w:p w:rsidR="003267B2" w:rsidRPr="00FD2974" w:rsidRDefault="003267B2" w:rsidP="00A90CB7">
    <w:pPr>
      <w:pStyle w:val="EPFooter2"/>
    </w:pPr>
    <w:r w:rsidRPr="00FD2974">
      <w:t>EL</w:t>
    </w:r>
    <w:r w:rsidRPr="00FD2974">
      <w:tab/>
    </w:r>
    <w:r w:rsidRPr="00FD2974">
      <w:rPr>
        <w:b w:val="0"/>
        <w:i/>
        <w:color w:val="C0C0C0"/>
        <w:sz w:val="22"/>
      </w:rPr>
      <w:t>Ενωμένη στην πολυμορφία</w:t>
    </w:r>
    <w:r w:rsidRPr="00FD297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97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97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17C" w:rsidRPr="00FD2974" w:rsidRDefault="009F617C">
      <w:r w:rsidRPr="00FD2974">
        <w:separator/>
      </w:r>
    </w:p>
  </w:footnote>
  <w:footnote w:type="continuationSeparator" w:id="0">
    <w:p w:rsidR="009F617C" w:rsidRPr="00FD2974" w:rsidRDefault="009F617C">
      <w:r w:rsidRPr="00FD2974">
        <w:continuationSeparator/>
      </w:r>
    </w:p>
  </w:footnote>
  <w:footnote w:id="1">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C, C/2023/594, 27.10.2023.</w:t>
      </w:r>
    </w:p>
  </w:footnote>
  <w:footnote w:id="2">
    <w:p w:rsidR="003267B2" w:rsidRPr="00FD2974" w:rsidRDefault="003267B2" w:rsidP="00FD2974">
      <w:pPr>
        <w:pStyle w:val="NormalWeb"/>
        <w:spacing w:before="0" w:beforeAutospacing="0" w:after="0" w:afterAutospacing="0"/>
        <w:ind w:left="567" w:hanging="567"/>
        <w:rPr>
          <w:szCs w:val="20"/>
        </w:rPr>
      </w:pPr>
      <w:r w:rsidRPr="00FD2974">
        <w:rPr>
          <w:rStyle w:val="FootnoteReference"/>
          <w:szCs w:val="20"/>
        </w:rPr>
        <w:footnoteRef/>
      </w:r>
      <w:r w:rsidR="00FD2974" w:rsidRPr="00FD2974">
        <w:t xml:space="preserve"> </w:t>
      </w:r>
      <w:r w:rsidR="00FD2974" w:rsidRPr="00FD2974">
        <w:tab/>
      </w:r>
      <w:r w:rsidRPr="00FD2974">
        <w:t>ΕΕ C, C/2023/112, 12.10.2023.</w:t>
      </w:r>
    </w:p>
  </w:footnote>
  <w:footnote w:id="3">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193 της 30.7.2018, σ. 1.</w:t>
      </w:r>
    </w:p>
  </w:footnote>
  <w:footnote w:id="4">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295 της 14.11.2019, σ. 1.</w:t>
      </w:r>
    </w:p>
  </w:footnote>
  <w:footnote w:id="5">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122 της 10.5.2019, σ. 1.</w:t>
      </w:r>
    </w:p>
  </w:footnote>
  <w:footnote w:id="6">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C, C/2023/594, 27.10.2023.</w:t>
      </w:r>
    </w:p>
  </w:footnote>
  <w:footnote w:id="7">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C, C/2023/112, 12.10.2023.</w:t>
      </w:r>
    </w:p>
  </w:footnote>
  <w:footnote w:id="8">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193 της 30.7.2018, σ. 1.</w:t>
      </w:r>
    </w:p>
  </w:footnote>
  <w:footnote w:id="9">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295 της 14.11.2019, σ. 1.</w:t>
      </w:r>
    </w:p>
  </w:footnote>
  <w:footnote w:id="10">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L 122 της 10.5.2019, σ. 1.</w:t>
      </w:r>
    </w:p>
  </w:footnote>
  <w:footnote w:id="11">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ΕΕ C 141 της 29.3.2022, σ. 112.</w:t>
      </w:r>
    </w:p>
  </w:footnote>
  <w:footnote w:id="12">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Το Γενικό Δικαστήριο δήλωσε ότι «η γενικευμένη πρόσβαση, βάσει του κανονισμού αριθ. 1049/2001, στα έγγραφα τα οποία περιλαμβάνει ο φάκελος της OLAF, ενώ η διαδικασία έρευνας της OLAF βρίσκεται σε εξέλιξη, θα διατάρασσε την ομαλή διεξαγωγή της έρευνας». Γενικό Δικαστήριο, απόφαση στην υπόθεση T</w:t>
      </w:r>
      <w:r w:rsidRPr="00FD2974">
        <w:rPr>
          <w:sz w:val="24"/>
          <w:lang w:val="el-GR"/>
        </w:rPr>
        <w:noBreakHyphen/>
        <w:t>110/15, της 26ης Μαΐου 2016, IMG κατά Επιτροπής, σκέψη 33, ECLI:EU:T:2016:322.</w:t>
      </w:r>
    </w:p>
  </w:footnote>
  <w:footnote w:id="13">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hyperlink r:id="rId1" w:history="1">
        <w:r w:rsidRPr="00FD2974">
          <w:rPr>
            <w:rStyle w:val="Hyperlink"/>
            <w:rFonts w:eastAsiaTheme="minorHAnsi"/>
            <w:sz w:val="24"/>
            <w:lang w:val="el-GR"/>
          </w:rPr>
          <w:t>https://www.ombudsman.europa.eu/el/decision/el/177520</w:t>
        </w:r>
      </w:hyperlink>
      <w:r w:rsidR="00A46F80">
        <w:rPr>
          <w:rStyle w:val="Hyperlink"/>
          <w:rFonts w:eastAsiaTheme="minorHAnsi"/>
          <w:sz w:val="24"/>
          <w:lang w:val="el-GR"/>
        </w:rPr>
        <w:t>.</w:t>
      </w:r>
    </w:p>
  </w:footnote>
  <w:footnote w:id="14">
    <w:p w:rsidR="003267B2" w:rsidRPr="00FD2974" w:rsidRDefault="003267B2" w:rsidP="00FD2974">
      <w:pPr>
        <w:pStyle w:val="FootnoteText"/>
        <w:ind w:left="567" w:hanging="567"/>
        <w:rPr>
          <w:sz w:val="24"/>
          <w:lang w:val="el-GR"/>
        </w:rPr>
      </w:pPr>
      <w:r w:rsidRPr="00FD2974">
        <w:rPr>
          <w:rStyle w:val="FootnoteReference"/>
          <w:sz w:val="24"/>
          <w:lang w:val="el-GR"/>
        </w:rPr>
        <w:footnoteRef/>
      </w:r>
      <w:r w:rsidR="00FD2974" w:rsidRPr="00FD2974">
        <w:rPr>
          <w:sz w:val="24"/>
          <w:lang w:val="el-GR"/>
        </w:rPr>
        <w:t xml:space="preserve"> </w:t>
      </w:r>
      <w:r w:rsidR="00FD2974" w:rsidRPr="00FD2974">
        <w:rPr>
          <w:sz w:val="24"/>
          <w:lang w:val="el-GR"/>
        </w:rPr>
        <w:tab/>
      </w:r>
      <w:r w:rsidRPr="00FD2974">
        <w:rPr>
          <w:sz w:val="24"/>
          <w:lang w:val="el-GR"/>
        </w:rPr>
        <w:t>Κείμενα που εγκρίθηκαν, P9_TA(2024)</w:t>
      </w:r>
      <w:r w:rsidR="004218C5" w:rsidRPr="00FD2974">
        <w:rPr>
          <w:sz w:val="24"/>
          <w:lang w:val="el-GR"/>
        </w:rPr>
        <w:t>0</w:t>
      </w:r>
      <w:r w:rsidR="004218C5">
        <w:rPr>
          <w:sz w:val="24"/>
          <w:lang w:val="el-GR"/>
        </w:rPr>
        <w:t>280</w:t>
      </w:r>
      <w:r w:rsidRPr="00FD297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9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3485" w:rsidRDefault="00064002" w:rsidP="00DF3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F135D45"/>
    <w:multiLevelType w:val="hybridMultilevel"/>
    <w:tmpl w:val="A6C2E3FE"/>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82136D"/>
    <w:multiLevelType w:val="hybridMultilevel"/>
    <w:tmpl w:val="BF222F46"/>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49E51F26"/>
    <w:multiLevelType w:val="multilevel"/>
    <w:tmpl w:val="676AEB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ED42B95"/>
    <w:multiLevelType w:val="hybridMultilevel"/>
    <w:tmpl w:val="AE9AFAE2"/>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EL"/>
    <w:docVar w:name="dvnumam" w:val="0"/>
    <w:docVar w:name="dvpe" w:val="753.543"/>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Οργανισμού Συνοριοφυλακής και Ακτοφυλακής για το οικονομικό έτος 2022(2023/2172(DEC))"/>
  </w:docVars>
  <w:rsids>
    <w:rsidRoot w:val="009F617C"/>
    <w:rsid w:val="00002272"/>
    <w:rsid w:val="00064002"/>
    <w:rsid w:val="000677B9"/>
    <w:rsid w:val="000831BA"/>
    <w:rsid w:val="000A42CC"/>
    <w:rsid w:val="000E7DD9"/>
    <w:rsid w:val="0010095E"/>
    <w:rsid w:val="00125B37"/>
    <w:rsid w:val="00187494"/>
    <w:rsid w:val="001F32AE"/>
    <w:rsid w:val="002767FF"/>
    <w:rsid w:val="002B18FE"/>
    <w:rsid w:val="002B5493"/>
    <w:rsid w:val="003267B2"/>
    <w:rsid w:val="00343214"/>
    <w:rsid w:val="00361C00"/>
    <w:rsid w:val="00395FA1"/>
    <w:rsid w:val="003E15D4"/>
    <w:rsid w:val="003E7876"/>
    <w:rsid w:val="00411CCE"/>
    <w:rsid w:val="0041666E"/>
    <w:rsid w:val="00421060"/>
    <w:rsid w:val="004218C5"/>
    <w:rsid w:val="00471C19"/>
    <w:rsid w:val="004867E3"/>
    <w:rsid w:val="004918EA"/>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496"/>
    <w:rsid w:val="00981893"/>
    <w:rsid w:val="009F617C"/>
    <w:rsid w:val="00A1687D"/>
    <w:rsid w:val="00A43E52"/>
    <w:rsid w:val="00A4678D"/>
    <w:rsid w:val="00A46F80"/>
    <w:rsid w:val="00A6175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485"/>
    <w:rsid w:val="00E365E1"/>
    <w:rsid w:val="00E820A4"/>
    <w:rsid w:val="00E850B2"/>
    <w:rsid w:val="00EB006A"/>
    <w:rsid w:val="00EB4772"/>
    <w:rsid w:val="00ED169E"/>
    <w:rsid w:val="00ED4235"/>
    <w:rsid w:val="00F04346"/>
    <w:rsid w:val="00F075DC"/>
    <w:rsid w:val="00F149E9"/>
    <w:rsid w:val="00F5134D"/>
    <w:rsid w:val="00F74202"/>
    <w:rsid w:val="00F87713"/>
    <w:rsid w:val="00FB4360"/>
    <w:rsid w:val="00FD0C70"/>
    <w:rsid w:val="00FD297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EED832-28F6-440A-BBBD-7474D253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67B2"/>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3267B2"/>
    <w:pPr>
      <w:spacing w:before="480" w:after="240"/>
    </w:pPr>
  </w:style>
  <w:style w:type="paragraph" w:customStyle="1" w:styleId="PageHeading">
    <w:name w:val="PageHeading"/>
    <w:basedOn w:val="Normal"/>
    <w:rsid w:val="003267B2"/>
    <w:pPr>
      <w:keepNext/>
      <w:spacing w:after="480"/>
      <w:jc w:val="center"/>
    </w:pPr>
    <w:rPr>
      <w:rFonts w:ascii="Arial" w:hAnsi="Arial" w:cs="Arial"/>
      <w:b/>
    </w:rPr>
  </w:style>
  <w:style w:type="paragraph" w:customStyle="1" w:styleId="NormalBold">
    <w:name w:val="NormalBold"/>
    <w:basedOn w:val="Normal"/>
    <w:uiPriority w:val="99"/>
    <w:rsid w:val="003267B2"/>
    <w:rPr>
      <w:b/>
    </w:rPr>
  </w:style>
  <w:style w:type="paragraph" w:customStyle="1" w:styleId="NormalHanging12a">
    <w:name w:val="NormalHanging12a"/>
    <w:basedOn w:val="Normal"/>
    <w:link w:val="NormalHanging12aChar"/>
    <w:rsid w:val="003267B2"/>
    <w:pPr>
      <w:spacing w:after="240"/>
      <w:ind w:left="567" w:hanging="567"/>
    </w:pPr>
  </w:style>
  <w:style w:type="paragraph" w:customStyle="1" w:styleId="NormalCenter12a">
    <w:name w:val="NormalCenter12a"/>
    <w:basedOn w:val="Normal"/>
    <w:uiPriority w:val="99"/>
    <w:rsid w:val="003267B2"/>
    <w:pPr>
      <w:spacing w:after="240"/>
      <w:jc w:val="center"/>
    </w:pPr>
  </w:style>
  <w:style w:type="paragraph" w:styleId="Header">
    <w:name w:val="header"/>
    <w:basedOn w:val="Normal"/>
    <w:link w:val="HeaderChar"/>
    <w:rsid w:val="003267B2"/>
    <w:pPr>
      <w:tabs>
        <w:tab w:val="center" w:pos="4513"/>
        <w:tab w:val="right" w:pos="9026"/>
      </w:tabs>
    </w:pPr>
  </w:style>
  <w:style w:type="character" w:customStyle="1" w:styleId="HeaderChar">
    <w:name w:val="Header Char"/>
    <w:basedOn w:val="DefaultParagraphFont"/>
    <w:link w:val="Header"/>
    <w:rsid w:val="003267B2"/>
    <w:rPr>
      <w:sz w:val="24"/>
      <w:lang w:val="el-GR"/>
    </w:rPr>
  </w:style>
  <w:style w:type="paragraph" w:customStyle="1" w:styleId="EPFooter">
    <w:name w:val="EPFooter"/>
    <w:basedOn w:val="Normal"/>
    <w:rsid w:val="003267B2"/>
    <w:pPr>
      <w:tabs>
        <w:tab w:val="center" w:pos="4535"/>
        <w:tab w:val="right" w:pos="9071"/>
      </w:tabs>
      <w:spacing w:before="240" w:after="240"/>
    </w:pPr>
    <w:rPr>
      <w:color w:val="010000"/>
      <w:sz w:val="22"/>
    </w:rPr>
  </w:style>
  <w:style w:type="character" w:styleId="Hyperlink">
    <w:name w:val="Hyperlink"/>
    <w:basedOn w:val="DefaultParagraphFont"/>
    <w:unhideWhenUsed/>
    <w:rsid w:val="003267B2"/>
    <w:rPr>
      <w:color w:val="0563C1"/>
      <w:u w:val="single"/>
    </w:rPr>
  </w:style>
  <w:style w:type="paragraph" w:styleId="NormalWeb">
    <w:name w:val="Normal (Web)"/>
    <w:basedOn w:val="Normal"/>
    <w:uiPriority w:val="99"/>
    <w:unhideWhenUsed/>
    <w:rsid w:val="003267B2"/>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3267B2"/>
    <w:rPr>
      <w:sz w:val="24"/>
      <w:lang w:val="el-GR"/>
    </w:rPr>
  </w:style>
  <w:style w:type="character" w:customStyle="1" w:styleId="Normal12HangingChar">
    <w:name w:val="Normal12Hanging Char"/>
    <w:link w:val="Normal12Hanging"/>
    <w:locked/>
    <w:rsid w:val="003267B2"/>
    <w:rPr>
      <w:rFonts w:ascii="Calibri" w:eastAsiaTheme="minorHAnsi" w:hAnsi="Calibri" w:cs="Calibri"/>
      <w:sz w:val="24"/>
      <w:szCs w:val="24"/>
    </w:rPr>
  </w:style>
  <w:style w:type="paragraph" w:customStyle="1" w:styleId="Normal12Hanging">
    <w:name w:val="Normal12Hanging"/>
    <w:basedOn w:val="Normal"/>
    <w:link w:val="Normal12HangingChar"/>
    <w:rsid w:val="003267B2"/>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DF3485"/>
    <w:pPr>
      <w:tabs>
        <w:tab w:val="center" w:pos="4513"/>
        <w:tab w:val="right" w:pos="9026"/>
      </w:tabs>
    </w:pPr>
  </w:style>
  <w:style w:type="character" w:customStyle="1" w:styleId="FooterChar">
    <w:name w:val="Footer Char"/>
    <w:basedOn w:val="DefaultParagraphFont"/>
    <w:link w:val="Footer"/>
    <w:rsid w:val="00DF3485"/>
    <w:rPr>
      <w:sz w:val="24"/>
      <w:lang w:val="el-GR"/>
    </w:rPr>
  </w:style>
  <w:style w:type="paragraph" w:styleId="ListParagraph">
    <w:name w:val="List Paragraph"/>
    <w:basedOn w:val="Normal"/>
    <w:uiPriority w:val="34"/>
    <w:qFormat/>
    <w:rsid w:val="00953496"/>
    <w:pPr>
      <w:ind w:left="720"/>
      <w:contextualSpacing/>
    </w:pPr>
  </w:style>
  <w:style w:type="paragraph" w:styleId="BalloonText">
    <w:name w:val="Balloon Text"/>
    <w:basedOn w:val="Normal"/>
    <w:link w:val="BalloonTextChar"/>
    <w:rsid w:val="00A46F80"/>
    <w:rPr>
      <w:rFonts w:ascii="Segoe UI" w:hAnsi="Segoe UI" w:cs="Segoe UI"/>
      <w:sz w:val="18"/>
      <w:szCs w:val="18"/>
    </w:rPr>
  </w:style>
  <w:style w:type="character" w:customStyle="1" w:styleId="BalloonTextChar">
    <w:name w:val="Balloon Text Char"/>
    <w:basedOn w:val="DefaultParagraphFont"/>
    <w:link w:val="BalloonText"/>
    <w:rsid w:val="00A46F8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l/decision/el/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C77CA-EC3A-46E0-B701-F25EACEDD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10358</Words>
  <Characters>61738</Characters>
  <Application>Microsoft Office Word</Application>
  <DocSecurity>0</DocSecurity>
  <Lines>514</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2024-05-22T13:33:00Z</dcterms:created>
  <dcterms:modified xsi:type="dcterms:W3CDTF">2024-05-22T13:33:00Z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P9_TA(2024)0255_</vt:lpwstr>
  </property>
  <property fmtid="{D5CDD505-2E9C-101B-9397-08002B2CF9AE}" pid="4" name="&lt;Type&gt;">
    <vt:lpwstr>RR</vt:lpwstr>
  </property>
</Properties>
</file>