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7C6F" w:rsidTr="0010095E">
        <w:trPr>
          <w:trHeight w:hRule="exact" w:val="1418"/>
        </w:trPr>
        <w:tc>
          <w:tcPr>
            <w:tcW w:w="6804" w:type="dxa"/>
            <w:shd w:val="clear" w:color="auto" w:fill="auto"/>
            <w:vAlign w:val="center"/>
          </w:tcPr>
          <w:p w:rsidR="00751A4A" w:rsidRPr="00517C6F" w:rsidRDefault="00F97D67" w:rsidP="0010095E">
            <w:pPr>
              <w:pStyle w:val="EPName"/>
            </w:pPr>
            <w:r w:rsidRPr="00517C6F">
              <w:t>Parlamentul European</w:t>
            </w:r>
          </w:p>
          <w:p w:rsidR="00751A4A" w:rsidRPr="00517C6F" w:rsidRDefault="00817416" w:rsidP="00756632">
            <w:pPr>
              <w:pStyle w:val="EPTerm"/>
              <w:rPr>
                <w:rStyle w:val="HideTWBExt"/>
                <w:noProof w:val="0"/>
                <w:vanish w:val="0"/>
                <w:color w:val="auto"/>
              </w:rPr>
            </w:pPr>
            <w:r w:rsidRPr="00517C6F">
              <w:t>2019-2024</w:t>
            </w:r>
          </w:p>
        </w:tc>
        <w:tc>
          <w:tcPr>
            <w:tcW w:w="2268" w:type="dxa"/>
            <w:shd w:val="clear" w:color="auto" w:fill="auto"/>
          </w:tcPr>
          <w:p w:rsidR="00751A4A" w:rsidRPr="00517C6F" w:rsidRDefault="00187494" w:rsidP="0010095E">
            <w:pPr>
              <w:pStyle w:val="EPLogo"/>
            </w:pPr>
            <w:r w:rsidRPr="00517C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7C6F" w:rsidRDefault="00D058B8" w:rsidP="004C5D52">
      <w:pPr>
        <w:pStyle w:val="LineTop"/>
      </w:pPr>
    </w:p>
    <w:p w:rsidR="00680577" w:rsidRPr="00517C6F" w:rsidRDefault="00F97D67" w:rsidP="00680577">
      <w:pPr>
        <w:pStyle w:val="EPBodyTA1"/>
      </w:pPr>
      <w:r w:rsidRPr="00517C6F">
        <w:t>TEXTE ADOPTATE</w:t>
      </w:r>
    </w:p>
    <w:p w:rsidR="00D058B8" w:rsidRPr="00517C6F" w:rsidRDefault="00D058B8" w:rsidP="00D058B8">
      <w:pPr>
        <w:pStyle w:val="LineBottom"/>
      </w:pPr>
    </w:p>
    <w:p w:rsidR="00F97D67" w:rsidRPr="00517C6F" w:rsidRDefault="00F97D67" w:rsidP="00F97D67">
      <w:pPr>
        <w:pStyle w:val="ATHeading1"/>
      </w:pPr>
      <w:bookmarkStart w:id="0" w:name="TANumber"/>
      <w:r w:rsidRPr="00517C6F">
        <w:t>P9_TA(2024)0</w:t>
      </w:r>
      <w:bookmarkEnd w:id="0"/>
      <w:r w:rsidR="00EB0D69" w:rsidRPr="00517C6F">
        <w:t>255</w:t>
      </w:r>
    </w:p>
    <w:p w:rsidR="00F97D67" w:rsidRPr="00517C6F" w:rsidRDefault="00F97D67" w:rsidP="00F97D67">
      <w:pPr>
        <w:pStyle w:val="ATHeading2"/>
      </w:pPr>
      <w:bookmarkStart w:id="1" w:name="title"/>
      <w:r w:rsidRPr="00517C6F">
        <w:t>Descărcarea de gestiune 2022: Agenția Europeană pentru Poliția de Frontieră și Garda de Coastă</w:t>
      </w:r>
      <w:bookmarkEnd w:id="1"/>
    </w:p>
    <w:p w:rsidR="00F97D67" w:rsidRPr="00517C6F" w:rsidRDefault="00F97D67" w:rsidP="00F97D67">
      <w:pPr>
        <w:rPr>
          <w:i/>
          <w:vanish/>
        </w:rPr>
      </w:pPr>
      <w:r w:rsidRPr="00517C6F">
        <w:rPr>
          <w:i/>
        </w:rPr>
        <w:fldChar w:fldCharType="begin"/>
      </w:r>
      <w:r w:rsidRPr="00517C6F">
        <w:rPr>
          <w:i/>
        </w:rPr>
        <w:instrText xml:space="preserve"> TC"(</w:instrText>
      </w:r>
      <w:bookmarkStart w:id="2" w:name="DocNumber"/>
      <w:r w:rsidRPr="00517C6F">
        <w:rPr>
          <w:i/>
        </w:rPr>
        <w:instrText>A9-0113/2024</w:instrText>
      </w:r>
      <w:bookmarkEnd w:id="2"/>
      <w:r w:rsidRPr="00517C6F">
        <w:rPr>
          <w:i/>
        </w:rPr>
        <w:instrText xml:space="preserve"> - Raportor: Petri </w:instrText>
      </w:r>
      <w:proofErr w:type="spellStart"/>
      <w:r w:rsidRPr="00517C6F">
        <w:rPr>
          <w:i/>
        </w:rPr>
        <w:instrText>Sarvamaa</w:instrText>
      </w:r>
      <w:proofErr w:type="spellEnd"/>
      <w:r w:rsidRPr="00517C6F">
        <w:rPr>
          <w:i/>
        </w:rPr>
        <w:instrText xml:space="preserve">)"\l3 \n&gt; \* MERGEFORMAT </w:instrText>
      </w:r>
      <w:r w:rsidRPr="00517C6F">
        <w:rPr>
          <w:i/>
        </w:rPr>
        <w:fldChar w:fldCharType="end"/>
      </w:r>
    </w:p>
    <w:p w:rsidR="00F97D67" w:rsidRPr="00517C6F" w:rsidRDefault="00F97D67" w:rsidP="00F97D67">
      <w:pPr>
        <w:rPr>
          <w:vanish/>
        </w:rPr>
      </w:pPr>
      <w:bookmarkStart w:id="3" w:name="Commission"/>
      <w:r w:rsidRPr="00517C6F">
        <w:rPr>
          <w:vanish/>
        </w:rPr>
        <w:t>Comisia pentru control bugetar</w:t>
      </w:r>
      <w:bookmarkEnd w:id="3"/>
    </w:p>
    <w:p w:rsidR="00F97D67" w:rsidRPr="00517C6F" w:rsidRDefault="00F97D67" w:rsidP="00F97D67">
      <w:pPr>
        <w:rPr>
          <w:vanish/>
        </w:rPr>
      </w:pPr>
      <w:bookmarkStart w:id="4" w:name="PE"/>
      <w:r w:rsidRPr="00517C6F">
        <w:rPr>
          <w:vanish/>
        </w:rPr>
        <w:t>PE753.543</w:t>
      </w:r>
      <w:bookmarkEnd w:id="4"/>
    </w:p>
    <w:p w:rsidR="00F97D67" w:rsidRPr="00517C6F" w:rsidRDefault="00F97D67" w:rsidP="00016568">
      <w:pPr>
        <w:pStyle w:val="ATHeading3"/>
      </w:pPr>
      <w:bookmarkStart w:id="5" w:name="Sujet"/>
      <w:r w:rsidRPr="00517C6F">
        <w:t>1. Decizia Parlamentului European din 11 aprilie 2024 privind descărcarea de gestiune pentru execuția bugetului Agenției Europene pentru Poliția de Frontieră și Garda de Coastă aferent exercițiului financiar 2022</w:t>
      </w:r>
      <w:bookmarkEnd w:id="5"/>
      <w:r w:rsidRPr="00517C6F">
        <w:t xml:space="preserve"> </w:t>
      </w:r>
      <w:bookmarkStart w:id="6" w:name="References"/>
      <w:r w:rsidRPr="00517C6F">
        <w:t>(2023/2172(DEC))</w:t>
      </w:r>
      <w:bookmarkEnd w:id="6"/>
    </w:p>
    <w:p w:rsidR="00690B04" w:rsidRPr="00517C6F" w:rsidRDefault="00690B04" w:rsidP="00690B04">
      <w:pPr>
        <w:pStyle w:val="EPComma"/>
      </w:pPr>
      <w:bookmarkStart w:id="7" w:name="TextBodyBegin"/>
      <w:bookmarkEnd w:id="7"/>
      <w:r w:rsidRPr="00517C6F">
        <w:rPr>
          <w:i/>
        </w:rPr>
        <w:t>Parlamentul European</w:t>
      </w:r>
      <w:r w:rsidRPr="00517C6F">
        <w:t>,</w:t>
      </w:r>
    </w:p>
    <w:p w:rsidR="00690B04" w:rsidRPr="00517C6F" w:rsidRDefault="00690B04" w:rsidP="00690B04">
      <w:pPr>
        <w:pStyle w:val="NormalHanging12a"/>
      </w:pPr>
      <w:r w:rsidRPr="00517C6F">
        <w:t>–</w:t>
      </w:r>
      <w:r w:rsidRPr="00517C6F">
        <w:tab/>
        <w:t>având în vedere conturile anuale finale ale Agenției Europene pentru Poliția de Frontieră și Garda de Coastă pentru exercițiul financiar 2022,</w:t>
      </w:r>
    </w:p>
    <w:p w:rsidR="00690B04" w:rsidRPr="00517C6F" w:rsidRDefault="00690B04" w:rsidP="00690B04">
      <w:pPr>
        <w:pStyle w:val="NormalHanging12a"/>
      </w:pPr>
      <w:r w:rsidRPr="00517C6F">
        <w:t>–</w:t>
      </w:r>
      <w:r w:rsidRPr="00517C6F">
        <w:tab/>
        <w:t>având în vedere Raportul anual al Curții de Conturi privind agențiile UE pentru exercițiul financiar 2022, însoțit de răspunsurile agențiilor</w:t>
      </w:r>
      <w:r w:rsidRPr="00517C6F">
        <w:rPr>
          <w:rStyle w:val="FootnoteReference"/>
        </w:rPr>
        <w:footnoteReference w:id="1"/>
      </w:r>
      <w:r w:rsidRPr="00517C6F">
        <w:t>,</w:t>
      </w:r>
    </w:p>
    <w:p w:rsidR="00690B04" w:rsidRPr="00517C6F" w:rsidRDefault="00690B04" w:rsidP="00690B04">
      <w:pPr>
        <w:pStyle w:val="NormalHanging12a"/>
      </w:pPr>
      <w:r w:rsidRPr="00517C6F">
        <w:t>–</w:t>
      </w:r>
      <w:r w:rsidRPr="00517C6F">
        <w:tab/>
        <w:t>având în vedere declarația de asigurare</w:t>
      </w:r>
      <w:r w:rsidRPr="00517C6F">
        <w:rPr>
          <w:rStyle w:val="FootnoteReference"/>
        </w:rPr>
        <w:footnoteReference w:id="2"/>
      </w:r>
      <w:r w:rsidRPr="00517C6F">
        <w:t xml:space="preserve"> privind fiabilitatea conturilor și legalitatea și regularitatea operațiunilor subiacente întocmită de Curtea de Conturi pentru exercițiul 2022 în temeiul articolului 287 din Tratatul privind funcționarea Uniunii Europene,</w:t>
      </w:r>
    </w:p>
    <w:p w:rsidR="00690B04" w:rsidRPr="00517C6F" w:rsidRDefault="00690B04" w:rsidP="00690B04">
      <w:pPr>
        <w:pStyle w:val="NormalHanging12a"/>
      </w:pPr>
      <w:r w:rsidRPr="00517C6F">
        <w:t>–</w:t>
      </w:r>
      <w:r w:rsidRPr="00517C6F">
        <w:tab/>
        <w:t>având în vedere Recomandarea Consiliului din 22 februarie 2024 privind descărcarea de gestiune a Agenției în ceea ce privește execuția bugetară pentru exercițiul financiar 2022 (</w:t>
      </w:r>
      <w:r w:rsidR="003150B8" w:rsidRPr="00517C6F">
        <w:t>06180/2024 – C9</w:t>
      </w:r>
      <w:r w:rsidR="003150B8" w:rsidRPr="00517C6F">
        <w:noBreakHyphen/>
        <w:t>0110/2024</w:t>
      </w:r>
      <w:r w:rsidRPr="00517C6F">
        <w:t>),</w:t>
      </w:r>
    </w:p>
    <w:p w:rsidR="00690B04" w:rsidRPr="00517C6F" w:rsidRDefault="00690B04" w:rsidP="00690B04">
      <w:pPr>
        <w:pStyle w:val="NormalHanging12a"/>
      </w:pPr>
      <w:r w:rsidRPr="00517C6F">
        <w:t>–</w:t>
      </w:r>
      <w:r w:rsidRPr="00517C6F">
        <w:tab/>
        <w:t>având în vedere articolul 319 din Tratatul privind funcționarea Uniunii Europene,</w:t>
      </w:r>
    </w:p>
    <w:p w:rsidR="00690B04" w:rsidRPr="00517C6F" w:rsidRDefault="00690B04" w:rsidP="00690B04">
      <w:pPr>
        <w:pStyle w:val="NormalHanging12a"/>
      </w:pPr>
      <w:r w:rsidRPr="00517C6F">
        <w:t>–</w:t>
      </w:r>
      <w:r w:rsidRPr="00517C6F">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517C6F">
        <w:rPr>
          <w:rStyle w:val="FootnoteReference"/>
        </w:rPr>
        <w:footnoteReference w:id="3"/>
      </w:r>
      <w:r w:rsidRPr="00517C6F">
        <w:t>, în special articolul 70,</w:t>
      </w:r>
    </w:p>
    <w:p w:rsidR="00690B04" w:rsidRPr="00517C6F" w:rsidRDefault="00690B04" w:rsidP="00690B04">
      <w:pPr>
        <w:pStyle w:val="NormalHanging12a"/>
      </w:pPr>
      <w:r w:rsidRPr="00517C6F">
        <w:t>–</w:t>
      </w:r>
      <w:r w:rsidRPr="00517C6F">
        <w:tab/>
        <w:t xml:space="preserve">având în vedere Regulamentul (UE) 2019/1896 al Parlamentului European și al </w:t>
      </w:r>
      <w:r w:rsidRPr="00517C6F">
        <w:lastRenderedPageBreak/>
        <w:t>Consiliului din 13 noiembrie 2019 privind Poliția de frontieră și garda de coastă la nivel european și de abrogare a Regulamentelor (UE) nr. 1052/2013 și (UE) 2016/1624</w:t>
      </w:r>
      <w:r w:rsidRPr="00517C6F">
        <w:rPr>
          <w:rStyle w:val="FootnoteReference"/>
        </w:rPr>
        <w:footnoteReference w:id="4"/>
      </w:r>
      <w:r w:rsidRPr="00517C6F">
        <w:t>, în special articolul 116,</w:t>
      </w:r>
    </w:p>
    <w:p w:rsidR="00690B04" w:rsidRPr="00517C6F" w:rsidRDefault="00690B04" w:rsidP="00690B04">
      <w:pPr>
        <w:pStyle w:val="NormalHanging12a"/>
      </w:pPr>
      <w:r w:rsidRPr="00517C6F">
        <w:t>–</w:t>
      </w:r>
      <w:r w:rsidRPr="00517C6F">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517C6F">
        <w:rPr>
          <w:rStyle w:val="FootnoteReference"/>
        </w:rPr>
        <w:footnoteReference w:id="5"/>
      </w:r>
      <w:r w:rsidRPr="00517C6F">
        <w:t>, în special articolul 105,</w:t>
      </w:r>
    </w:p>
    <w:p w:rsidR="00690B04" w:rsidRPr="00517C6F" w:rsidRDefault="00690B04" w:rsidP="00690B04">
      <w:pPr>
        <w:pStyle w:val="NormalHanging12a"/>
      </w:pPr>
      <w:r w:rsidRPr="00517C6F">
        <w:t>–</w:t>
      </w:r>
      <w:r w:rsidRPr="00517C6F">
        <w:tab/>
        <w:t>având în vedere articolul 100 și anexa V la Regulamentul său de procedură,</w:t>
      </w:r>
    </w:p>
    <w:p w:rsidR="00690B04" w:rsidRPr="00517C6F" w:rsidRDefault="00690B04" w:rsidP="00690B04">
      <w:pPr>
        <w:pStyle w:val="NormalHanging12a"/>
      </w:pPr>
      <w:r w:rsidRPr="00517C6F">
        <w:t>–</w:t>
      </w:r>
      <w:r w:rsidRPr="00517C6F">
        <w:tab/>
        <w:t>având în vedere avizul Comisiei pentru libertăți civile, justiție și afaceri interne,</w:t>
      </w:r>
    </w:p>
    <w:p w:rsidR="00690B04" w:rsidRPr="00517C6F" w:rsidRDefault="00690B04" w:rsidP="00690B04">
      <w:pPr>
        <w:pStyle w:val="NormalHanging12a"/>
      </w:pPr>
      <w:r w:rsidRPr="00517C6F">
        <w:t>–</w:t>
      </w:r>
      <w:r w:rsidRPr="00517C6F">
        <w:tab/>
        <w:t>având în vedere raportul Comisiei pentru control bugetar (A9-0113/2024),</w:t>
      </w:r>
    </w:p>
    <w:p w:rsidR="00690B04" w:rsidRPr="00517C6F" w:rsidRDefault="00690B04" w:rsidP="00690B04">
      <w:pPr>
        <w:pStyle w:val="NormalHanging12a"/>
      </w:pPr>
      <w:r w:rsidRPr="00517C6F">
        <w:t>1.</w:t>
      </w:r>
      <w:r w:rsidRPr="00517C6F">
        <w:tab/>
        <w:t>acordă directorului executiv al Agenției Europene pentru Poliția de Frontieră și Garda de Coastă descărcarea de gestiune pentru execuția bugetului Agenției aferent exercițiului financiar 2022;</w:t>
      </w:r>
    </w:p>
    <w:p w:rsidR="00690B04" w:rsidRPr="00517C6F" w:rsidRDefault="00690B04" w:rsidP="00690B04">
      <w:pPr>
        <w:pStyle w:val="NormalHanging12a"/>
      </w:pPr>
      <w:r w:rsidRPr="00517C6F">
        <w:t>2.</w:t>
      </w:r>
      <w:r w:rsidRPr="00517C6F">
        <w:tab/>
        <w:t>își prezintă observațiile în cadrul rezoluției de mai jos;</w:t>
      </w:r>
    </w:p>
    <w:p w:rsidR="00690B04" w:rsidRPr="00517C6F" w:rsidRDefault="00690B04" w:rsidP="00690B04">
      <w:pPr>
        <w:pStyle w:val="NormalHanging12a"/>
      </w:pPr>
      <w:r w:rsidRPr="00517C6F">
        <w:t>3.</w:t>
      </w:r>
      <w:r w:rsidRPr="00517C6F">
        <w:tab/>
        <w:t xml:space="preserve">încredințează Președintei sarcina de a transmite prezenta decizie împreună cu rezoluția Parlamentului, ca parte integrantă a acesteia, directorului executiv al Agenției Europene pentru Poliția de Frontieră și Garda de Coastă, Consiliului, Comisiei și Curții de Conturi și de a asigura publicarea acestora în </w:t>
      </w:r>
      <w:r w:rsidRPr="00517C6F">
        <w:rPr>
          <w:i/>
        </w:rPr>
        <w:t>Jurnalul Oficial al Uniunii Europene</w:t>
      </w:r>
      <w:r w:rsidRPr="00517C6F">
        <w:t xml:space="preserve"> (seria L).</w:t>
      </w:r>
    </w:p>
    <w:p w:rsidR="00690B04" w:rsidRPr="00517C6F" w:rsidRDefault="00690B04" w:rsidP="00690B04"/>
    <w:p w:rsidR="00690B04" w:rsidRPr="00517C6F" w:rsidRDefault="00690B04" w:rsidP="00690B04">
      <w:pPr>
        <w:widowControl/>
        <w:rPr>
          <w:rFonts w:ascii="Arial" w:hAnsi="Arial" w:cs="Arial"/>
          <w:b/>
        </w:rPr>
        <w:sectPr w:rsidR="00690B04" w:rsidRPr="00517C6F" w:rsidSect="001871B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90B04" w:rsidRPr="00517C6F" w:rsidRDefault="00016568" w:rsidP="00016568">
      <w:pPr>
        <w:pStyle w:val="ATHeading3"/>
      </w:pPr>
      <w:r w:rsidRPr="00517C6F">
        <w:lastRenderedPageBreak/>
        <w:t xml:space="preserve">2. Decizia Parlamentului European din 11 aprilie 2024 </w:t>
      </w:r>
      <w:r w:rsidR="00690B04" w:rsidRPr="00517C6F">
        <w:t>privind închiderea conturilor Agenției Europene pentru Poliția de Frontieră și Garda de Coastă pentru exercițiul financiar 2022</w:t>
      </w:r>
      <w:r w:rsidRPr="00517C6F">
        <w:t xml:space="preserve"> </w:t>
      </w:r>
      <w:r w:rsidR="00690B04" w:rsidRPr="00517C6F">
        <w:t>(2023/2172(DEC))</w:t>
      </w:r>
    </w:p>
    <w:p w:rsidR="00690B04" w:rsidRPr="00517C6F" w:rsidRDefault="00690B04" w:rsidP="00690B04">
      <w:pPr>
        <w:pStyle w:val="EPComma"/>
      </w:pPr>
      <w:r w:rsidRPr="00517C6F">
        <w:rPr>
          <w:i/>
        </w:rPr>
        <w:t>Parlamentul European</w:t>
      </w:r>
      <w:r w:rsidRPr="00517C6F">
        <w:t>,</w:t>
      </w:r>
    </w:p>
    <w:p w:rsidR="00690B04" w:rsidRPr="00517C6F" w:rsidRDefault="00690B04" w:rsidP="00690B04">
      <w:pPr>
        <w:pStyle w:val="NormalHanging12a"/>
      </w:pPr>
      <w:r w:rsidRPr="00517C6F">
        <w:t>–</w:t>
      </w:r>
      <w:r w:rsidRPr="00517C6F">
        <w:tab/>
        <w:t>având în vedere conturile anuale finale ale Agenției Europene pentru Poliția de Frontieră și Garda de Coastă pentru exercițiul financiar 2022,</w:t>
      </w:r>
    </w:p>
    <w:p w:rsidR="00690B04" w:rsidRPr="00517C6F" w:rsidRDefault="00690B04" w:rsidP="00690B04">
      <w:pPr>
        <w:pStyle w:val="NormalHanging12a"/>
      </w:pPr>
      <w:r w:rsidRPr="00517C6F">
        <w:t>–</w:t>
      </w:r>
      <w:r w:rsidRPr="00517C6F">
        <w:tab/>
        <w:t>având în vedere Raportul anual al Curții de Conturi privind agențiile UE pentru exercițiul financiar 2022, însoțit de răspunsurile agențiilor</w:t>
      </w:r>
      <w:r w:rsidRPr="00517C6F">
        <w:rPr>
          <w:rStyle w:val="FootnoteReference"/>
        </w:rPr>
        <w:footnoteReference w:id="6"/>
      </w:r>
      <w:r w:rsidRPr="00517C6F">
        <w:t>,</w:t>
      </w:r>
    </w:p>
    <w:p w:rsidR="00690B04" w:rsidRPr="00517C6F" w:rsidRDefault="00690B04" w:rsidP="00690B04">
      <w:pPr>
        <w:pStyle w:val="NormalHanging12a"/>
      </w:pPr>
      <w:r w:rsidRPr="00517C6F">
        <w:t>–</w:t>
      </w:r>
      <w:r w:rsidRPr="00517C6F">
        <w:tab/>
        <w:t>având în vedere declarația de asigurare</w:t>
      </w:r>
      <w:r w:rsidRPr="00517C6F">
        <w:rPr>
          <w:rStyle w:val="FootnoteReference"/>
        </w:rPr>
        <w:footnoteReference w:id="7"/>
      </w:r>
      <w:r w:rsidRPr="00517C6F">
        <w:t xml:space="preserve"> privind fiabilitatea conturilor și legalitatea și regularitatea operațiunilor subiacente întocmită de Curtea de Conturi pentru exercițiul 2022 în temeiul articolului 287 din Tratatul privind funcționarea Uniunii Europene,</w:t>
      </w:r>
    </w:p>
    <w:p w:rsidR="00690B04" w:rsidRPr="00517C6F" w:rsidRDefault="00690B04" w:rsidP="00690B04">
      <w:pPr>
        <w:pStyle w:val="NormalHanging12a"/>
      </w:pPr>
      <w:r w:rsidRPr="00517C6F">
        <w:t>–</w:t>
      </w:r>
      <w:r w:rsidRPr="00517C6F">
        <w:tab/>
        <w:t>având în vedere Recomandarea Consiliului din 22 februarie 2024 privind descărcarea de gestiune a Agenției în ceea ce privește execuția bugetară pentru exercițiul financiar 2022 (</w:t>
      </w:r>
      <w:r w:rsidR="003150B8" w:rsidRPr="00517C6F">
        <w:t>06180/2024 – C9</w:t>
      </w:r>
      <w:r w:rsidR="003150B8" w:rsidRPr="00517C6F">
        <w:noBreakHyphen/>
        <w:t>0110/2024</w:t>
      </w:r>
      <w:r w:rsidRPr="00517C6F">
        <w:t>),</w:t>
      </w:r>
    </w:p>
    <w:p w:rsidR="00690B04" w:rsidRPr="00517C6F" w:rsidRDefault="00690B04" w:rsidP="00690B04">
      <w:pPr>
        <w:pStyle w:val="NormalHanging12a"/>
      </w:pPr>
      <w:r w:rsidRPr="00517C6F">
        <w:t>–</w:t>
      </w:r>
      <w:r w:rsidRPr="00517C6F">
        <w:tab/>
        <w:t>având în vedere articolul 319 din Tratatul privind funcționarea Uniunii Europene,</w:t>
      </w:r>
    </w:p>
    <w:p w:rsidR="00690B04" w:rsidRPr="00517C6F" w:rsidRDefault="00690B04" w:rsidP="00690B04">
      <w:pPr>
        <w:pStyle w:val="NormalHanging12a"/>
      </w:pPr>
      <w:r w:rsidRPr="00517C6F">
        <w:t>–</w:t>
      </w:r>
      <w:r w:rsidRPr="00517C6F">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517C6F">
        <w:rPr>
          <w:rStyle w:val="FootnoteReference"/>
        </w:rPr>
        <w:footnoteReference w:id="8"/>
      </w:r>
      <w:r w:rsidRPr="00517C6F">
        <w:t>, în special articolul 70,</w:t>
      </w:r>
    </w:p>
    <w:p w:rsidR="00690B04" w:rsidRPr="00517C6F" w:rsidRDefault="00690B04" w:rsidP="00690B04">
      <w:pPr>
        <w:pStyle w:val="NormalHanging12a"/>
      </w:pPr>
      <w:r w:rsidRPr="00517C6F">
        <w:t>–</w:t>
      </w:r>
      <w:r w:rsidRPr="00517C6F">
        <w:tab/>
        <w:t>având în vedere Regulamentul (UE) 2019/1896 al Parlamentului European și al Consiliului din 13 noiembrie 2019 privind Poliția de frontieră și garda de coastă la nivel european și de abrogare a Regulamentelor (UE) nr. 1052/2013 și (UE) 2016/1624</w:t>
      </w:r>
      <w:r w:rsidRPr="00517C6F">
        <w:rPr>
          <w:rStyle w:val="FootnoteReference"/>
        </w:rPr>
        <w:footnoteReference w:id="9"/>
      </w:r>
      <w:r w:rsidRPr="00517C6F">
        <w:t>, în special articolul 116,</w:t>
      </w:r>
    </w:p>
    <w:p w:rsidR="00690B04" w:rsidRPr="00517C6F" w:rsidRDefault="00690B04" w:rsidP="00690B04">
      <w:pPr>
        <w:pStyle w:val="NormalHanging12a"/>
      </w:pPr>
      <w:r w:rsidRPr="00517C6F">
        <w:t>–</w:t>
      </w:r>
      <w:r w:rsidRPr="00517C6F">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517C6F">
        <w:rPr>
          <w:rStyle w:val="FootnoteReference"/>
        </w:rPr>
        <w:footnoteReference w:id="10"/>
      </w:r>
      <w:r w:rsidRPr="00517C6F">
        <w:t>, în special articolul 105,</w:t>
      </w:r>
    </w:p>
    <w:p w:rsidR="00690B04" w:rsidRPr="00517C6F" w:rsidRDefault="00690B04" w:rsidP="00690B04">
      <w:pPr>
        <w:pStyle w:val="NormalHanging12a"/>
      </w:pPr>
      <w:r w:rsidRPr="00517C6F">
        <w:t>–</w:t>
      </w:r>
      <w:r w:rsidRPr="00517C6F">
        <w:tab/>
        <w:t>având în vedere articolul 100 și anexa V la Regulamentul său de procedură,</w:t>
      </w:r>
    </w:p>
    <w:p w:rsidR="00690B04" w:rsidRPr="00517C6F" w:rsidRDefault="00690B04" w:rsidP="00690B04">
      <w:pPr>
        <w:pStyle w:val="NormalHanging12a"/>
      </w:pPr>
      <w:r w:rsidRPr="00517C6F">
        <w:t>–</w:t>
      </w:r>
      <w:r w:rsidRPr="00517C6F">
        <w:tab/>
        <w:t>având în vedere avizul Comisiei pentru libertăți civile, justiție și afaceri interne,</w:t>
      </w:r>
    </w:p>
    <w:p w:rsidR="00690B04" w:rsidRPr="00517C6F" w:rsidRDefault="00690B04" w:rsidP="00690B04">
      <w:pPr>
        <w:pStyle w:val="NormalHanging12a"/>
      </w:pPr>
      <w:r w:rsidRPr="00517C6F">
        <w:t>–</w:t>
      </w:r>
      <w:r w:rsidRPr="00517C6F">
        <w:tab/>
        <w:t>având în vedere raportul Comisiei pentru control bugetar (A9-0113/2024),</w:t>
      </w:r>
    </w:p>
    <w:p w:rsidR="00690B04" w:rsidRPr="00517C6F" w:rsidRDefault="00690B04" w:rsidP="00690B04">
      <w:pPr>
        <w:pStyle w:val="NormalHanging12a"/>
      </w:pPr>
      <w:r w:rsidRPr="00517C6F">
        <w:t>1.</w:t>
      </w:r>
      <w:r w:rsidRPr="00517C6F">
        <w:tab/>
        <w:t xml:space="preserve">aprobă închiderea conturilor Agenției Europene pentru Poliția de Frontieră și Garda de </w:t>
      </w:r>
      <w:r w:rsidRPr="00517C6F">
        <w:lastRenderedPageBreak/>
        <w:t>Coastă pentru exercițiul financiar 2022;</w:t>
      </w:r>
    </w:p>
    <w:p w:rsidR="00690B04" w:rsidRPr="00517C6F" w:rsidRDefault="00690B04" w:rsidP="00690B04">
      <w:pPr>
        <w:pStyle w:val="NormalHanging12a"/>
      </w:pPr>
      <w:r w:rsidRPr="00517C6F">
        <w:t>2.</w:t>
      </w:r>
      <w:r w:rsidRPr="00517C6F">
        <w:tab/>
        <w:t xml:space="preserve">încredințează Președintei sarcina de a transmite prezenta decizie directorului executiv al Agenției Europene pentru Poliția de Frontieră și Garda de Coastă, Consiliului, Comisiei și Curții de Conturi și de a asigura publicarea acesteia în </w:t>
      </w:r>
      <w:r w:rsidRPr="00517C6F">
        <w:rPr>
          <w:i/>
        </w:rPr>
        <w:t>Jurnalul Oficial al Uniunii Europene</w:t>
      </w:r>
      <w:r w:rsidRPr="00517C6F">
        <w:t xml:space="preserve"> (seria L).</w:t>
      </w:r>
    </w:p>
    <w:p w:rsidR="00690B04" w:rsidRPr="00517C6F" w:rsidRDefault="00690B04" w:rsidP="00690B04"/>
    <w:p w:rsidR="00690B04" w:rsidRPr="00517C6F" w:rsidRDefault="00690B04" w:rsidP="00690B04">
      <w:pPr>
        <w:widowControl/>
        <w:rPr>
          <w:rFonts w:ascii="Arial" w:hAnsi="Arial" w:cs="Arial"/>
          <w:b/>
        </w:rPr>
        <w:sectPr w:rsidR="00690B04" w:rsidRPr="00517C6F" w:rsidSect="001871BC">
          <w:footnotePr>
            <w:numRestart w:val="eachPage"/>
          </w:footnotePr>
          <w:endnotePr>
            <w:numFmt w:val="decimal"/>
          </w:endnotePr>
          <w:pgSz w:w="11906" w:h="16838"/>
          <w:pgMar w:top="1134" w:right="1418" w:bottom="1418" w:left="1418" w:header="567" w:footer="567" w:gutter="0"/>
          <w:cols w:space="720"/>
          <w:docGrid w:linePitch="326"/>
        </w:sectPr>
      </w:pPr>
    </w:p>
    <w:p w:rsidR="00690B04" w:rsidRPr="00517C6F" w:rsidRDefault="00016568" w:rsidP="00016568">
      <w:pPr>
        <w:pStyle w:val="ATHeading3"/>
      </w:pPr>
      <w:r w:rsidRPr="00517C6F">
        <w:lastRenderedPageBreak/>
        <w:t xml:space="preserve">3. Rezoluția Parlamentului European din 11 aprilie 2024 </w:t>
      </w:r>
      <w:r w:rsidR="00690B04" w:rsidRPr="00517C6F">
        <w:t>conținând observațiile care fac parte integrantă din decizia privind descărcarea de gestiune pentru execuția bugetului Agenției Europene pentru Poliția de Frontieră și Garda de Coastă aferent exercițiului financiar 2022</w:t>
      </w:r>
      <w:r w:rsidRPr="00517C6F">
        <w:t xml:space="preserve"> </w:t>
      </w:r>
      <w:r w:rsidR="00690B04" w:rsidRPr="00517C6F">
        <w:t>(2023/2172(DEC))</w:t>
      </w:r>
    </w:p>
    <w:p w:rsidR="00690B04" w:rsidRPr="00517C6F" w:rsidRDefault="00690B04" w:rsidP="00690B04">
      <w:pPr>
        <w:pStyle w:val="EPComma"/>
      </w:pPr>
      <w:r w:rsidRPr="00517C6F">
        <w:rPr>
          <w:i/>
        </w:rPr>
        <w:t>Parlamentul European</w:t>
      </w:r>
      <w:r w:rsidRPr="00517C6F">
        <w:t>,</w:t>
      </w:r>
    </w:p>
    <w:p w:rsidR="00690B04" w:rsidRPr="00517C6F" w:rsidRDefault="00690B04" w:rsidP="00690B04">
      <w:pPr>
        <w:pStyle w:val="NormalHanging12a"/>
      </w:pPr>
      <w:r w:rsidRPr="00517C6F">
        <w:t>–</w:t>
      </w:r>
      <w:r w:rsidRPr="00517C6F">
        <w:tab/>
        <w:t>având în vedere decizia sa privind descărcarea de gestiune pentru execuția bugetului Agenției Europene pentru Poliția de Frontieră și Garda de Coastă aferent exercițiului financiar 2022,</w:t>
      </w:r>
    </w:p>
    <w:p w:rsidR="00690B04" w:rsidRPr="00517C6F" w:rsidRDefault="00690B04" w:rsidP="00690B04">
      <w:pPr>
        <w:pStyle w:val="NormalHanging12a"/>
      </w:pPr>
      <w:r w:rsidRPr="00517C6F">
        <w:t>–</w:t>
      </w:r>
      <w:r w:rsidRPr="00517C6F">
        <w:tab/>
        <w:t>având în vedere articolul 100 și anexa V la Regulamentul său de procedură,</w:t>
      </w:r>
    </w:p>
    <w:p w:rsidR="00690B04" w:rsidRPr="00517C6F" w:rsidRDefault="00690B04" w:rsidP="00690B04">
      <w:pPr>
        <w:pStyle w:val="NormalHanging12a"/>
      </w:pPr>
      <w:r w:rsidRPr="00517C6F">
        <w:t>–</w:t>
      </w:r>
      <w:r w:rsidRPr="00517C6F">
        <w:tab/>
        <w:t>având în vedere avizul Comisiei pentru libertăți civile, justiție și afaceri interne,</w:t>
      </w:r>
    </w:p>
    <w:p w:rsidR="00690B04" w:rsidRPr="00517C6F" w:rsidRDefault="00690B04" w:rsidP="00690B04">
      <w:pPr>
        <w:pStyle w:val="NormalHanging12a"/>
      </w:pPr>
      <w:r w:rsidRPr="00517C6F">
        <w:t>–</w:t>
      </w:r>
      <w:r w:rsidRPr="00517C6F">
        <w:tab/>
        <w:t>având în vedere raportul Comisiei pentru control bugetar (A9-0113/2024),</w:t>
      </w:r>
    </w:p>
    <w:p w:rsidR="00690B04" w:rsidRPr="00517C6F" w:rsidRDefault="00690B04" w:rsidP="00690B04">
      <w:pPr>
        <w:pStyle w:val="Normal12Hanging"/>
        <w:rPr>
          <w:rFonts w:ascii="Times New Roman" w:hAnsi="Times New Roman" w:cs="Times New Roman"/>
          <w:lang w:val="ro-RO"/>
        </w:rPr>
      </w:pPr>
      <w:r w:rsidRPr="00517C6F">
        <w:rPr>
          <w:rFonts w:ascii="Times New Roman" w:hAnsi="Times New Roman"/>
          <w:lang w:val="ro-RO"/>
        </w:rPr>
        <w:t>A.</w:t>
      </w:r>
      <w:r w:rsidRPr="00517C6F">
        <w:rPr>
          <w:rFonts w:ascii="Times New Roman" w:hAnsi="Times New Roman"/>
          <w:lang w:val="ro-RO"/>
        </w:rPr>
        <w:tab/>
        <w:t>întrucât, potrivit situației veniturilor și cheltuielilor sale</w:t>
      </w:r>
      <w:r w:rsidRPr="00517C6F">
        <w:rPr>
          <w:rFonts w:ascii="Times New Roman" w:hAnsi="Times New Roman" w:cs="Times New Roman"/>
          <w:vertAlign w:val="superscript"/>
          <w:lang w:val="ro-RO"/>
        </w:rPr>
        <w:footnoteReference w:id="11"/>
      </w:r>
      <w:r w:rsidRPr="00517C6F">
        <w:rPr>
          <w:rFonts w:ascii="Times New Roman" w:hAnsi="Times New Roman"/>
          <w:lang w:val="ro-RO"/>
        </w:rPr>
        <w:t>, bugetul definitiv al Agenției Europene pentru Poliția de Frontieră și Garda de Coastă (în continuare „Agenția”) aferent exercițiului financiar 2022 a fost de 693 122 859 EUR, ceea ce reprezintă o creștere de 29,50 % față de bugetul pe 2021; întrucât bugetul Agenției provine în principal de la bugetul Uniunii;</w:t>
      </w:r>
    </w:p>
    <w:p w:rsidR="00690B04" w:rsidRPr="00517C6F" w:rsidRDefault="00690B04" w:rsidP="00690B04">
      <w:pPr>
        <w:widowControl/>
        <w:autoSpaceDE w:val="0"/>
        <w:autoSpaceDN w:val="0"/>
        <w:adjustRightInd w:val="0"/>
        <w:spacing w:after="240"/>
        <w:ind w:left="567" w:hanging="567"/>
        <w:rPr>
          <w:rFonts w:eastAsiaTheme="minorHAnsi"/>
          <w:szCs w:val="24"/>
        </w:rPr>
      </w:pPr>
      <w:r w:rsidRPr="00517C6F">
        <w:t>B.</w:t>
      </w:r>
      <w:r w:rsidRPr="00517C6F">
        <w:tab/>
        <w:t>întrucât toate organismele, birourile și agențiile Uniunii ar trebui să fie transparente și supuse unor mecanisme de control democratic în fața cetățenilor Uniunii pentru fondurile care le sunt încredințate;</w:t>
      </w:r>
    </w:p>
    <w:p w:rsidR="00690B04" w:rsidRPr="00517C6F" w:rsidRDefault="00690B04" w:rsidP="00690B04">
      <w:pPr>
        <w:pStyle w:val="NormalHanging12a"/>
        <w:widowControl/>
        <w:rPr>
          <w:rFonts w:eastAsiaTheme="minorHAnsi"/>
          <w:szCs w:val="24"/>
        </w:rPr>
      </w:pPr>
      <w:r w:rsidRPr="00517C6F">
        <w:t>C.</w:t>
      </w:r>
      <w:r w:rsidRPr="00517C6F">
        <w:tab/>
        <w:t>întrucât în raportul său privind conturile anuale ale Agenției pentru exercițiul financiar 2022 („raportul Curții”), Curtea de Conturi („Curtea”) declară că a obținut asigurări rezonabile cu privire la fiabilitatea conturilor anuale ale Agenției și cu privire la legalitatea și regularitatea operațiunilor subiacente;</w:t>
      </w:r>
    </w:p>
    <w:p w:rsidR="00690B04" w:rsidRPr="00517C6F" w:rsidRDefault="00690B04" w:rsidP="00690B04">
      <w:pPr>
        <w:pStyle w:val="NormalHanging12a"/>
        <w:widowControl/>
        <w:rPr>
          <w:szCs w:val="24"/>
        </w:rPr>
      </w:pPr>
      <w:r w:rsidRPr="00517C6F">
        <w:t>D.</w:t>
      </w:r>
      <w:r w:rsidRPr="00517C6F">
        <w:tab/>
        <w:t>întrucât, din decembrie 2019, Agenția execută un nou mandat, care a fost extins în mod considerabil, fapt ce a avut efecte semnificative în ceea ce privește misiunile și personalul, impunându-se, așadar, un buget corespunzător;</w:t>
      </w:r>
    </w:p>
    <w:p w:rsidR="00690B04" w:rsidRPr="00517C6F" w:rsidRDefault="00690B04" w:rsidP="00690B04">
      <w:pPr>
        <w:pStyle w:val="NormalHanging12a"/>
        <w:widowControl/>
        <w:rPr>
          <w:szCs w:val="24"/>
        </w:rPr>
      </w:pPr>
      <w:r w:rsidRPr="00517C6F">
        <w:t>E.</w:t>
      </w:r>
      <w:r w:rsidRPr="00517C6F">
        <w:tab/>
        <w:t>întrucât în 2022 s-a înregistrat o creștere semnificativă a bugetului Agenției și a execuției schemei de personal, ca urmare a extinderii mandatului în temeiul Regulamentului (UE) 2019/1896;</w:t>
      </w:r>
    </w:p>
    <w:p w:rsidR="00690B04" w:rsidRPr="00517C6F" w:rsidRDefault="00690B04" w:rsidP="00690B04">
      <w:pPr>
        <w:widowControl/>
        <w:autoSpaceDE w:val="0"/>
        <w:autoSpaceDN w:val="0"/>
        <w:adjustRightInd w:val="0"/>
        <w:spacing w:after="240"/>
        <w:ind w:left="567" w:hanging="567"/>
        <w:rPr>
          <w:szCs w:val="24"/>
        </w:rPr>
      </w:pPr>
      <w:r w:rsidRPr="00517C6F">
        <w:t>F.</w:t>
      </w:r>
      <w:r w:rsidRPr="00517C6F">
        <w:tab/>
        <w:t>întrucât în Raportul său special nr. 8/2021 privind sprijinul acordat de Agenție pentru gestionarea frontierelor externe, Curtea a identificat mai multe deficiențe legate de activitățile principale ale Agenției, și anume monitorizarea situației, analiza riscurilor, evaluarea vulnerabilităților, operațiunile comune și intervențiile rapide la frontieră, operațiunile de returnare și instruirea personalului Agenției, precum și inexistența unor evaluări ale nevoilor și ale impactului înainte de creșterea exponențială a cheltuielilor Agenției,</w:t>
      </w:r>
    </w:p>
    <w:p w:rsidR="00690B04" w:rsidRPr="00517C6F" w:rsidRDefault="00690B04" w:rsidP="00690B04">
      <w:pPr>
        <w:pStyle w:val="NormalHanging12a"/>
      </w:pPr>
      <w:r w:rsidRPr="00517C6F">
        <w:t>1.</w:t>
      </w:r>
      <w:r w:rsidRPr="00517C6F">
        <w:tab/>
        <w:t xml:space="preserve">reamintește că Agenția, în urma constatărilor Oficiului European de Luptă Antifraudă </w:t>
      </w:r>
      <w:r w:rsidRPr="00517C6F">
        <w:lastRenderedPageBreak/>
        <w:t xml:space="preserve">(OLAF) și a demisiei fostului director executiv al Agenției în aprilie 2022, a elaborat un plan de acțiune (PA) care prezintă acțiuni specifice care trebuie întreprinse pentru a remedia diverse deficiențe în domenii în care sunt necesare îmbunătățiri, cum ar fi cultura organizațională, transparența și responsabilitatea și cadrul privind drepturile fundamentale; observă, potrivit raportului Agenției (semnat la 24 octombrie 2023) referitor la al treilea trimestru al anului 2023 adresat Grupului de lucru pentru controlul </w:t>
      </w:r>
      <w:proofErr w:type="spellStart"/>
      <w:r w:rsidRPr="00517C6F">
        <w:t>Frontex</w:t>
      </w:r>
      <w:proofErr w:type="spellEnd"/>
      <w:r w:rsidRPr="00517C6F">
        <w:t xml:space="preserve"> al Parlamentului European (GLCF), punerea în aplicare a majorității acțiunilor legate de recomandările GLCF, ale Grupului de lucru al Consiliului de administrație al Agenției (CA) pentru drepturi fundamentale și juridice și operațiuni (</w:t>
      </w:r>
      <w:proofErr w:type="spellStart"/>
      <w:r w:rsidRPr="00517C6F">
        <w:t>FRaLO</w:t>
      </w:r>
      <w:proofErr w:type="spellEnd"/>
      <w:r w:rsidRPr="00517C6F">
        <w:t xml:space="preserve">), ale Ombudsmanului European (OE) și ale OLAF; invită Agenția să implementeze pe deplin PA și să continue să informeze autoritatea care acordă descărcarea de gestiune cu privire la progresele înregistrate în această privință; invită Agenția să pună în aplicare pe deplin, în mod prioritar, toate recomandările în curs din partea GLCF, a Grupului de lucru al CA al Agenției, a </w:t>
      </w:r>
      <w:proofErr w:type="spellStart"/>
      <w:r w:rsidRPr="00517C6F">
        <w:t>FRaLO</w:t>
      </w:r>
      <w:proofErr w:type="spellEnd"/>
      <w:r w:rsidRPr="00517C6F">
        <w:t>, a OE, a Curții și a OLAF; reafirmă că este important să se revizuiască și să se controleze în mod constant activitățile echipei de conducere, în vederea identificării și soluționării în timp util a problemelor; observă că, pentru a da curs în continuare problemelor ridicate în raportul OLAF care a condus la demisia fostului director executiv al Agenției, șeful Oficiului de inspecție și control (ICO) nou înființat a elaborat un plan de acțiune care a fost prezentat CA în ianuarie 2023; solicită Agenției să își intensifice eforturile în curs și să ia toate măsurile necesare pentru a asigura respectarea deplină a standardelor Uniunii, în special în domeniul gestiunii bugetare și financiare, al drepturilor fundamentale, al culturii organizaționale și al transparenței; reamintește a doua investigație a OLAF privind practicile de conducere din Agenție, care se derulează la numai nouă luni de la încheierea primei investigații a OLAF; solicită ca acuzațiile de abateri să fie verificate și investigate în detaliu; invită Agenția să asigure cooperarea deplină și sinceră cu OLAF pe parcursul tuturor etapelor investigației și să raporteze periodic Parlamentului despre evoluția situației și rezultatele investigației;</w:t>
      </w:r>
    </w:p>
    <w:p w:rsidR="00690B04" w:rsidRPr="00517C6F" w:rsidRDefault="00690B04" w:rsidP="00690B04">
      <w:pPr>
        <w:pStyle w:val="NormalHanging12a"/>
      </w:pPr>
      <w:r w:rsidRPr="00517C6F">
        <w:t>2.</w:t>
      </w:r>
      <w:r w:rsidRPr="00517C6F">
        <w:tab/>
        <w:t>își exprimă îngrijorarea cu privire la mai multe cauze juridice pendinte și la criticile vizând implicarea Agenției în încălcări ale drepturilor omului, ceea ce nu respectă propriile sale reglementări și obligațiile în materie de drepturi fundamentale;</w:t>
      </w:r>
    </w:p>
    <w:p w:rsidR="00690B04" w:rsidRPr="00517C6F" w:rsidRDefault="00690B04" w:rsidP="00690B04">
      <w:pPr>
        <w:pStyle w:val="NormalHanging12a"/>
      </w:pPr>
      <w:r w:rsidRPr="00517C6F">
        <w:t>3.</w:t>
      </w:r>
      <w:r w:rsidRPr="00517C6F">
        <w:tab/>
        <w:t xml:space="preserve">ia act de măsurile Agenției privind transparența și controlul, și anume punerea la dispoziția Parlamentului și a Consiliului a unei imagini de ansamblu a activităților sale prin intermediul unui nou instrument de raportare numit „tabloul de bord”; încurajează președinții Consiliului de administrație </w:t>
      </w:r>
      <w:r w:rsidR="003150B8" w:rsidRPr="00517C6F">
        <w:t xml:space="preserve">al Agenției </w:t>
      </w:r>
      <w:r w:rsidRPr="00517C6F">
        <w:t>să invite și de acum încolo observatori din partea Parlamentului la reuniunile sale și să reflecteze la ideea de a extinde invitațiile la toate punctele de pe ordinea de zi, inclusiv la punctele discutate cu ușile închise, și să continue să furnizeze toate documentele justificative, fără excepție și, dacă se consideră necesar, în mod confidențial;</w:t>
      </w:r>
    </w:p>
    <w:p w:rsidR="00690B04" w:rsidRPr="00517C6F" w:rsidRDefault="00690B04" w:rsidP="00690B04">
      <w:pPr>
        <w:pStyle w:val="Normal12Hanging"/>
        <w:mirrorIndents/>
        <w:rPr>
          <w:rFonts w:ascii="Times New Roman" w:hAnsi="Times New Roman" w:cs="Times New Roman"/>
          <w:b/>
          <w:i/>
          <w:lang w:val="ro-RO"/>
        </w:rPr>
      </w:pPr>
      <w:r w:rsidRPr="00517C6F">
        <w:rPr>
          <w:rFonts w:ascii="Times New Roman" w:hAnsi="Times New Roman"/>
          <w:b/>
          <w:i/>
          <w:lang w:val="ro-RO"/>
        </w:rPr>
        <w:t>Gestiunea bugetară și financiară</w:t>
      </w:r>
    </w:p>
    <w:p w:rsidR="00690B04" w:rsidRPr="00517C6F" w:rsidRDefault="00690B04" w:rsidP="00690B04">
      <w:pPr>
        <w:pStyle w:val="Normal12Hanging"/>
        <w:mirrorIndents/>
        <w:rPr>
          <w:rFonts w:ascii="Times New Roman" w:hAnsi="Times New Roman" w:cs="Times New Roman"/>
          <w:lang w:val="ro-RO"/>
        </w:rPr>
      </w:pPr>
      <w:r w:rsidRPr="00517C6F">
        <w:rPr>
          <w:rFonts w:ascii="Times New Roman" w:hAnsi="Times New Roman"/>
          <w:lang w:val="ro-RO"/>
        </w:rPr>
        <w:t>4.</w:t>
      </w:r>
      <w:r w:rsidRPr="00517C6F">
        <w:rPr>
          <w:rFonts w:ascii="Times New Roman" w:hAnsi="Times New Roman"/>
          <w:lang w:val="ro-RO"/>
        </w:rPr>
        <w:tab/>
        <w:t>constată că, după două rectificări bugetare care au redus bugetul Agenției pentru 2022 cu aproximativ 47 de milioane EUR, eforturile de monitorizare a bugetului din cursul exercițiului respectiv au condus la o rată de execuție bugetară a creditelor de angajament de 99,40 %, ceea ce reprezintă o creștere de 4,70 % față de 2021;</w:t>
      </w:r>
    </w:p>
    <w:p w:rsidR="00690B04" w:rsidRPr="00517C6F" w:rsidRDefault="00690B04" w:rsidP="00690B04">
      <w:pPr>
        <w:pStyle w:val="Normal12Hanging"/>
        <w:mirrorIndents/>
        <w:rPr>
          <w:rFonts w:ascii="Times New Roman" w:hAnsi="Times New Roman" w:cs="Times New Roman"/>
          <w:lang w:val="ro-RO"/>
        </w:rPr>
      </w:pPr>
      <w:r w:rsidRPr="00517C6F">
        <w:rPr>
          <w:rFonts w:ascii="Times New Roman" w:hAnsi="Times New Roman"/>
          <w:lang w:val="ro-RO"/>
        </w:rPr>
        <w:t>5.</w:t>
      </w:r>
      <w:r w:rsidRPr="00517C6F">
        <w:rPr>
          <w:rFonts w:ascii="Times New Roman" w:hAnsi="Times New Roman"/>
          <w:lang w:val="ro-RO"/>
        </w:rPr>
        <w:tab/>
        <w:t xml:space="preserve">constată cu îngrijorare că, în pofida eforturilor susținute ale Agenției, raportate în 2021, de a-și îmbunătăți execuția bugetară, rata de execuție a creditelor de plată (50,25 %) a </w:t>
      </w:r>
      <w:r w:rsidRPr="00517C6F">
        <w:rPr>
          <w:rFonts w:ascii="Times New Roman" w:hAnsi="Times New Roman"/>
          <w:lang w:val="ro-RO"/>
        </w:rPr>
        <w:lastRenderedPageBreak/>
        <w:t>continuat să fie scăzută în 2022, ceea ce reprezintă o scădere de 0,17 % față de 2021; recunoaște totuși că, în termeni absoluți, valoarea anuală a plăților a crescut între 2020 și 2022; ia act de explicația reînnoită a Agenției care corelează nivelul scăzut al ratei de execuție bugetară cu natura cheltuielilor Agenției;</w:t>
      </w:r>
    </w:p>
    <w:p w:rsidR="00690B04" w:rsidRPr="00517C6F" w:rsidRDefault="00690B04" w:rsidP="00690B04">
      <w:pPr>
        <w:pStyle w:val="NormalHanging12a"/>
      </w:pPr>
      <w:r w:rsidRPr="00517C6F">
        <w:t>6.</w:t>
      </w:r>
      <w:r w:rsidRPr="00517C6F">
        <w:tab/>
        <w:t>își exprimă marea îngrijorare cu privire la creșterea nivelului fondurilor C8 ale Agenției (reportări automate) în ultimii ani, cu 240,4 milioane EUR în 2022, în timp ce în ultimii doi ani aceasta a fost de 159,4 milioane EUR (în 2021) și de 102 milioane EUR (în 2020); ia act, în acest context, și de creșterea fondurilor C8 ale Agenției în raport cu creșterea bugetului anual al Agenției, având în vedere că, din 2019 până în 2022, cel din urmă a crescut cu un factor de 2,1, în timp ce primul a crescut cu un factor de 2,9; constată că nivelul plăților (84 %) din fondurile C8 a scăzut și mai mult în 2022 (87 % în 2021); remarcă, cu toate acestea, observația Agenției potrivit căreia acest indicator a fost afectat de o situație dificilă în lanțul de aprovizionare, care a dus la întârzieri în livrarea serviciilor și a produselor comandate; în plus, invită Agenția și Comisia să furnizeze autorității care acordă descărcarea de gestiune detalii despre originile și evoluția datoriei financiare în valoare de 9,3 milioane EUR, înregistrate în 2022;</w:t>
      </w:r>
    </w:p>
    <w:p w:rsidR="00690B04" w:rsidRPr="00517C6F" w:rsidRDefault="00690B04" w:rsidP="00690B04">
      <w:pPr>
        <w:pStyle w:val="Normal12Hanging"/>
        <w:tabs>
          <w:tab w:val="left" w:pos="1276"/>
        </w:tabs>
        <w:mirrorIndents/>
        <w:rPr>
          <w:rFonts w:ascii="Times New Roman" w:hAnsi="Times New Roman" w:cs="Times New Roman"/>
          <w:lang w:val="ro-RO"/>
        </w:rPr>
      </w:pPr>
      <w:r w:rsidRPr="00517C6F">
        <w:rPr>
          <w:rFonts w:ascii="Times New Roman" w:hAnsi="Times New Roman"/>
          <w:lang w:val="ro-RO"/>
        </w:rPr>
        <w:t>7.</w:t>
      </w:r>
      <w:r w:rsidRPr="00517C6F">
        <w:rPr>
          <w:rFonts w:ascii="Times New Roman" w:hAnsi="Times New Roman"/>
          <w:lang w:val="ro-RO"/>
        </w:rPr>
        <w:tab/>
        <w:t>observă cu îngrijorare din raportul Curții, pentru al doilea an consecutiv, „evidențierea unor aspecte” referitoare la declarația contabilului Agenției prin care sistemul contabil al Agenției nu a putut fi validat din cauza lipsei de informații referitoare la un sistem informatic deținut de Comisie, care furnizează date contabile; ia act, din raportul Curții, de răspunsul Agenției la această chestiune, și anume că partea lipsă a validării sistemului contabil al Agenției este sistemul de gestionare a misiunilor (</w:t>
      </w:r>
      <w:proofErr w:type="spellStart"/>
      <w:r w:rsidRPr="00517C6F">
        <w:rPr>
          <w:rFonts w:ascii="Times New Roman" w:hAnsi="Times New Roman"/>
          <w:lang w:val="ro-RO"/>
        </w:rPr>
        <w:t>MiPS</w:t>
      </w:r>
      <w:proofErr w:type="spellEnd"/>
      <w:r w:rsidRPr="00517C6F">
        <w:rPr>
          <w:rFonts w:ascii="Times New Roman" w:hAnsi="Times New Roman"/>
          <w:lang w:val="ro-RO"/>
        </w:rPr>
        <w:t>);</w:t>
      </w:r>
    </w:p>
    <w:p w:rsidR="00690B04" w:rsidRPr="00517C6F" w:rsidRDefault="00690B04" w:rsidP="00690B04">
      <w:pPr>
        <w:pStyle w:val="NormalHanging12a"/>
      </w:pPr>
      <w:r w:rsidRPr="00517C6F">
        <w:t>8.</w:t>
      </w:r>
      <w:r w:rsidRPr="00517C6F">
        <w:tab/>
        <w:t xml:space="preserve">ia act, pentru al treilea an consecutiv, de o „evidențiere” recurentă a Curții pe baza notelor la conturile anuale finale ale Agenției, referitoare la o subestimare a contribuției din partea țărilor asociate spațiului Schengen (SAC), care în 2022 a fost echivalentă cu suma de 3,2 milioane EUR, în timp ce contribuția Uniunii a fost supraestimată cu aceeași sumă; este preocupat de faptul că acordurile dintre Uniune și SAC care servesc drept temei juridic pentru calcularea contribuțiilor lor la bugetul Uniunii sunt neclare și permit interpretări divergente, rezultatul fiind o contribuție mai mică din partea SAC, calculată la aproximativ 7 %; ia act, din raportul Curții, de răspunsul Agenției potrivit căruia înțelegerea dintre contabilul Agenției, pe de o parte, și CA al Agenției, Comisie și SAC, pe de altă parte, este diferită în ceea ce privește modalitatea de aplicare a calculului contribuției SAC, pe baza acordurilor actuale în vigoare cu SAC; observă că, în interpretarea Agenției, metodologia utilizată începând din 2016 este în conformitate cu cadrul juridic și cu acordurile aplicabile, iar CA </w:t>
      </w:r>
      <w:r w:rsidR="003150B8" w:rsidRPr="00517C6F">
        <w:t xml:space="preserve">al Agenției </w:t>
      </w:r>
      <w:r w:rsidRPr="00517C6F">
        <w:t>a concluzionat, în 2021, că metodologia de calcul pentru contribuțiile SAC nu va fi revizuită; remarcă argumentele reînnoite ale Curții cu privire la motivele pentru care interpretarea Agenției este eronată; este de părere că SAC nu ar trebui în niciun caz să contribuie mai puțin decât s-a preconizat la bugetul Agenției și solicită o revizuire a interpretării metodologiei de către Agenție;</w:t>
      </w:r>
    </w:p>
    <w:p w:rsidR="00690B04" w:rsidRPr="00517C6F" w:rsidRDefault="00690B04" w:rsidP="00690B04">
      <w:pPr>
        <w:pStyle w:val="Normal12Hanging"/>
        <w:tabs>
          <w:tab w:val="left" w:pos="1276"/>
        </w:tabs>
        <w:mirrorIndents/>
        <w:rPr>
          <w:rFonts w:ascii="Times New Roman" w:hAnsi="Times New Roman" w:cs="Times New Roman"/>
          <w:lang w:val="ro-RO"/>
        </w:rPr>
      </w:pPr>
      <w:r w:rsidRPr="00517C6F">
        <w:rPr>
          <w:rFonts w:ascii="Times New Roman" w:hAnsi="Times New Roman"/>
          <w:lang w:val="ro-RO"/>
        </w:rPr>
        <w:t>9.</w:t>
      </w:r>
      <w:r w:rsidRPr="00517C6F">
        <w:rPr>
          <w:rFonts w:ascii="Times New Roman" w:hAnsi="Times New Roman"/>
          <w:lang w:val="ro-RO"/>
        </w:rPr>
        <w:tab/>
        <w:t xml:space="preserve">constată cu îngrijorare, din raportul Curții, observațiile cu privire la o supraestimare a cheltuielilor înregistrate în avans suportate în 2022 pentru costurile de misiune ale Agenției și lipsa unor orientări sau proceduri formalizate în cadrul Agenției pentru a asigura calcularea consecventă a cheltuielilor înregistrate în avans; </w:t>
      </w:r>
      <w:r w:rsidRPr="00517C6F">
        <w:rPr>
          <w:lang w:val="ro-RO"/>
        </w:rPr>
        <w:t>invită Agenția să remedieze această deficiență și să informeze autoritatea care acordă descărcarea de gestiune;</w:t>
      </w:r>
    </w:p>
    <w:p w:rsidR="00690B04" w:rsidRPr="00517C6F" w:rsidRDefault="00690B04" w:rsidP="00690B04">
      <w:pPr>
        <w:pStyle w:val="Normal12Hanging"/>
        <w:mirrorIndents/>
        <w:rPr>
          <w:rFonts w:ascii="Times New Roman" w:hAnsi="Times New Roman" w:cs="Times New Roman"/>
          <w:b/>
          <w:i/>
          <w:lang w:val="ro-RO"/>
        </w:rPr>
      </w:pPr>
      <w:r w:rsidRPr="00517C6F">
        <w:rPr>
          <w:rFonts w:ascii="Times New Roman" w:hAnsi="Times New Roman"/>
          <w:b/>
          <w:i/>
          <w:lang w:val="ro-RO"/>
        </w:rPr>
        <w:lastRenderedPageBreak/>
        <w:t>Performanță</w:t>
      </w:r>
    </w:p>
    <w:p w:rsidR="00690B04" w:rsidRPr="00517C6F" w:rsidRDefault="00690B04" w:rsidP="00690B04">
      <w:pPr>
        <w:pStyle w:val="NormalHanging12a"/>
        <w:widowControl/>
        <w:mirrorIndents/>
        <w:rPr>
          <w:szCs w:val="24"/>
        </w:rPr>
      </w:pPr>
      <w:r w:rsidRPr="00517C6F">
        <w:t>10.</w:t>
      </w:r>
      <w:r w:rsidRPr="00517C6F">
        <w:tab/>
        <w:t>constată că, în 2022, Agenția a folosit o gamă largă de (240 de) măsuri precum indicatori-cheie de performanță (ICP) pentru a evalua performanța activităților sale (în număr de 58), măsuri adoptate de CA și care decurg din documentul unic de programare pentru 2022-2024; remarcă o rată de execuție de 85,20 % a programului său de lucru anual pentru 2022, astfel cum a fost autoevaluată de Agenție; salută îmbunătățirea generală a indicatorilor-cheie de performanță calitativi ai Agenției; ia act, cu toate acestea, de deteriorarea unora dintre indicatorii-cheie de performanță ai Agenției, cum ar fi rata plăților întârziate, care a fost de 20 % în 2022 (față de 12 % în 2021);</w:t>
      </w:r>
    </w:p>
    <w:p w:rsidR="00690B04" w:rsidRPr="00517C6F" w:rsidRDefault="00690B04" w:rsidP="00690B04">
      <w:pPr>
        <w:pStyle w:val="NormalHanging12a"/>
        <w:widowControl/>
        <w:mirrorIndents/>
        <w:rPr>
          <w:szCs w:val="24"/>
        </w:rPr>
      </w:pPr>
      <w:r w:rsidRPr="00517C6F">
        <w:t>11.</w:t>
      </w:r>
      <w:r w:rsidRPr="00517C6F">
        <w:tab/>
        <w:t>își exprimă recunoștința pentru acțiunile rapide întreprinse de Agenție în urma invaziei ilegale și neprovocate a Ucrainei de către Rusia, care a determinat milioane de ucraineni să își părăsească țara și să sosească în Uniune; felicită Agenția, în acest context, pentru: activarea unui mecanism de răspuns la situații de criză și a unei echipe specializate de răspuns la situații de criză care a funcționat 24/7; semnarea în timp record a Acordului privind statutul cu Moldova, care a condus la lansarea unei noi operațiuni comune, OC Moldova 2022; trimiterea a aproximativ 500 de ofițeri ai corpului permanent care lucrează la frontiera Uniunii cu Ucraina și de-a lungul întregii frontiere estice a Uniunii, din Finlanda până în România și; desfășurarea altor active (maritime, aeriene, terestre) în 102 noi locații operaționale; observă că războiul din Ucraina a transformat Uniunea și modul în care cetățenii Uniunii își văd securitatea, în special la frontierele estice; subliniază că Uniunea se confruntă cu cel mai mare număr de treceri ilegale ale frontierei din 2016;</w:t>
      </w:r>
    </w:p>
    <w:p w:rsidR="00690B04" w:rsidRPr="00517C6F" w:rsidRDefault="00690B04" w:rsidP="00690B04">
      <w:pPr>
        <w:pStyle w:val="NormalHanging12a"/>
      </w:pPr>
      <w:r w:rsidRPr="00517C6F">
        <w:t>12.</w:t>
      </w:r>
      <w:r w:rsidRPr="00517C6F">
        <w:tab/>
        <w:t>remarcă diversele inițiative luate de Agenție în 2022, inclusiv semnarea unui acord privind statutul cu Macedonia de Nord și a unui memorandum de înțelegere și a unui plan de acțiune operațional cu Cipru, precum și dublarea prezenței Agenției în operațiunea comună OC Serbia Land 2022 și deschiderea unei noi zone operaționale la frontiera sârbo-ungară; subliniază hotărârea Curții de Justiție a Uniunii Europene, conform căreia activitățile Ungariei sunt incompatibile cu Directiva privind returnarea și cu Carta drepturilor fundamentale a Uniunii Europene; constată cu îngrijorare că, deși Agenția a declarat că și-a retras operațiunile din Ungaria în 2021, ea a continuat totuși să sprijine operațiunile de returnare ale Ungariei; reiterează apelul adresat de GLCF directorului executiv al Agenției de a suspenda operațiunile din Ungaria;</w:t>
      </w:r>
    </w:p>
    <w:p w:rsidR="00690B04" w:rsidRPr="00517C6F" w:rsidRDefault="00690B04" w:rsidP="00690B04">
      <w:pPr>
        <w:pStyle w:val="NormalHanging12a"/>
        <w:widowControl/>
        <w:mirrorIndents/>
        <w:rPr>
          <w:szCs w:val="24"/>
        </w:rPr>
      </w:pPr>
      <w:r w:rsidRPr="00517C6F">
        <w:t>13.</w:t>
      </w:r>
      <w:r w:rsidRPr="00517C6F">
        <w:tab/>
        <w:t>constată că Agenția a finalizat și a evaluat proiectul-pilot privind detașarea ofițerilor de legătură ai statelor membre la sediul Agenției; salută faptul că a fost efectuată o evaluare internă a acestui proiect-pilot, iar Agenția a decis să continue această formă de cooperare cu statele membre; invită toate statele membre să trimită ofițeri de legătură la Agenție;</w:t>
      </w:r>
    </w:p>
    <w:p w:rsidR="00690B04" w:rsidRPr="00517C6F" w:rsidRDefault="00690B04" w:rsidP="00690B04">
      <w:pPr>
        <w:pStyle w:val="NormalHanging12a"/>
      </w:pPr>
      <w:r w:rsidRPr="00517C6F">
        <w:t>14.</w:t>
      </w:r>
      <w:r w:rsidRPr="00517C6F">
        <w:tab/>
        <w:t xml:space="preserve">constată că activitățile operaționale desfășurate la frontierele terestre în 2022 au condus la aproximativ 49 000 de incidente raportate, implicând mai mult de 26 000 de </w:t>
      </w:r>
      <w:proofErr w:type="spellStart"/>
      <w:r w:rsidRPr="00517C6F">
        <w:t>migranți</w:t>
      </w:r>
      <w:proofErr w:type="spellEnd"/>
      <w:r w:rsidRPr="00517C6F">
        <w:t xml:space="preserve"> în situație neregulamentară reținuți și arestarea a 700 de persoane care introduc ilegal </w:t>
      </w:r>
      <w:proofErr w:type="spellStart"/>
      <w:r w:rsidRPr="00517C6F">
        <w:t>migranți</w:t>
      </w:r>
      <w:proofErr w:type="spellEnd"/>
      <w:r w:rsidRPr="00517C6F">
        <w:t>; ia act de eforturile Agenției care au condus la returnarea pe cale aeriană a 24 850 de resortisanți din afara UE (</w:t>
      </w:r>
      <w:r w:rsidR="003150B8" w:rsidRPr="00517C6F">
        <w:t xml:space="preserve">o creștere de </w:t>
      </w:r>
      <w:r w:rsidRPr="00517C6F">
        <w:t>35 % față de 2021), dintre care 9 919 persoane în 291 de operațiuni prin zboruri charter către 32 de țări de returnare și 14 931 de persoane (</w:t>
      </w:r>
      <w:r w:rsidR="003150B8" w:rsidRPr="00517C6F">
        <w:t>o creștere de</w:t>
      </w:r>
      <w:r w:rsidRPr="00517C6F">
        <w:t xml:space="preserve">84 % față de 2021), prin 8 789 de zboruri regulate către 116 țări de returnare; ia act, de asemenea, de eforturile depuse de Agenție în cadrul tuturor operațiunilor maritime comune din 2022, care au condus la detectarea a 1 105 persoane </w:t>
      </w:r>
      <w:r w:rsidRPr="00517C6F">
        <w:lastRenderedPageBreak/>
        <w:t xml:space="preserve">care introduc ilegal </w:t>
      </w:r>
      <w:proofErr w:type="spellStart"/>
      <w:r w:rsidRPr="00517C6F">
        <w:t>migranți</w:t>
      </w:r>
      <w:proofErr w:type="spellEnd"/>
      <w:r w:rsidRPr="00517C6F">
        <w:t xml:space="preserve"> și a 11 traficanți de ființe umane, la confiscarea a zeci de tone de droguri de contrabandă și la salvarea a mii de </w:t>
      </w:r>
      <w:proofErr w:type="spellStart"/>
      <w:r w:rsidRPr="00517C6F">
        <w:t>migranți</w:t>
      </w:r>
      <w:proofErr w:type="spellEnd"/>
      <w:r w:rsidRPr="00517C6F">
        <w:t xml:space="preserve">; ia act, în același timp, de numeroasele tragedii recente ale naufragiilor și de alte incidente mortale implicând </w:t>
      </w:r>
      <w:proofErr w:type="spellStart"/>
      <w:r w:rsidRPr="00517C6F">
        <w:t>migranții</w:t>
      </w:r>
      <w:proofErr w:type="spellEnd"/>
      <w:r w:rsidRPr="00517C6F">
        <w:t xml:space="preserve"> pe Marea Mediterană; invită Agenția să coopereze pe deplin cu ancheta Ombudsmanului; observă că, în 2022, Agenția a efectuat 1 422 de misiuni de supraveghere cu scopuri multiple, care au avut drept rezultat 1 177 de evenimente și 51 362 de </w:t>
      </w:r>
      <w:proofErr w:type="spellStart"/>
      <w:r w:rsidRPr="00517C6F">
        <w:t>migranți</w:t>
      </w:r>
      <w:proofErr w:type="spellEnd"/>
      <w:r w:rsidRPr="00517C6F">
        <w:t xml:space="preserve"> detectați;</w:t>
      </w:r>
    </w:p>
    <w:p w:rsidR="00690B04" w:rsidRPr="00517C6F" w:rsidRDefault="00690B04" w:rsidP="00690B04">
      <w:pPr>
        <w:pStyle w:val="NormalHanging12a"/>
        <w:widowControl/>
        <w:mirrorIndents/>
        <w:rPr>
          <w:szCs w:val="24"/>
        </w:rPr>
      </w:pPr>
      <w:r w:rsidRPr="00517C6F">
        <w:t>15.</w:t>
      </w:r>
      <w:r w:rsidRPr="00517C6F">
        <w:tab/>
        <w:t xml:space="preserve">ia act de creșterea numărului de returnări sprijinite de </w:t>
      </w:r>
      <w:proofErr w:type="spellStart"/>
      <w:r w:rsidRPr="00517C6F">
        <w:t>Frontex</w:t>
      </w:r>
      <w:proofErr w:type="spellEnd"/>
      <w:r w:rsidRPr="00517C6F">
        <w:t xml:space="preserve">, puse în aplicare în mod voluntar, de la 26 % în 2021 la 39 % în 2022; salută punerea în aplicare a primelor operațiuni de returnare de sine stătătoare conduse de </w:t>
      </w:r>
      <w:proofErr w:type="spellStart"/>
      <w:r w:rsidRPr="00517C6F">
        <w:t>Frontex</w:t>
      </w:r>
      <w:proofErr w:type="spellEnd"/>
      <w:r w:rsidRPr="00517C6F">
        <w:t xml:space="preserve">, prin care Agenția – preluând rolul statului membru organizator – a returnat 80 de resortisanți ai țărilor terțe în Albania și Nigeria; ia act de raportul Agenției intitulat „Cooperarea dintre </w:t>
      </w:r>
      <w:proofErr w:type="spellStart"/>
      <w:r w:rsidRPr="00517C6F">
        <w:t>Frontex</w:t>
      </w:r>
      <w:proofErr w:type="spellEnd"/>
      <w:r w:rsidRPr="00517C6F">
        <w:t xml:space="preserve"> și țările terțe în 2022”, în care Agenția prezintă detalii despre activitățile sale legate de dimensiunea externă, cum ar fi: dezvoltarea în continuare a dialogului și a cooperării cu diverși parteneri (de exemplu, Balcanii de Vest, regiunea Parteneriatului estic, Africa și Orientul Mijlociu); activitatea sa privind standardele în materie de protecție a datelor și drepturile fundamentale; furnizarea de asistență tehnică și operațională țărilor terțe pentru a combate, printre altele, criminalitatea transfrontalieră; și acțiuni de consolidare a capacităților (de exemplu, formare); își exprimă îngrijorarea cu privire la anumite rapoarte care ar putea sugera implicarea Agenției în încălcările drepturilor omului, inclusiv în cadrul activităților sale legate de dimensiunea externă, în special presupusa facilitare a returnărilor ilegale la frontiera externă a Uniunii; constată că, potrivit informațiilor recente furnizate de Agenție, aceasta a comunicat, în ultimii trei ani, actorilor libieni coordonatele </w:t>
      </w:r>
      <w:proofErr w:type="spellStart"/>
      <w:r w:rsidRPr="00517C6F">
        <w:t>migranților</w:t>
      </w:r>
      <w:proofErr w:type="spellEnd"/>
      <w:r w:rsidRPr="00517C6F">
        <w:t xml:space="preserve"> aflați în pericol; ia act de existența a două rapoarte pendinte referitoare la incidente grave privind interceptarea </w:t>
      </w:r>
      <w:proofErr w:type="spellStart"/>
      <w:r w:rsidRPr="00517C6F">
        <w:t>migranților</w:t>
      </w:r>
      <w:proofErr w:type="spellEnd"/>
      <w:r w:rsidRPr="00517C6F">
        <w:t xml:space="preserve"> de </w:t>
      </w:r>
      <w:proofErr w:type="spellStart"/>
      <w:r w:rsidRPr="00517C6F">
        <w:t>Tareq</w:t>
      </w:r>
      <w:proofErr w:type="spellEnd"/>
      <w:r w:rsidRPr="00517C6F">
        <w:t xml:space="preserve"> Bin </w:t>
      </w:r>
      <w:proofErr w:type="spellStart"/>
      <w:r w:rsidRPr="00517C6F">
        <w:t>Zeyad</w:t>
      </w:r>
      <w:proofErr w:type="spellEnd"/>
      <w:r w:rsidRPr="00517C6F">
        <w:t>, în urma detectării de către Agenție;</w:t>
      </w:r>
    </w:p>
    <w:p w:rsidR="00690B04" w:rsidRPr="00517C6F" w:rsidRDefault="00690B04" w:rsidP="00690B04">
      <w:pPr>
        <w:pStyle w:val="NormalHanging12a"/>
        <w:widowControl/>
        <w:mirrorIndents/>
      </w:pPr>
      <w:r w:rsidRPr="00517C6F">
        <w:t>16.</w:t>
      </w:r>
      <w:r w:rsidRPr="00517C6F">
        <w:tab/>
        <w:t>salută primul raport al Agenției privind funcționarea EUROSUR, un instrument-cheie menit să îmbunătățească conștientizarea situației și să sporească capacitățile de reacție în scopul gestionării frontierelor prin schimbul de informații și cooperarea între statele membre și Agenție; constată cu satisfacție din raportul respectiv progresele înregistrate în diferite domenii, cum ar fi evoluțiile tehnice ale aplicațiilor utilizate în scopul EUROSUR, dezvoltarea a 17 servicii în cadrul serviciilor de fuziune EUROSUR (cu un număr relativ mare de cereri de servicii din partea statelor membre pentru imagistica prin satelit și monitorizarea zonelor de coastă) și elaborarea unei foi de parcurs pentru reproiectarea și dezvoltarea EUROSUR 2.0, care vizează interoperabilitatea deplină a diferitelor aplicații și sisteme până în anul 2026; ia act, pe baza Raportului anual de activitate consolidat pe 2022 al Agenției, de progresele înregistrate de Agenție în ceea ce privește EUROSUR în 2022 și invită Agenția să își accelereze eforturile pentru a o alinia pe deplin la cerințele Regulamentului (UE) 2019/1896 și ale regulamentelor de punere în aplicare a EUROSUR;</w:t>
      </w:r>
    </w:p>
    <w:p w:rsidR="00690B04" w:rsidRPr="00517C6F" w:rsidRDefault="00690B04" w:rsidP="00690B04">
      <w:pPr>
        <w:pStyle w:val="NormalHanging12a"/>
        <w:widowControl/>
        <w:mirrorIndents/>
        <w:rPr>
          <w:szCs w:val="24"/>
        </w:rPr>
      </w:pPr>
      <w:r w:rsidRPr="00517C6F">
        <w:t>17.</w:t>
      </w:r>
      <w:r w:rsidRPr="00517C6F">
        <w:tab/>
        <w:t xml:space="preserve">felicită Agenția pentru progresele semnificative înregistrate în 2022 în ceea ce privește înființarea unității centrale (ECU) a Sistemului european de informații și de autorizare privind călătoriile (ETIAS), prin activități precum elaborarea de norme și proceduri interne, o strategie pe termen mediu, un cadru de implicare, o analiză a impactului asupra activității, precum și elaborarea de planuri de securitate, de continuitate a activității și de recuperare în caz de dezastru și efectuarea primei evaluări a riscurilor a ECU; constată că, pentru înființarea ECU, în 2022, Agenția a finalizat recrutarea celui de-al doilea val de personal al ECU, atingând o rată de 55 % din totalul posturilor avute </w:t>
      </w:r>
      <w:r w:rsidRPr="00517C6F">
        <w:lastRenderedPageBreak/>
        <w:t>în vedere, și a lansat alte proceduri de recrutare; salută faptul că, în 2022, Comisia a instituit, cu sprijinul Agenției, o campanie de informare publică care promovează ETIAS în rândul resortisanților din 60 de țări care beneficiază de un regim de călătorii fără viză; remarcă celelalte realizări operaționale ale Agenției, cum ar fi inițierea dezvoltării unui nou lanț de comandă pentru corpul permanent, cu o structură unică de coordonare operațională și delegarea mai multor responsabilități decizionale pe teren;</w:t>
      </w:r>
    </w:p>
    <w:p w:rsidR="00690B04" w:rsidRPr="00517C6F" w:rsidRDefault="00690B04" w:rsidP="00690B04">
      <w:pPr>
        <w:pStyle w:val="NormalHanging12a"/>
        <w:widowControl/>
        <w:mirrorIndents/>
        <w:rPr>
          <w:szCs w:val="24"/>
        </w:rPr>
      </w:pPr>
      <w:r w:rsidRPr="00517C6F">
        <w:t>18.</w:t>
      </w:r>
      <w:r w:rsidRPr="00517C6F">
        <w:tab/>
        <w:t xml:space="preserve">salută Raportul anual al Agenției privind aplicarea practică a Regulamentului (UE) </w:t>
      </w:r>
      <w:r w:rsidR="0018124F">
        <w:t>nr. </w:t>
      </w:r>
      <w:r w:rsidRPr="00517C6F">
        <w:t xml:space="preserve">656/2014 în ceea ce privește operațiunile maritime ale Agenției în 2022, și anume operațiunile comune: THEMIS (Italia), Poseidon (Grecia), </w:t>
      </w:r>
      <w:proofErr w:type="spellStart"/>
      <w:r w:rsidRPr="00517C6F">
        <w:t>Indalo</w:t>
      </w:r>
      <w:proofErr w:type="spellEnd"/>
      <w:r w:rsidRPr="00517C6F">
        <w:t xml:space="preserve"> (Spania), Coasta de Opal (Belgia și Franța) și Operațiunea maritimă multifuncțională Marea Neagră (Bulgaria și România); remarcă observația Agenției, potrivit căreia există o asimetrie între standardele și cerințele aplicabile Agenției în conformitate cu Regulamentul (UE) nr. 656/2014 și cele aplicabile altor actori (de exemplu NATO, EMSA, EFCA) implicați în operațiuni maritime, dat fiind că acești actori, atunci când acționează cu sprijinul Agenției, respectă dreptul maritim internațional; sprijină Agenția în explorarea posibilităților de a include în acordurile relevante privind statutul standarde similare celor reflectate în Regulamentul (UE) nr. 656/2014;</w:t>
      </w:r>
    </w:p>
    <w:p w:rsidR="00690B04" w:rsidRPr="00517C6F" w:rsidRDefault="00690B04" w:rsidP="00690B04">
      <w:pPr>
        <w:pStyle w:val="NormalHanging12a"/>
        <w:widowControl/>
        <w:mirrorIndents/>
        <w:rPr>
          <w:szCs w:val="24"/>
        </w:rPr>
      </w:pPr>
      <w:r w:rsidRPr="00517C6F">
        <w:rPr>
          <w:shd w:val="clear" w:color="auto" w:fill="FFFFFF"/>
        </w:rPr>
        <w:t>19.</w:t>
      </w:r>
      <w:r w:rsidRPr="00517C6F">
        <w:rPr>
          <w:shd w:val="clear" w:color="auto" w:fill="FFFFFF"/>
        </w:rPr>
        <w:tab/>
      </w:r>
      <w:r w:rsidRPr="00517C6F">
        <w:t>subliniază că este important ca Agenția să fie puternică, eficientă și funcțională, capabilă să ajute statele membre să gestioneze frontierele externe comune ale Uniunii și să asigure o gestionare integrată a frontierelor, în vederea gestionării acestor frontiere în mod eficient și respectând pe deplin drepturile fundamentale; ia act de responsabilitățile comune pe care le au Agenția și statele membre în îndeplinirea obligațiilor în materie de drepturi fundamentale; subliniază că gestionarea eficientă și justă a frontierelor externe este de o importanță crucială pentru protecția spațiului Schengen, ca spațiu de libertate, securitate și justiție; accentuează că o cooperare strânsă și acordurile cu state terțe în ceea ce privește aspecte precum readmisia, asistența tehnică, formarea și activitățile de returnare legală, împreună cu ajutorul pentru dezvoltare sunt importante pentru a promova o gestionare eficientă a frontierelor Uniunii dacă respectă pe deplin drepturile fundamentale;</w:t>
      </w:r>
      <w:r w:rsidRPr="00517C6F">
        <w:rPr>
          <w:color w:val="FF0000"/>
        </w:rPr>
        <w:t xml:space="preserve"> </w:t>
      </w:r>
      <w:r w:rsidRPr="00517C6F">
        <w:t>îndeamnă Agenția și statele membre să continue dezvoltarea unor structuri de cooperare, schimbului de informații și de bune practici;</w:t>
      </w:r>
    </w:p>
    <w:p w:rsidR="00690B04" w:rsidRPr="00517C6F" w:rsidRDefault="00690B04" w:rsidP="00690B04">
      <w:pPr>
        <w:pStyle w:val="NormalHanging12a"/>
      </w:pPr>
      <w:r w:rsidRPr="00517C6F">
        <w:t>20.</w:t>
      </w:r>
      <w:r w:rsidRPr="00517C6F">
        <w:tab/>
        <w:t xml:space="preserve">recunoaște rolul-cheie al ofițerului pentru drepturile fundamentale (ODF) începând din 2021 în punerea în aplicare a diferitelor recomandări legate de drepturile fundamentale provenind de la OE, GLCF și </w:t>
      </w:r>
      <w:proofErr w:type="spellStart"/>
      <w:r w:rsidRPr="00517C6F">
        <w:t>FRaLO</w:t>
      </w:r>
      <w:proofErr w:type="spellEnd"/>
      <w:r w:rsidRPr="00517C6F">
        <w:t xml:space="preserve">; constată din raportul anual al ofițerului pentru drepturile fundamentale pentru 2022 </w:t>
      </w:r>
      <w:r w:rsidR="003150B8" w:rsidRPr="00517C6F">
        <w:t xml:space="preserve">(denumit în continuare „raportul ODF”) </w:t>
      </w:r>
      <w:r w:rsidRPr="00517C6F">
        <w:t>că majoritatea acestor recomandări au fost puse în aplicare; invită Agenția să coopereze pe deplin cu ofițerul pentru drepturile fundamentale și să pună în aplicare toate recomandările acestuia;</w:t>
      </w:r>
    </w:p>
    <w:p w:rsidR="00690B04" w:rsidRPr="00517C6F" w:rsidRDefault="00690B04" w:rsidP="00690B04">
      <w:pPr>
        <w:pStyle w:val="NormalHanging12a"/>
      </w:pPr>
      <w:r w:rsidRPr="00517C6F">
        <w:t>21.</w:t>
      </w:r>
      <w:r w:rsidRPr="00517C6F">
        <w:tab/>
        <w:t xml:space="preserve">reamintește că Agenția și autoritățile relevante ale statelor membre constituie principalul garant al unor frontiere externe europene puternice și protejate, respectând în același timp drepturile fundamentale și obligațiile de protecție internațională; ia act de faptul că, în avizul său din 1 septembrie 2022, ofițerul pentru drepturile fundamentale a concluzionat că sunt îndeplinite condițiile care declanșează articolul 46 din Regulamentul </w:t>
      </w:r>
      <w:proofErr w:type="spellStart"/>
      <w:r w:rsidRPr="00517C6F">
        <w:t>Frontex</w:t>
      </w:r>
      <w:proofErr w:type="spellEnd"/>
      <w:r w:rsidRPr="00517C6F">
        <w:t xml:space="preserve">; constată și că Grupul de lucru al Agenției privind drepturile fundamentale, articolul 46, a emis o serie de recomandări privind drepturile fundamentale în Grecia, patru dintre acestea fiind puse în aplicare integral în octombrie 2023; ia act de intenția Grupului de lucru al Agenției de a monitoriza progresele viitoare și de faptul că măsurile recomandate continuă să fie aplicate; solicită ca toate </w:t>
      </w:r>
      <w:r w:rsidRPr="00517C6F">
        <w:lastRenderedPageBreak/>
        <w:t>recomandările să fie puse pe deplin în aplicare, în mod prioritar, și ca Agenția să continue să informeze Parlamentul despre progresele înregistrate;</w:t>
      </w:r>
    </w:p>
    <w:p w:rsidR="00BA1B6C" w:rsidRPr="00517C6F" w:rsidRDefault="00BA1B6C" w:rsidP="00690B04">
      <w:pPr>
        <w:pStyle w:val="NormalHanging12a"/>
        <w:rPr>
          <w:szCs w:val="24"/>
        </w:rPr>
      </w:pPr>
      <w:r w:rsidRPr="00517C6F">
        <w:rPr>
          <w:szCs w:val="24"/>
        </w:rPr>
        <w:t>22.</w:t>
      </w:r>
      <w:r w:rsidRPr="00517C6F">
        <w:rPr>
          <w:szCs w:val="24"/>
        </w:rPr>
        <w:tab/>
        <w:t xml:space="preserve">ia act de ancheta Ombudsmanului European privind rolul Agenției în operațiunile de căutare și salvare (OI/3/2023/MHZ), care a fost lansată după tragedia de la Adriana din iunie 2023; ia act cu îngrijorare de concluziile Ombudsmanului potrivit cărora Agenția nu este în măsură să își îndeplinească obligațiile în materie de drepturi fundamentale și se bazează prea mult pe statele membre pentru a acționa atunci când </w:t>
      </w:r>
      <w:proofErr w:type="spellStart"/>
      <w:r w:rsidRPr="00517C6F">
        <w:rPr>
          <w:szCs w:val="24"/>
        </w:rPr>
        <w:t>migranții</w:t>
      </w:r>
      <w:proofErr w:type="spellEnd"/>
      <w:r w:rsidRPr="00517C6F">
        <w:rPr>
          <w:szCs w:val="24"/>
        </w:rPr>
        <w:t xml:space="preserve"> se află în dificultate, deoarece Agenția nu dispune de orientări interne privind emiterea de semnale de urgență, iar observatorii pentru drepturile fundamentale ai Agenției nu sunt întotdeauna implicați suficient în deciziile privind situațiile de urgență și că, de la tragedia navei Adriana, nu s-au făcut modificări suficiente pentru a preveni repetarea unor astfel de incidente; reamintește că autoritatea care acordă descărcarea de gestiune a subliniat în repetate rânduri aceste deficiențe în rezoluțiile anterioare de descărcare de gestiune și regretă că problema rămâne nesoluționată; ia act de solicitarea Ombudsmanului adresată Agenției de a remedia deficiențele identificate și de solicitarea adresată Parlamentului, Comisiei și Consiliului de a înființa o comisie independentă de anchetă în această privință;</w:t>
      </w:r>
    </w:p>
    <w:p w:rsidR="00690B04" w:rsidRPr="00517C6F" w:rsidRDefault="00452660" w:rsidP="00690B04">
      <w:pPr>
        <w:pStyle w:val="NormalHanging12a"/>
        <w:widowControl/>
        <w:mirrorIndents/>
        <w:rPr>
          <w:szCs w:val="24"/>
        </w:rPr>
      </w:pPr>
      <w:r w:rsidRPr="00517C6F">
        <w:t>23</w:t>
      </w:r>
      <w:r w:rsidR="00690B04" w:rsidRPr="00517C6F">
        <w:t>.</w:t>
      </w:r>
      <w:r w:rsidR="00690B04" w:rsidRPr="00517C6F">
        <w:tab/>
        <w:t>salută decizia Consiliului de administrație al Agenției din 20 iulie 2022, care a consolidat cooperarea și comunicarea dintre diferite entități ale Agenției, inclusiv Forumul consultativ (FC) și ODF, prin norme pentru directorul executiv al Agenției și CA, de a informa FC cu privire la acțiunile întreprinse ca urmare a recomandărilor FC și de a se asigura că se iau măsuri în ceea ce privește recomandările ODF;</w:t>
      </w:r>
      <w:r w:rsidR="00690B04" w:rsidRPr="00517C6F">
        <w:rPr>
          <w:shd w:val="clear" w:color="auto" w:fill="FFFFFF"/>
        </w:rPr>
        <w:t xml:space="preserve"> salută, de asemenea, adoptarea în 2022 a procedurii standard de operare privind articol</w:t>
      </w:r>
      <w:r w:rsidR="0018124F">
        <w:rPr>
          <w:shd w:val="clear" w:color="auto" w:fill="FFFFFF"/>
        </w:rPr>
        <w:t>ul 46 din Regulamentul (UE) 2019</w:t>
      </w:r>
      <w:r w:rsidR="00690B04" w:rsidRPr="00517C6F">
        <w:rPr>
          <w:shd w:val="clear" w:color="auto" w:fill="FFFFFF"/>
        </w:rPr>
        <w:t>/1896 și</w:t>
      </w:r>
      <w:r w:rsidR="00690B04" w:rsidRPr="00517C6F">
        <w:t xml:space="preserve"> a procedurii standard de operare în ceea ce privește metodele de lucru legate de competențele de investigare ale ofițerului pentru drepturile fundamentale</w:t>
      </w:r>
      <w:r w:rsidR="00690B04" w:rsidRPr="00517C6F">
        <w:rPr>
          <w:shd w:val="clear" w:color="auto" w:fill="FFFFFF"/>
        </w:rPr>
        <w:t>;</w:t>
      </w:r>
    </w:p>
    <w:p w:rsidR="00690B04" w:rsidRPr="00517C6F" w:rsidRDefault="00452660" w:rsidP="00690B04">
      <w:pPr>
        <w:pStyle w:val="NormalHanging12a"/>
        <w:widowControl/>
        <w:mirrorIndents/>
        <w:rPr>
          <w:szCs w:val="24"/>
        </w:rPr>
      </w:pPr>
      <w:r w:rsidRPr="00517C6F">
        <w:t>24</w:t>
      </w:r>
      <w:r w:rsidR="00690B04" w:rsidRPr="00517C6F">
        <w:t>.</w:t>
      </w:r>
      <w:r w:rsidR="00690B04" w:rsidRPr="00517C6F">
        <w:tab/>
        <w:t>salută faptul că, în urma recomandărilor privind o agenție de gestionare eficace a frontierelor care să respecte drepturile fundamentale și pentru a îmbunătăți responsabilitatea, regularitatea și legalitatea tuturor activităților Agenției, au fost recrutați extern încă 22 de observatori pentru drepturile fundamentale (FROM);</w:t>
      </w:r>
      <w:r w:rsidR="00690B04" w:rsidRPr="00517C6F">
        <w:rPr>
          <w:color w:val="FF0000"/>
        </w:rPr>
        <w:t xml:space="preserve"> </w:t>
      </w:r>
      <w:r w:rsidR="00690B04" w:rsidRPr="00517C6F">
        <w:t>reamintește că toți FROM ar trebui să fie recrutați la nivel AD, cât mai curând posibil, prin procedurile corespunzătoare; ia act de faptul că, pe baza mandatului actualizat al Agenției, va exista o cerere pentru mai mulți observatori pentru drepturile fundamentale în viitor; salută faptul că Biroul pentru drepturile fundamentale a desfășurat FROM pe parcursul a 1 183 de zile în 50 de țări, ceea ce reprezintă o creștere substanțială în comparație cu anul precedent</w:t>
      </w:r>
      <w:r w:rsidR="00690B04" w:rsidRPr="00517C6F">
        <w:rPr>
          <w:color w:val="FF0000"/>
        </w:rPr>
        <w:t>;</w:t>
      </w:r>
    </w:p>
    <w:p w:rsidR="00690B04" w:rsidRPr="00517C6F" w:rsidRDefault="00452660" w:rsidP="00690B04">
      <w:pPr>
        <w:pStyle w:val="NormalHanging12a"/>
        <w:widowControl/>
        <w:mirrorIndents/>
        <w:rPr>
          <w:szCs w:val="24"/>
        </w:rPr>
      </w:pPr>
      <w:r w:rsidRPr="00517C6F">
        <w:rPr>
          <w:shd w:val="clear" w:color="auto" w:fill="FFFFFF"/>
        </w:rPr>
        <w:t>25</w:t>
      </w:r>
      <w:r w:rsidR="00690B04" w:rsidRPr="00517C6F">
        <w:rPr>
          <w:shd w:val="clear" w:color="auto" w:fill="FFFFFF"/>
        </w:rPr>
        <w:t>.</w:t>
      </w:r>
      <w:r w:rsidR="00690B04" w:rsidRPr="00517C6F">
        <w:rPr>
          <w:shd w:val="clear" w:color="auto" w:fill="FFFFFF"/>
        </w:rPr>
        <w:tab/>
        <w:t>subliniază că implicarea directă și indirectă a Agenției în activitățile de gestionare a frontierelor și de supraveghere a frontierelor trebuie să meargă mână în mână cu respectarea drepturilor fundamentale;</w:t>
      </w:r>
    </w:p>
    <w:p w:rsidR="00690B04" w:rsidRPr="00517C6F" w:rsidRDefault="00452660" w:rsidP="00690B04">
      <w:pPr>
        <w:pStyle w:val="NormalHanging12a"/>
        <w:widowControl/>
        <w:mirrorIndents/>
        <w:rPr>
          <w:szCs w:val="24"/>
        </w:rPr>
      </w:pPr>
      <w:r w:rsidRPr="00517C6F">
        <w:t>26</w:t>
      </w:r>
      <w:r w:rsidR="00690B04" w:rsidRPr="00517C6F">
        <w:t>.</w:t>
      </w:r>
      <w:r w:rsidR="00690B04" w:rsidRPr="00517C6F">
        <w:tab/>
        <w:t xml:space="preserve">constată, pe baza raportului ofițerului pentru drepturile fundamentale, o creștere suplimentară a numărului de rapoarte privind incidentele grave (SIR) de la 62 în 2021 la 72 de rapoarte privind incidentele grave în 2022, toate făcând obiectul procedurii standard de operare, astfel cum a fost modificată în 2021; felicită ODF pentru elaborarea unor proceduri de standardizare a modului în care biroul său evaluează și prelucrează informațiile primite cu privire la incidente; ia act de faptul că, în 2022, în majoritatea cazurilor SRI (38 din 72), principala sursă de informații au fost ofițerii </w:t>
      </w:r>
      <w:r w:rsidR="00690B04" w:rsidRPr="00517C6F">
        <w:lastRenderedPageBreak/>
        <w:t>detașați de Agenție, însă ofițerul pentru drepturile fundamentale s-a bazat și pe alte surse de informații, cum ar fi mass-media (4 cazuri) și organizațiile neguvernamentale (10 cazuri); reamintește că revizuirea suplimentară necesară a procedurii standard de operare privind mecanismul SIR a fost amânată;</w:t>
      </w:r>
      <w:r w:rsidR="00690B04" w:rsidRPr="00517C6F">
        <w:rPr>
          <w:color w:val="1E1E1F"/>
          <w:shd w:val="clear" w:color="auto" w:fill="FFFFFF"/>
        </w:rPr>
        <w:t xml:space="preserve"> așteaptă ca Agenția să pună în aplicare recomandările ODF care figurează în raportul său anual pe 2022;</w:t>
      </w:r>
    </w:p>
    <w:p w:rsidR="00690B04" w:rsidRPr="00517C6F" w:rsidRDefault="00452660" w:rsidP="00690B04">
      <w:pPr>
        <w:pStyle w:val="NormalHanging12a"/>
        <w:widowControl/>
        <w:mirrorIndents/>
        <w:rPr>
          <w:szCs w:val="24"/>
        </w:rPr>
      </w:pPr>
      <w:r w:rsidRPr="00517C6F">
        <w:t>27</w:t>
      </w:r>
      <w:r w:rsidR="00690B04" w:rsidRPr="00517C6F">
        <w:t>.</w:t>
      </w:r>
      <w:r w:rsidR="00690B04" w:rsidRPr="00517C6F">
        <w:tab/>
        <w:t>constată, pe baza raportului ODF, că, în 2022, acesta a primit în total 69 de plângeri (o creștere față de 27 în 2021); constată, de asemenea, că nouă dintre aceste plângeri au fost declarate admisibile (o creștere față de 6 în 2021) și salută normele revizuite privind mecanismul de tratare a plângerilor adoptat de Consiliul de administrație al Agenției în 2022, care prevede termene și acțiuni ulterioare adecvate care trebuie consolidate; felicită ODF pentru eforturile sale suplimentare în domeniul legat de mecanismul de tratare a plângerilor, cum ar fi acțiunile de sensibilizare, de exemplu prin actualizarea materialelor informative și a activităților de consolidare a capacităților, care includ formarea ofițerilor detașați și a partenerilor locali ai Agenției în timpul vizitelor în zonele operaționale ale Agenției;</w:t>
      </w:r>
    </w:p>
    <w:p w:rsidR="00690B04" w:rsidRPr="00517C6F" w:rsidRDefault="00452660" w:rsidP="00690B04">
      <w:pPr>
        <w:pStyle w:val="NormalHanging12a"/>
      </w:pPr>
      <w:r w:rsidRPr="00517C6F">
        <w:t>28</w:t>
      </w:r>
      <w:r w:rsidR="00690B04" w:rsidRPr="00517C6F">
        <w:t>.</w:t>
      </w:r>
      <w:r w:rsidR="00690B04" w:rsidRPr="00517C6F">
        <w:tab/>
        <w:t>felicită Agenția pentru progresele înregistrate în punerea în aplicare a planului de acțiune privind drepturile fundamentale (FRAP), care prevede 87 de activități; constată, pe baza raportului ODF, că 18 dintre aceste activități au fost puse în aplicare integral (adică nu sunt necesare acțiuni suplimentare), 62 sunt în desfășurare (adică sunt puse în aplicare în mod sistematic și continuu), una este pusă în aplicare parțial și șase sunt amânate; regretă aceste întârzieri și invită Agenția să înregistreze progrese rapide în ceea ce privește acțiunile restante; reamintește, în acest context, rolul important pe care îl au monitorii drepturilor fundamentale (FRM), inclusiv în ceea ce privește accesul lor la zonele operaționale și cooperarea strânsă cu personalul operațional al Agenției, precum și eforturile depuse pentru punerea în aplicare a activităților FRAP (nr. 23, 63 și 83, printre altele); salută faptul că procedura standard de operare privind rolurile și responsabilitățile FRM în activitățile operaționale ale Agenției a fost finalizată și aprobată; salută crearea, la începutul anului 2022, a unei rețele de puncte focale pentru drepturile fundamentale în toate unitățile Agenției pentru a dezvolta expertiza în materie de drepturi fundamentale în toate domeniile de activitate;</w:t>
      </w:r>
    </w:p>
    <w:p w:rsidR="00690B04" w:rsidRPr="00517C6F" w:rsidRDefault="00690B04" w:rsidP="00690B04">
      <w:pPr>
        <w:pStyle w:val="NormalHanging12a"/>
        <w:widowControl/>
        <w:mirrorIndents/>
        <w:rPr>
          <w:b/>
          <w:i/>
          <w:szCs w:val="24"/>
        </w:rPr>
      </w:pPr>
      <w:r w:rsidRPr="00517C6F">
        <w:rPr>
          <w:b/>
          <w:i/>
        </w:rPr>
        <w:t>Eficiența și realizările</w:t>
      </w:r>
    </w:p>
    <w:p w:rsidR="00690B04" w:rsidRPr="00517C6F" w:rsidRDefault="00452660" w:rsidP="00690B04">
      <w:pPr>
        <w:pStyle w:val="NormalHanging12a"/>
        <w:widowControl/>
        <w:mirrorIndents/>
        <w:rPr>
          <w:szCs w:val="24"/>
        </w:rPr>
      </w:pPr>
      <w:r w:rsidRPr="00517C6F">
        <w:t>29</w:t>
      </w:r>
      <w:r w:rsidR="00690B04" w:rsidRPr="00517C6F">
        <w:t>.</w:t>
      </w:r>
      <w:r w:rsidR="00690B04" w:rsidRPr="00517C6F">
        <w:tab/>
        <w:t xml:space="preserve">felicită Agenția pentru cooperarea sa strânsă și/sau partajarea resurselor cu diverse agenții și cu alte părți interesate, cum ar fi Comisia, statele membre sau țările terțe; subliniază beneficiile orizontale ale colaborării și adoptării bunelor practici și că inițiativele comune reunesc perspective diverse, reduc duplicarea eforturilor, îmbunătățesc învățarea și consolidează relațiile dintre participanți; remarcă, în acest sens, acțiunile Agenției în legătură, printre altele, cu: negocierile privind reînnoirea acordurilor de lucru care structurează cooperarea bilaterală cu mai multe agenții din domeniul </w:t>
      </w:r>
      <w:r w:rsidR="003150B8" w:rsidRPr="00517C6F">
        <w:t>J</w:t>
      </w:r>
      <w:r w:rsidR="00690B04" w:rsidRPr="00517C6F">
        <w:t xml:space="preserve">ustiției și </w:t>
      </w:r>
      <w:r w:rsidR="003150B8" w:rsidRPr="00517C6F">
        <w:t>A</w:t>
      </w:r>
      <w:r w:rsidR="00690B04" w:rsidRPr="00517C6F">
        <w:t xml:space="preserve">facerilor </w:t>
      </w:r>
      <w:r w:rsidR="003150B8" w:rsidRPr="00517C6F">
        <w:t>I</w:t>
      </w:r>
      <w:r w:rsidR="00690B04" w:rsidRPr="00517C6F">
        <w:t>nterne (JAI); transferul unei părți a personalului său la eu-LISA, în perioada 2022-2024, pentru proiectele legate de Sistemul de intrare/ieșire (EES) și ETIAS și la Europol, începând cu 1 ianuarie 2024, pentru proiectele din domeniul interoperabilității sistemelor Uniunii; și contribuțiile periodice ale Agenției la programele anuale de lucru ale altor agenții în vederea alinierii activităților;</w:t>
      </w:r>
    </w:p>
    <w:p w:rsidR="00690B04" w:rsidRPr="00517C6F" w:rsidRDefault="00452660" w:rsidP="00690B04">
      <w:pPr>
        <w:pStyle w:val="NormalHanging12a"/>
        <w:widowControl/>
        <w:mirrorIndents/>
        <w:rPr>
          <w:szCs w:val="24"/>
        </w:rPr>
      </w:pPr>
      <w:r w:rsidRPr="00517C6F">
        <w:t>30</w:t>
      </w:r>
      <w:r w:rsidR="00690B04" w:rsidRPr="00517C6F">
        <w:t>.</w:t>
      </w:r>
      <w:r w:rsidR="00690B04" w:rsidRPr="00517C6F">
        <w:tab/>
        <w:t xml:space="preserve">ia act, în special, de cooperarea Agenției prin intermediul unui acord de lucru tripartit cu Agenția Europeană pentru Controlul Pescuitului (EFCA) și cu Agenția Europeană pentru Siguranță Maritimă (EMSA) pentru a coordona și a partaja resursele în diverse </w:t>
      </w:r>
      <w:r w:rsidR="00690B04" w:rsidRPr="00517C6F">
        <w:lastRenderedPageBreak/>
        <w:t xml:space="preserve">domenii, cum ar fi schimbul de informații, serviciile de supraveghere și comunicare sau partajarea capacităților; salută lansarea operațiunilor maritime cu scopuri multiple (MMO), garantând implementarea diferitelor funcții de pază de coastă într-o singură operațiune care implică mandatele acestor trei agenții și consolidează cooperarea </w:t>
      </w:r>
      <w:proofErr w:type="spellStart"/>
      <w:r w:rsidR="00690B04" w:rsidRPr="00517C6F">
        <w:t>transsectorială</w:t>
      </w:r>
      <w:proofErr w:type="spellEnd"/>
      <w:r w:rsidR="00690B04" w:rsidRPr="00517C6F">
        <w:t xml:space="preserve"> și transfrontalieră; salută dezvoltarea în continuare a conceptului MMO odată cu desfășurarea MMO Marea Neagră, în perioada august-noiembrie 2022, în cooperare cu EFCA, EMSA și cu șase autorități din România și Bulgaria; salută, de asemenea, faptul că aceste trei agenții au convenit să extindă punerea în aplicare a conceptului MMO la Marea Adriatică și la Marea Baltică în 2023;</w:t>
      </w:r>
    </w:p>
    <w:p w:rsidR="00690B04" w:rsidRPr="00517C6F" w:rsidRDefault="00452660" w:rsidP="00690B04">
      <w:pPr>
        <w:pStyle w:val="NormalHanging12a"/>
        <w:widowControl/>
        <w:mirrorIndents/>
        <w:rPr>
          <w:szCs w:val="24"/>
        </w:rPr>
      </w:pPr>
      <w:r w:rsidRPr="00517C6F">
        <w:t>31</w:t>
      </w:r>
      <w:r w:rsidR="00690B04" w:rsidRPr="00517C6F">
        <w:t>.</w:t>
      </w:r>
      <w:r w:rsidR="00690B04" w:rsidRPr="00517C6F">
        <w:tab/>
        <w:t>sprijină planurile Agenției privind proiectarea și construirea unei noi clădiri pentru viitorul său sediu (sediu permanent), în timp ce o astfel de clădire, care se preconizează că va respecta cele mai înalte standarde de sustenabilitate, va rămâne ecologică pe întreaga sa durată de viață; constată că procedura de licitație, lansată în iulie 2022, se bazează pe Orientările privind achizițiile publice ecologice; constată și că, în acest context, Agenția a dezvoltat un concept care își are originea într-un mod de lucru bazat pe activități, sprijinind principiile fundamentale ale muncii independente din punct de vedere temporal și local, diversitatea spațiilor de lucru și accentul pus pe colaborarea între entități și pe schimbul de cunoștințe, care vor fi testate mai întâi la sediul actual al Agenției; invită Agenția să țină la curent autoritatea care acordă descărcarea de gestiune cu privire la rezultatele acestui test și la măsurile ulterioare;</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32</w:t>
      </w:r>
      <w:r w:rsidR="00690B04" w:rsidRPr="00517C6F">
        <w:rPr>
          <w:rFonts w:ascii="Times New Roman" w:hAnsi="Times New Roman"/>
          <w:lang w:val="ro-RO"/>
        </w:rPr>
        <w:t>.</w:t>
      </w:r>
      <w:r w:rsidR="00690B04" w:rsidRPr="00517C6F">
        <w:rPr>
          <w:rFonts w:ascii="Times New Roman" w:hAnsi="Times New Roman"/>
          <w:lang w:val="ro-RO"/>
        </w:rPr>
        <w:tab/>
        <w:t>observă că, pe drumul său către integrarea sustenabilității mediului în toate procesele, politicile și operațiunile sale și, în cele din urmă, către neutralitatea emisiilor de dioxid de carbon până în 2050, Agenția a lansat în 2021 și a publicat în 2022 un studiu intitulat „Pactul verde și poliția de frontieră și garda de coastă la nivel european (EBCG)”, bazat în principal pe studii de caz privind cele mai bune practici din diferite organizații internaționale (de exemplu, Banca Centrală Europeană, Ministerul de Interne din Franța, Departamentul pentru Securitate Internă al SUA, printre altele); constată cu satisfacție că raportul identifică zece domenii diferite (inclusiv cu privire la sustenabilitatea în activitățile operaționale în care comunitatea EBCG are cel mai mare impact asupra mediului), dispunând de foi de parcurs pe termen scurt, mediu și lung; constată că, pe baza acestui studiu, cadrul de gestionare a schimbărilor, sistemele de raportare și de gestionare a riscurilor, precum și punerea în aplicare și certificarea EMAS sunt fundamentale pentru transformarea reușită urmărită de Agenție împreună cu comunitatea EBCG;</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33</w:t>
      </w:r>
      <w:r w:rsidR="00690B04" w:rsidRPr="00517C6F">
        <w:rPr>
          <w:rFonts w:ascii="Times New Roman" w:hAnsi="Times New Roman"/>
          <w:lang w:val="ro-RO"/>
        </w:rPr>
        <w:t>.</w:t>
      </w:r>
      <w:r w:rsidR="00690B04" w:rsidRPr="00517C6F">
        <w:rPr>
          <w:rFonts w:ascii="Times New Roman" w:hAnsi="Times New Roman"/>
          <w:lang w:val="ro-RO"/>
        </w:rPr>
        <w:tab/>
        <w:t xml:space="preserve">observă că Agenția integrează criterii de mediu în procedurile sale de achiziții publice, de exemplu în ceea ce privește zborurile, serviciile de </w:t>
      </w:r>
      <w:proofErr w:type="spellStart"/>
      <w:r w:rsidR="00690B04" w:rsidRPr="00517C6F">
        <w:rPr>
          <w:rFonts w:ascii="Times New Roman" w:hAnsi="Times New Roman"/>
          <w:lang w:val="ro-RO"/>
        </w:rPr>
        <w:t>catering</w:t>
      </w:r>
      <w:proofErr w:type="spellEnd"/>
      <w:r w:rsidR="00690B04" w:rsidRPr="00517C6F">
        <w:rPr>
          <w:rFonts w:ascii="Times New Roman" w:hAnsi="Times New Roman"/>
          <w:lang w:val="ro-RO"/>
        </w:rPr>
        <w:t xml:space="preserve"> și sediul permanent al Agenției; recunoaște, cu toate acestea, că particularitățile achizițiilor Agenției (de exemplu, achiziționarea de veste antiglonț) nu permit întotdeauna integrarea unor astfel de criterii; ia act, de asemenea, de proiectul de consultanță externă al Agenției cu privire la modul de stabilire a unui scenariu de referință pentru măsurarea amprentei energetice și de mediu a personalului și a echipamentelor tehnice operaționale, precum și de formarea pilot în materie de conducere ecologică desfășurată pentru un grup de membri ai corpului permanent și de includerea formării de sensibilizare cu privire la practicile de conducere ecologică în formările de bază online pentru nou-veniți (membrii corpului permanent);</w:t>
      </w:r>
    </w:p>
    <w:p w:rsidR="00690B04" w:rsidRPr="00517C6F" w:rsidRDefault="00690B04" w:rsidP="00690B04">
      <w:pPr>
        <w:pStyle w:val="Normal12Hanging"/>
        <w:mirrorIndents/>
        <w:rPr>
          <w:rFonts w:ascii="Times New Roman" w:hAnsi="Times New Roman" w:cs="Times New Roman"/>
          <w:b/>
          <w:i/>
          <w:lang w:val="ro-RO"/>
        </w:rPr>
      </w:pPr>
      <w:r w:rsidRPr="00517C6F">
        <w:rPr>
          <w:rFonts w:ascii="Times New Roman" w:hAnsi="Times New Roman"/>
          <w:b/>
          <w:i/>
          <w:lang w:val="ro-RO"/>
        </w:rPr>
        <w:t>Politica de personal</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lastRenderedPageBreak/>
        <w:t>34</w:t>
      </w:r>
      <w:r w:rsidR="00690B04" w:rsidRPr="00517C6F">
        <w:rPr>
          <w:rFonts w:ascii="Times New Roman" w:hAnsi="Times New Roman"/>
          <w:lang w:val="ro-RO"/>
        </w:rPr>
        <w:t>.</w:t>
      </w:r>
      <w:r w:rsidR="00690B04" w:rsidRPr="00517C6F">
        <w:rPr>
          <w:rFonts w:ascii="Times New Roman" w:hAnsi="Times New Roman"/>
          <w:lang w:val="ro-RO"/>
        </w:rPr>
        <w:tab/>
        <w:t>recunoaște eforturile susținute ale Agenției și îmbunătățirile importante din domeniul recrutării, în pofida întârzierilor; constată că, la 31 decembrie 2022, schema de personal era completată în proporție de 88,46 %, (82 % în 2021), fiind ocupate 1 150 din cele 1 300 de posturi de agenți temporari autorizate de bugetul Uniunii; constată, în plus, că la Agenție lucrau 723 de agenți contractuali (din care 11 angajați finanțați din bugetul extern) și 190 de experți naționali detașați (în 2022 fiind autorizate pentru Agenție 964 de posturi de agenți contractuali și 220 de posturi de experți naționali detașați); salută o creștere (cu aproximativ 6,5 % față de anul 2021), pentru al doilea an consecutiv, a ratei de ocupare a Agenției, datorită recrutării, în 2022, a 509 nou-veniți, ceea ce a dus la o creștere netă a numărului total de angajați ai Agenției, de la 1 554, în 2021, la 2 063 în 2022, în special a numărului de ofițeri de categoria 1 din corpul permanent, de la 595, în 2021, la 963 în 2022; salută, în acest context, faptul că 65 de noi angajați au fost recrutați și integrați în unitatea centrală a ETIAS, precum și 22 noi FRM, în timp ce, la 31 decembrie 2022, Agenția ocupase 44 de posturi FRM (46 la 1 septembrie 2023), apropiindu-se astfel de punerea în aplicare deplină a mandatului extins al Agenției; constată, de asemenea, că, în octombrie 2022, rezerva Agenției de supraveghetori pentru returnările forțate număra 60 de observatori din 24 de state membre ale Uniunii și SAC, dintre care cinci proveneau din rezerva de FRM; salută tendința descrescătoare a ratei anuale a posturilor vacante ale Agenției pentru toate tipurile de contracte din ambii piloni, A și B;</w:t>
      </w:r>
    </w:p>
    <w:p w:rsidR="00690B04" w:rsidRPr="00517C6F" w:rsidRDefault="00452660" w:rsidP="00690B04">
      <w:pPr>
        <w:pStyle w:val="NormalHanging12a"/>
      </w:pPr>
      <w:r w:rsidRPr="00517C6F">
        <w:t>35</w:t>
      </w:r>
      <w:r w:rsidR="00690B04" w:rsidRPr="00517C6F">
        <w:t>.</w:t>
      </w:r>
      <w:r w:rsidR="00690B04" w:rsidRPr="00517C6F">
        <w:tab/>
        <w:t xml:space="preserve">este profund îngrijorat de defalcarea pe gen, raportată în 2022, a componenței personalului superior și mediu de conducere al Agenției, de 19 bărbați (79 %) și șapte femei (21 %), a consiliului de administrație, de 54 de bărbați (87 %) și opt femei (13 %) și a personalului Agenției în general, de 1 473 de bărbați (71 %) și 590 de femei (29 %); reamintește că este important să se asigure echilibrul de gen și invită Agenția să ia în considerare acest aspect la viitoarele recrutări de personal și numiri ale cadrelor superioare și medii; solicită Comisiei și statelor membre să țină seama de importanța echilibrului de gen la numirea membrilor lor în Consiliul de administrație al Agenției; ia act, pe baza raportului Agenției intitulat „Raportul individual al </w:t>
      </w:r>
      <w:proofErr w:type="spellStart"/>
      <w:r w:rsidR="00690B04" w:rsidRPr="00517C6F">
        <w:t>Frontex</w:t>
      </w:r>
      <w:proofErr w:type="spellEnd"/>
      <w:r w:rsidR="00690B04" w:rsidRPr="00517C6F">
        <w:t xml:space="preserve"> privind acțiunile întreprinse în urma descărcării de gestiune pentru exercițiul financiar 2021” (denumit în continuare „raportul de monitorizare al Agenției”), de măsurile și inițiativele luate de Agenție pentru a îmbunătăți echilibrul de gen; constată că, în ciuda acestor eforturi, obiectivul declarat al Agenției de a avea cel puțin 40 % din genul subreprezentat la toate nivelurile de conducere este încă departe de a fi atins; invită Agenția să soluționeze această problemă și să informeze autoritatea care acordă descărcarea de gestiune despre progresele înregistrate; constată, cu toate acestea, din raportul privind măsurile subsecvente al Agenției că echilibrul de gen este monitorizat, luând în considerare și faptul că cinci categorii principale de personal, dintre care unele, cum ar fi posturile de conducere, rezerva de recrutare (serviciile naționale de aplicare a legii) sunt alcătuite în cea mai mare parte din bărbați; constată totuși, pe baza acestui raport, că, în categoria posturilor administrative, Agenția a atins, în mai 2023, un echilibru de gen aproape ideal (417 bărbați și 426 de femei);</w:t>
      </w:r>
    </w:p>
    <w:p w:rsidR="00690B04" w:rsidRPr="00517C6F" w:rsidRDefault="00452660" w:rsidP="00690B04">
      <w:pPr>
        <w:pStyle w:val="NormalHanging12a"/>
      </w:pPr>
      <w:r w:rsidRPr="00517C6F">
        <w:t>36</w:t>
      </w:r>
      <w:r w:rsidR="00690B04" w:rsidRPr="00517C6F">
        <w:t>.</w:t>
      </w:r>
      <w:r w:rsidR="00690B04" w:rsidRPr="00517C6F">
        <w:tab/>
        <w:t xml:space="preserve">salută măsurile și politicile ample de combatere a hărțuirii instituite de Agenție, care se bazează pe consilieri confidențiali (17 membri ai personalului, dintre care șase din echipa corpului permanent), al căror rol este esențial în protejarea demnității personalului Agenției și în prevenirea hărțuirii psihologice și sexuale; salută, din raportul de monitorizare al Agenției, acțiunile deja puse în aplicare și cele în curs, precum și lista măsurilor propuse, toate vizând asigurarea unei toleranțe zero față de hărțuirea sexuală în toate activitățile Agenției; invită Agenția să rămână </w:t>
      </w:r>
      <w:proofErr w:type="spellStart"/>
      <w:r w:rsidR="00690B04" w:rsidRPr="00517C6F">
        <w:t>proactivă</w:t>
      </w:r>
      <w:proofErr w:type="spellEnd"/>
      <w:r w:rsidR="00690B04" w:rsidRPr="00517C6F">
        <w:t xml:space="preserve"> și să </w:t>
      </w:r>
      <w:r w:rsidR="00690B04" w:rsidRPr="00517C6F">
        <w:lastRenderedPageBreak/>
        <w:t>pună pe deplin în aplicare planul său de acțiune în ceea ce privește măsurile de combatere a hărțuirii; subliniază că acesta este un element esențial pentru reformarea culturii organizaționale a Agenției și invită Agenția să raporteze periodic cu privire la progresele înregistrate în acest sens;</w:t>
      </w:r>
    </w:p>
    <w:p w:rsidR="00690B04" w:rsidRPr="00517C6F" w:rsidRDefault="00452660" w:rsidP="00690B04">
      <w:pPr>
        <w:pStyle w:val="NormalHanging12a"/>
      </w:pPr>
      <w:r w:rsidRPr="00517C6F">
        <w:t>37</w:t>
      </w:r>
      <w:r w:rsidR="00690B04" w:rsidRPr="00517C6F">
        <w:t>.</w:t>
      </w:r>
      <w:r w:rsidR="00690B04" w:rsidRPr="00517C6F">
        <w:tab/>
        <w:t>constată cu îngrijorare, pe baza răspunsurilor Agenției la întrebările cu solicitare de răspuns scris ale Parlamentului, că, în 2022, 31 cazuri de hărțuire anonimă (psihologică: 27 sau sexuală: 4) au fost raportate, dintre care 22 au fost închise în etapa anonimă, patru cazuri erau în curs de conciliere cu presupusul autor al hărțuirii, iar cinci au fost transferate unei proceduri oficiale; constată, de asemenea, că, în 2022, au fost deschise 11 cazuri de hărțuire psihologică (7) sau sexuală (4), în timp ce cinci cazuri au fost închise după etapa de evaluare preliminară, iar în șase cazuri au fost formulate recomandări care variază de la cursuri de sensibilizare cu privire la prevenirea hărțuirii până la rezilierea contractului; invită Agenția să evalueze cu atenție fiecare caz, adoptând o abordare cu toleranță zero față de hărțuirea psihologică, sexuală sau de orice alt tip, și să procedeze rapid la tragerea la răspundere a celor responsabili de abateri; ia act, din raportul de monitorizare al Agenției, de concluzia acesteia cu privire la ancheta redeschisă cu privire la decesul tragic al unui angajat în 2020, potrivit căreia nu a fost dovedită nicio hărțuire și, prin urmare, nu a putut fi stabilită nicio legătură directă sau indirectă între sinuciderea presupusei victime și mediul de lucru;</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38</w:t>
      </w:r>
      <w:r w:rsidR="00690B04" w:rsidRPr="00517C6F">
        <w:rPr>
          <w:rFonts w:ascii="Times New Roman" w:hAnsi="Times New Roman"/>
          <w:lang w:val="ro-RO"/>
        </w:rPr>
        <w:t>.</w:t>
      </w:r>
      <w:r w:rsidR="00690B04" w:rsidRPr="00517C6F">
        <w:rPr>
          <w:rFonts w:ascii="Times New Roman" w:hAnsi="Times New Roman"/>
          <w:lang w:val="ro-RO"/>
        </w:rPr>
        <w:tab/>
        <w:t>felicită Agenția pentru multitudinea de cursuri de formare oferite personalului său în 2022; constată, în acest sens, că Agenția a oferit 21 de cursuri de specializare pentru corpul permanent de categoria 1 (1 194 de participanți), 15 cursuri diferite pentru corpul permanent de categoria 2 și 3 (cu peste 1 450 de participanți), 34 de cursuri pentru diferite categorii de ofițeri (aproape 4 000 de participanți) și un program extins de formare de bază pentru 325 de ofițeri ai corpului permanent, în timp ce aspectele legate de drepturile fundamentale, inclusiv protecția datelor, au rămas elemente centrale ale cursurilor de formare; ia act, de asemenea, de adoptarea „Cartei privind diversitatea și incluziunea” și de varietatea măsurilor luate de Agenție pentru integrarea persoanelor cu dizabilități și pentru îmbunătățirea stării de bine a personalului și a echilibrului dintre viața profesională și cea privată;</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39</w:t>
      </w:r>
      <w:r w:rsidR="00690B04" w:rsidRPr="00517C6F">
        <w:rPr>
          <w:rFonts w:ascii="Times New Roman" w:hAnsi="Times New Roman"/>
          <w:lang w:val="ro-RO"/>
        </w:rPr>
        <w:t>.</w:t>
      </w:r>
      <w:r w:rsidR="00690B04" w:rsidRPr="00517C6F">
        <w:rPr>
          <w:rFonts w:ascii="Times New Roman" w:hAnsi="Times New Roman"/>
          <w:lang w:val="ro-RO"/>
        </w:rPr>
        <w:tab/>
        <w:t>ia act cu îngrijorare de informațiile furnizate de Ombudsmanul European cu privire la ofițerii corpului permanent al Agenției care au prestat servicii de permanență înainte de 5 octombrie 2022, pentru care nu au primit nicio compensație financiară; este îngrijorat, în acest context, că, din cauza lipsei de informații suplimentare și a unor anchete adecvate, concluzia Ombudsmanului a fost că rămâne neclar de ce Agenția consideră că nu există niciun temei juridic pentru efectuarea plăților necesare; îndeamnă Agenția să înființeze un grup operativ specific pentru a colecta și verifica toate declarațiile privind serviciile de permanență efectuate înainte de 5 octombrie 2022 și să informeze autoritatea care acordă descărcarea de gestiune despre progresele înregistrate în acest sens;</w:t>
      </w:r>
    </w:p>
    <w:p w:rsidR="00690B04" w:rsidRPr="00517C6F" w:rsidRDefault="00452660" w:rsidP="00690B04">
      <w:pPr>
        <w:pStyle w:val="NormalHanging12a"/>
      </w:pPr>
      <w:r w:rsidRPr="00517C6F">
        <w:t>40</w:t>
      </w:r>
      <w:r w:rsidR="00690B04" w:rsidRPr="00517C6F">
        <w:t>.</w:t>
      </w:r>
      <w:r w:rsidR="00690B04" w:rsidRPr="00517C6F">
        <w:tab/>
        <w:t>salută măsurile luate de Agenție pentru a trece printr-un proces de tranziție, cu scopul de a îmbunătăți cultura managerială și a promova starea de bine a personalului; invită noua conducere să continue să se implice în reformarea profundă a culturii organizaționale a Agenției;</w:t>
      </w:r>
    </w:p>
    <w:p w:rsidR="00690B04" w:rsidRPr="00517C6F" w:rsidRDefault="00690B04" w:rsidP="00690B04">
      <w:pPr>
        <w:pStyle w:val="Normal12Hanging"/>
        <w:mirrorIndents/>
        <w:rPr>
          <w:rFonts w:ascii="Times New Roman" w:hAnsi="Times New Roman" w:cs="Times New Roman"/>
          <w:b/>
          <w:i/>
          <w:lang w:val="ro-RO"/>
        </w:rPr>
      </w:pPr>
      <w:r w:rsidRPr="00517C6F">
        <w:rPr>
          <w:rFonts w:ascii="Times New Roman" w:hAnsi="Times New Roman"/>
          <w:b/>
          <w:i/>
          <w:lang w:val="ro-RO"/>
        </w:rPr>
        <w:t>Achizițiile publice</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lastRenderedPageBreak/>
        <w:t>41</w:t>
      </w:r>
      <w:r w:rsidR="00690B04" w:rsidRPr="00517C6F">
        <w:rPr>
          <w:rFonts w:ascii="Times New Roman" w:hAnsi="Times New Roman"/>
          <w:lang w:val="ro-RO"/>
        </w:rPr>
        <w:t>.</w:t>
      </w:r>
      <w:r w:rsidR="00690B04" w:rsidRPr="00517C6F">
        <w:rPr>
          <w:rFonts w:ascii="Times New Roman" w:hAnsi="Times New Roman"/>
          <w:lang w:val="ro-RO"/>
        </w:rPr>
        <w:tab/>
        <w:t>ia act, din raportul Curții, de observația privind o creștere (de la 79 000 EUR la 502 900 EUR prin intermediul a patru amendamente) a valorii unui contract peste limita (50 %) permisă de Regulamentul financiar [articolul 172 alineatul (3) litera (a) punctul (iii)]; observă că această creștere a condus la plăți, dintre care cele cu o valoare de 384 000 EUR au fost neconforme; constată, în acest context, pe baza răspunsului Agenției, că, pentru a nu întârzia recrutarea corpului permanent, au fost necesare excepții de la norme, care au fost înregistrate în registrul de excepții și cazuri de neconformitate al Agenției;</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42</w:t>
      </w:r>
      <w:r w:rsidR="00690B04" w:rsidRPr="00517C6F">
        <w:rPr>
          <w:rFonts w:ascii="Times New Roman" w:hAnsi="Times New Roman"/>
          <w:lang w:val="ro-RO"/>
        </w:rPr>
        <w:t>.</w:t>
      </w:r>
      <w:r w:rsidR="00690B04" w:rsidRPr="00517C6F">
        <w:rPr>
          <w:rFonts w:ascii="Times New Roman" w:hAnsi="Times New Roman"/>
          <w:lang w:val="ro-RO"/>
        </w:rPr>
        <w:tab/>
        <w:t>constată că, în 2022, Agenția a lansat 53 de proceduri deschise de licitație, 20 dintre acestea având ca rezultat semnarea de contracte în valoare totală de 140, 5 milioane EUR, iar 25 fiind încă în curs și având o valoare estimată de 486,51 milioane EUR; observă și că Agenția a lansat 33 de proceduri cu valoare scăzută și medie (negociate cu trei și cinci candidați), cu o valoare totală de 3,4 milioane EUR, 20 din cele 33 de proceduri ducând la semnarea în 2022 a unor contracte în valoare totală de 2,03 milioane EUR și patru dintre ele fiind încă în curs, cu o valoare totală de 524 000 EUR; constată, de asemenea, că, în 2022, Agenția a gestionat 228 de proceduri cu valoare foarte mică (negociate cu un candidat), cu o valoare totală de 1,62 milioane EUR; observă, în sfârșit, că, în 2022, au fost gestionate 1116 proceduri în temeiul contractelor-cadru existente, cu o valoare totală de 188,9 milioane EUR, 983 având ca rezultat semnarea de contracte sau bonuri de comandă specifice cu o valoare totală de 153,4 milioane EUR, iar 32 dintre ele, în valoare totală de 16,6 milioane EUR, sunt încă în desfășurare; observă o scădere cu aproximativ 15 % a valorii totale a procedurilor de achiziții finalizate, de la 406,9 milioane EUR în 2021 la 348,5 milioane EUR în 2022;</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43</w:t>
      </w:r>
      <w:r w:rsidR="00690B04" w:rsidRPr="00517C6F">
        <w:rPr>
          <w:rFonts w:ascii="Times New Roman" w:hAnsi="Times New Roman"/>
          <w:lang w:val="ro-RO"/>
        </w:rPr>
        <w:t>.</w:t>
      </w:r>
      <w:r w:rsidR="00690B04" w:rsidRPr="00517C6F">
        <w:rPr>
          <w:rFonts w:ascii="Times New Roman" w:hAnsi="Times New Roman"/>
          <w:lang w:val="ro-RO"/>
        </w:rPr>
        <w:tab/>
        <w:t>salută eforturile depuse de Agenție în 2022 pentru a asigura contracte importante din punct de vedere strategic în domenii care variază de la furnizarea de servicii interimare de personal până la furnizarea de servicii pentru sistemul de informații geografice, de informații geospațiale și de informații imagistice; ia act de faptul că s-au înregistrat progrese semnificative în ceea ce privește procedurile critice de achiziții pentru sume semnificative de bani în ceea ce privește sediul permanent al Agenției [140 de milioane EUR, furnizarea de servicii legate de călătorii (666 de milioane EUR) și de servicii legate de infrastructură și software (32 de milioane EUR)];</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44</w:t>
      </w:r>
      <w:r w:rsidR="00690B04" w:rsidRPr="00517C6F">
        <w:rPr>
          <w:rFonts w:ascii="Times New Roman" w:hAnsi="Times New Roman"/>
          <w:lang w:val="ro-RO"/>
        </w:rPr>
        <w:t>.</w:t>
      </w:r>
      <w:r w:rsidR="00690B04" w:rsidRPr="00517C6F">
        <w:rPr>
          <w:rFonts w:ascii="Times New Roman" w:hAnsi="Times New Roman"/>
          <w:lang w:val="ro-RO"/>
        </w:rPr>
        <w:tab/>
        <w:t>ia act de raportarea Agenției cu privire la îmbunătățirea planificării și monitorizării planului anual de achiziții publice; invită SAI să includă acest plan în viitoarele sale audituri;</w:t>
      </w:r>
    </w:p>
    <w:p w:rsidR="00690B04" w:rsidRPr="00517C6F" w:rsidRDefault="00690B04" w:rsidP="00690B04">
      <w:pPr>
        <w:pStyle w:val="NormalHanging12a"/>
        <w:widowControl/>
        <w:mirrorIndents/>
        <w:rPr>
          <w:b/>
          <w:i/>
          <w:szCs w:val="24"/>
        </w:rPr>
      </w:pPr>
      <w:r w:rsidRPr="00517C6F">
        <w:rPr>
          <w:b/>
          <w:i/>
        </w:rPr>
        <w:t>Prevenirea și gestionarea conflictelor de interese și transparența</w:t>
      </w:r>
    </w:p>
    <w:p w:rsidR="00690B04" w:rsidRPr="00517C6F" w:rsidRDefault="00452660" w:rsidP="00690B04">
      <w:pPr>
        <w:pStyle w:val="NormalHanging12a"/>
      </w:pPr>
      <w:r w:rsidRPr="00517C6F">
        <w:t>45</w:t>
      </w:r>
      <w:r w:rsidR="00690B04" w:rsidRPr="00517C6F">
        <w:t>.</w:t>
      </w:r>
      <w:r w:rsidR="00690B04" w:rsidRPr="00517C6F">
        <w:tab/>
        <w:t>apreciază faptul că CV-urile și declarațiile de interese ale membrilor Consiliului de administrație și ai managementului executiv au fost publicate pe site-ul Agenției; constată, de asemenea, că în 2022 au fost tratate cinci cazuri de avertizare în interes public, dintre care trei cazuri au fost închise sau încheiate în faza de evaluare preliminară, iar două cazuri fac în prezent obiectul investigației OLAF; invită persoanele vizate și Agenția să asigure cooperarea deplină cu OLAF în cursul investigației; constată, în cele din urmă, că în 2022 nu au fost investigate cazuri de conflicte de interese;</w:t>
      </w:r>
    </w:p>
    <w:p w:rsidR="00690B04" w:rsidRPr="00517C6F" w:rsidRDefault="00452660" w:rsidP="00690B04">
      <w:pPr>
        <w:pStyle w:val="NormalHanging12a"/>
      </w:pPr>
      <w:r w:rsidRPr="00517C6F">
        <w:t>46</w:t>
      </w:r>
      <w:r w:rsidR="00690B04" w:rsidRPr="00517C6F">
        <w:t>.</w:t>
      </w:r>
      <w:r w:rsidR="00690B04" w:rsidRPr="00517C6F">
        <w:tab/>
        <w:t xml:space="preserve">constată, pe baza răspunsului Agenției la întrebările cu solicitare de răspuns scris ale Parlamentului, că Agenția lucrează la o politică de monitorizare a conformității </w:t>
      </w:r>
      <w:r w:rsidR="00690B04" w:rsidRPr="00517C6F">
        <w:lastRenderedPageBreak/>
        <w:t>actualului și fostului personal de conducere al Agenției în domeniul situațiilor de tip „ușă turnantă”; invită Agenția să informeze autoritatea care acordă descărcarea de gestiune cu privire la progresele înregistrate în acest sens; își reia apelul adresat Agenției de a institui, de asemenea, pentru membrii Consiliului său de administrație principii, proceduri și mecanisme specifice pentru a face față conflictelor de interese ale acestor membri și situațiilor de tip „ușă turnantă”;</w:t>
      </w:r>
    </w:p>
    <w:p w:rsidR="00690B04" w:rsidRPr="00517C6F" w:rsidRDefault="00452660" w:rsidP="00690B04">
      <w:pPr>
        <w:pStyle w:val="NormalHanging12a"/>
        <w:widowControl/>
        <w:mirrorIndents/>
        <w:rPr>
          <w:szCs w:val="24"/>
        </w:rPr>
      </w:pPr>
      <w:r w:rsidRPr="00517C6F">
        <w:t>47</w:t>
      </w:r>
      <w:r w:rsidR="00690B04" w:rsidRPr="00517C6F">
        <w:t>.</w:t>
      </w:r>
      <w:r w:rsidR="00690B04" w:rsidRPr="00517C6F">
        <w:tab/>
        <w:t>ia act de răspunsul adresat autorității care acordă descărcarea de gestiune, care furnizează informații cu privire la contactele și reuniunile înregistrate și documentate în registrul de transparență al Agenției în 2022; ia act de diferitele reuniuni (Zilele industriei) ale Agenției, care au oferit întreprinderilor din industrie posibilitatea de a-și prezenta produsele și serviciile care pot sprijini activitățile de gestionare a frontierelor și pot încuraja dialogul dintre comunitatea EBCG și industrie; observă că, în cadrul Zilelor Industriei pentru 2022, Agenția a primit 277 de cereri de soluții, a invitat 88 de întreprinderi să își prezinte tehnologiile și a organizat sesiuni online în cadrul cărora au fost partajate informații cu privire la 175 de soluții; salută faptul că lista întreprinderilor participante este publicată pe site-ul Agenției;</w:t>
      </w:r>
    </w:p>
    <w:p w:rsidR="00690B04" w:rsidRPr="00517C6F" w:rsidRDefault="00452660" w:rsidP="00690B04">
      <w:pPr>
        <w:pStyle w:val="NormalHanging12a"/>
      </w:pPr>
      <w:r w:rsidRPr="00517C6F">
        <w:t>48</w:t>
      </w:r>
      <w:r w:rsidR="00690B04" w:rsidRPr="00517C6F">
        <w:t>.</w:t>
      </w:r>
      <w:r w:rsidR="00690B04" w:rsidRPr="00517C6F">
        <w:tab/>
        <w:t>constată, pe baza RAAC al Agenției, că biroul pentru transparență al Agenției a prelucrat un număr semnificativ mai mare de cereri (469) de acces public la documente (APD), ceea ce reprezintă o creștere de aproape 34 % de la an la an; constată, de asemenea, că a fost creat site-ul registrului public de documente al Agenției, cu aproximativ 1 900 de documente-cheie încărcate în 2022; ia act de concluziile OE din ancheta sa din proprie inițiativă (cazul OI/2022/PB), potrivit cărora Agenția prelucrează în mod sistematic cererile APD prea lent, în special atunci când este vorba de un număr mare de documente și atunci când Agenția consideră că cererea este imprecisă, ceea ce constituie o administrare defectuoasă; regretă că Agenția nu a acceptat recomandarea Ombudsmanului și invită Agenția să înceapă să trateze cu prioritate cererile APD, mai rapid și mai transparent;</w:t>
      </w:r>
    </w:p>
    <w:p w:rsidR="00690B04" w:rsidRPr="00517C6F" w:rsidRDefault="00452660" w:rsidP="00690B04">
      <w:pPr>
        <w:spacing w:after="240"/>
        <w:ind w:left="567" w:hanging="567"/>
        <w:mirrorIndents/>
      </w:pPr>
      <w:r w:rsidRPr="00517C6F">
        <w:t>49</w:t>
      </w:r>
      <w:r w:rsidR="00690B04" w:rsidRPr="00517C6F">
        <w:t>.</w:t>
      </w:r>
      <w:r w:rsidR="00690B04" w:rsidRPr="00517C6F">
        <w:tab/>
        <w:t>recunoaște prezumția generală de nedivulgare a accesului public la documentele referitoare la investigațiile în curs ale OLAF</w:t>
      </w:r>
      <w:r w:rsidR="00690B04" w:rsidRPr="00517C6F">
        <w:rPr>
          <w:rStyle w:val="FootnoteReference"/>
        </w:rPr>
        <w:footnoteReference w:id="12"/>
      </w:r>
      <w:r w:rsidR="00690B04" w:rsidRPr="00517C6F">
        <w:t xml:space="preserve">; solicită din nou totuși ca rapoartele OLAF despre Agenție să fie făcute publice dacă există motive de interes public superior care justifică divulgarea și, în toate cazurile, ca deputații în PE vizați să aibă acces la astfel de rapoarte într-un termen rezonabil, pentru a putea să exercite un control democratic efectiv și să tragă Agenția la răspundere pentru acțiunile sale; consideră că normele actuale trebuie revizuite pentru a se asigura că Parlamentul este pe deplin informat în calitate de factor de decizie și de </w:t>
      </w:r>
      <w:proofErr w:type="spellStart"/>
      <w:r w:rsidR="00690B04" w:rsidRPr="00517C6F">
        <w:t>colegiuitor</w:t>
      </w:r>
      <w:proofErr w:type="spellEnd"/>
      <w:r w:rsidR="00690B04" w:rsidRPr="00517C6F">
        <w:t>, mai ales având în vedere competențele sale bugetare;</w:t>
      </w:r>
    </w:p>
    <w:p w:rsidR="00690B04" w:rsidRPr="00517C6F" w:rsidRDefault="00452660" w:rsidP="00690B04">
      <w:pPr>
        <w:pStyle w:val="NormalHanging12a"/>
      </w:pPr>
      <w:r w:rsidRPr="00517C6F">
        <w:t>50</w:t>
      </w:r>
      <w:r w:rsidR="00690B04" w:rsidRPr="00517C6F">
        <w:t>.</w:t>
      </w:r>
      <w:r w:rsidR="00690B04" w:rsidRPr="00517C6F">
        <w:tab/>
        <w:t>ia act de ancheta Ombudsmanului privind refuzul Agenției de a acorda acces public la raportul ofițerului său pentru drepturile fundamentale referitor la o operațiune a Agenției în Albania (cazul 652/2023/VB)</w:t>
      </w:r>
      <w:r w:rsidR="00690B04" w:rsidRPr="00517C6F">
        <w:rPr>
          <w:rStyle w:val="FootnoteReference"/>
        </w:rPr>
        <w:footnoteReference w:id="13"/>
      </w:r>
      <w:r w:rsidR="00690B04" w:rsidRPr="00517C6F">
        <w:t>;</w:t>
      </w:r>
    </w:p>
    <w:p w:rsidR="00690B04" w:rsidRPr="00517C6F" w:rsidRDefault="00452660" w:rsidP="00690B04">
      <w:pPr>
        <w:pStyle w:val="NormalHanging12a"/>
        <w:widowControl/>
        <w:mirrorIndents/>
        <w:rPr>
          <w:szCs w:val="24"/>
        </w:rPr>
      </w:pPr>
      <w:r w:rsidRPr="00517C6F">
        <w:rPr>
          <w:color w:val="1E1E1F"/>
          <w:shd w:val="clear" w:color="auto" w:fill="FFFFFF"/>
        </w:rPr>
        <w:lastRenderedPageBreak/>
        <w:t>51</w:t>
      </w:r>
      <w:r w:rsidR="00690B04" w:rsidRPr="00517C6F">
        <w:rPr>
          <w:color w:val="1E1E1F"/>
          <w:shd w:val="clear" w:color="auto" w:fill="FFFFFF"/>
        </w:rPr>
        <w:t>.</w:t>
      </w:r>
      <w:r w:rsidR="00690B04" w:rsidRPr="00517C6F">
        <w:rPr>
          <w:color w:val="1E1E1F"/>
          <w:shd w:val="clear" w:color="auto" w:fill="FFFFFF"/>
        </w:rPr>
        <w:tab/>
        <w:t xml:space="preserve">reamintește decizia luată de OE în ancheta sa din proprie inițiativă (cazul OI/4/2021/MHZ) privind respectarea de către Agenție a obligațiilor sale în materie de drepturi fundamentale; reamintește, în acest context, </w:t>
      </w:r>
      <w:r w:rsidR="00690B04" w:rsidRPr="00517C6F">
        <w:t xml:space="preserve">că Agenția are obligația de a asigura activ transparența, așa cum se prevede la articolul 114 alineatul (2) din Regulamentul (UE) 2019/1896; </w:t>
      </w:r>
      <w:r w:rsidR="00690B04" w:rsidRPr="00517C6F">
        <w:rPr>
          <w:color w:val="1E1E1F"/>
          <w:shd w:val="clear" w:color="auto" w:fill="FFFFFF"/>
        </w:rPr>
        <w:t>invită Agenția să finalizeze punerea în aplicare a tuturor recomandărilor Ombudsmanului; constată, pe baza raportului de monitorizare al Agenției, că activitatea de fuzionare a celor trei coduri de conduită (două în ceea ce privește domeniile operaționale și unul aplicabil întregului personal al Agenției) într-un singur cod de conduită incluzând dispozițiile specifice pentru domeniile operaționale este în curs; solicită Agenției să țină la curent autoritatea care acordă descărcarea de gestiune cu privire la progresele înregistrate în acest sens;</w:t>
      </w:r>
    </w:p>
    <w:p w:rsidR="00690B04" w:rsidRPr="00517C6F" w:rsidRDefault="00452660" w:rsidP="00690B04">
      <w:pPr>
        <w:pStyle w:val="NormalHanging12a"/>
      </w:pPr>
      <w:r w:rsidRPr="00517C6F">
        <w:t>52</w:t>
      </w:r>
      <w:r w:rsidR="00690B04" w:rsidRPr="00517C6F">
        <w:t>.</w:t>
      </w:r>
      <w:r w:rsidR="00690B04" w:rsidRPr="00517C6F">
        <w:tab/>
        <w:t>ia act de nota de informare a Agenției din 27 iunie 2022 privind acțiunile întreprinse de conducerea Agenției în perioada de tranziție, în special eforturile acesteia de a consolida procedurile necesare pentru buna guvernanță și responsabilitate în cadrul organizației, prin sporirea transparenței, a comunicării active și a colaborării cu părțile interesate interne și externe; salută inițiativa Agenției de a elabora o notă operațională prin care publicul să fie bine informat cu privire la activitățile sale operaționale; invită noua conducere să întreprindă reformele necesare în ceea ce privește respectarea transparenței și eficienței procedurilor interne, și să sporească responsabilitatea față de Parlament și Consiliu, în conformitate cu cadrul juridic aplicabil;</w:t>
      </w:r>
    </w:p>
    <w:p w:rsidR="00690B04" w:rsidRPr="00517C6F" w:rsidRDefault="00690B04" w:rsidP="00690B04">
      <w:pPr>
        <w:pStyle w:val="Normal12Hanging"/>
        <w:mirrorIndents/>
        <w:rPr>
          <w:rFonts w:ascii="Times New Roman" w:hAnsi="Times New Roman" w:cs="Times New Roman"/>
          <w:b/>
          <w:i/>
          <w:lang w:val="ro-RO"/>
        </w:rPr>
      </w:pPr>
      <w:r w:rsidRPr="00517C6F">
        <w:rPr>
          <w:rFonts w:ascii="Times New Roman" w:hAnsi="Times New Roman"/>
          <w:b/>
          <w:i/>
          <w:lang w:val="ro-RO"/>
        </w:rPr>
        <w:t>Controalele interne</w:t>
      </w:r>
    </w:p>
    <w:p w:rsidR="00690B04" w:rsidRPr="00517C6F" w:rsidRDefault="00452660" w:rsidP="00690B04">
      <w:pPr>
        <w:pStyle w:val="NormalHanging12a"/>
      </w:pPr>
      <w:r w:rsidRPr="00517C6F">
        <w:t>53</w:t>
      </w:r>
      <w:r w:rsidR="00690B04" w:rsidRPr="00517C6F">
        <w:t>.</w:t>
      </w:r>
      <w:r w:rsidR="00690B04" w:rsidRPr="00517C6F">
        <w:tab/>
        <w:t xml:space="preserve">salută decizia Agenției de a publica, într-un format îmbunătățit, un raport trimestrial adresat GLCF care să acopere situația actuală a punerii în aplicare a recomandărilor formulate de diferite organisme de control; confirmă primirea raportului respectiv pentru al treilea trimestru al anului 2023 (denumit în continuare „raportul T3 2023”); salută, în acest context, progresele semnificative înregistrate de Agenție în punerea în aplicare a 36 dintre cele 42 recomandări ale GLCF; ia act, pe baza raportului din T3 2023, de ratele de punere în aplicare a recomandărilor și/sau a acțiunilor solicitate de GLCF (91 %), </w:t>
      </w:r>
      <w:proofErr w:type="spellStart"/>
      <w:r w:rsidR="00690B04" w:rsidRPr="00517C6F">
        <w:t>FraLO</w:t>
      </w:r>
      <w:proofErr w:type="spellEnd"/>
      <w:r w:rsidR="00690B04" w:rsidRPr="00517C6F">
        <w:t xml:space="preserve"> (87 %), Ombudsman (79 %) și OLAF (54 %); recunoaște rolul Oficiului pentru inspecție și control (OIC) din cadrul Agenției, datorită sprijinului acordat pentru abordarea acestor recomandări prin intermediul funcțiilor de legătură și al sarcinilor de coordonare; constată, de asemenea, pe baza raportului din T3 2023, că 10 recomandări ale Serviciului de audit intern (SAI) (care acoperă un total de 32 de acțiuni) sunt încă deschise, în timp ce 21 de acțiuni sunt marcate ca fiind foarte importante, iar niciuna dintre ele nu este considerată critică; salută, de asemenea, progresele înregistrate de Agenție în ceea ce privește punerea în aplicare a recomandărilor rămase nesoluționate care decurg din rapoartele speciale ale Curții 22/2020 (recomandarea 2) și 8/2021 (recomandările 1, 2 și 4); invită din nou Agenția să dea curs pe deplin tuturor recomandărilor pendinte și acțiunilor conexe, inclusiv în ceea ce privește observațiile relevante ale Curții care decurg din rapoartele anuale de audit ale Curții din anii precedenți (2015, 2016, 2018, 2019, 2020 și 2021); invită Agenția să continue să informeze autoritatea care acordă descărcarea de gestiune cu privire la progresele în acest sens;</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54</w:t>
      </w:r>
      <w:r w:rsidR="00690B04" w:rsidRPr="00517C6F">
        <w:rPr>
          <w:rFonts w:ascii="Times New Roman" w:hAnsi="Times New Roman"/>
          <w:lang w:val="ro-RO"/>
        </w:rPr>
        <w:t>.</w:t>
      </w:r>
      <w:r w:rsidR="00690B04" w:rsidRPr="00517C6F">
        <w:rPr>
          <w:rFonts w:ascii="Times New Roman" w:hAnsi="Times New Roman"/>
          <w:lang w:val="ro-RO"/>
        </w:rPr>
        <w:tab/>
        <w:t xml:space="preserve">ia act cu îngrijorare, din raportul Curții, de o serie de observații care indică deficiențe în sistemele de gestiune și de control intern ale Agenției în domeniul achizițiilor publice și al gestionării contractelor, al procedurilor de recrutare și al delegării de competențe ordonatorilor de credite delegați; este profund îngrijorat de faptul că, pentru al doilea an </w:t>
      </w:r>
      <w:r w:rsidR="00690B04" w:rsidRPr="00517C6F">
        <w:rPr>
          <w:rFonts w:ascii="Times New Roman" w:hAnsi="Times New Roman"/>
          <w:lang w:val="ro-RO"/>
        </w:rPr>
        <w:lastRenderedPageBreak/>
        <w:t>consecutiv, Curtea a emis observații în domeniul achizițiilor publice de servicii legate de deplasări, având în vedere faptul că sumele în cauză sunt foarte importante; subliniază că este extrem de important ca Agenția să respecte principiul bunei gestiuni financiare în execuția fondurilor Uniunii, astfel cum se prevede în Regulamentul financiar, în timp ce Agenția este lider în rândul agențiilor descentralizate ale Uniunii în ceea ce privește bugetul anual al Agenției, care a crescut de peste două ori din 2019;</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55</w:t>
      </w:r>
      <w:r w:rsidR="00690B04" w:rsidRPr="00517C6F">
        <w:rPr>
          <w:rFonts w:ascii="Times New Roman" w:hAnsi="Times New Roman"/>
          <w:lang w:val="ro-RO"/>
        </w:rPr>
        <w:t>.</w:t>
      </w:r>
      <w:r w:rsidR="00690B04" w:rsidRPr="00517C6F">
        <w:rPr>
          <w:rFonts w:ascii="Times New Roman" w:hAnsi="Times New Roman"/>
          <w:lang w:val="ro-RO"/>
        </w:rPr>
        <w:tab/>
        <w:t>ia act cu îngrijorare, din anexa 12 la Raportul anual de activitate consolidat (RAAC) al Agenției, de observațiile fostului director executiv interimar (în prezent executiv adjunct pentru gestionarea corpului permanent) potrivit cărora, în ceea ce privește un contract de servicii de cazare și de călătorie pentru ofițerii corpului permanent, se presupune că în 2021 s-au înregistrat prețuri excesive, plăți efectuate fără documente justificative și nefurnizarea de servicii contractuale;</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56</w:t>
      </w:r>
      <w:r w:rsidR="00690B04" w:rsidRPr="00517C6F">
        <w:rPr>
          <w:rFonts w:ascii="Times New Roman" w:hAnsi="Times New Roman"/>
          <w:lang w:val="ro-RO"/>
        </w:rPr>
        <w:t>.</w:t>
      </w:r>
      <w:r w:rsidR="00690B04" w:rsidRPr="00517C6F">
        <w:rPr>
          <w:rFonts w:ascii="Times New Roman" w:hAnsi="Times New Roman"/>
          <w:lang w:val="ro-RO"/>
        </w:rPr>
        <w:tab/>
        <w:t>ia act, din raportul Curții, de observația referitoare la un risc semnificativ de supraîncărcare în ceea ce privește plățile efectuate pentru servicii de deplasare (contract-cadru în valoare de 30 de milioane EUR), în special cazarea, în timp ce facturile emise de agenția de voiaj nu au fost justificate de facturile reale ale hotelurilor, ci de filiala unei agenții de voiaj; invită Agenția să își îmbunătățească controalele interne astfel încât facturile relevante să fie emise de furnizorul efectiv al serviciului;</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57</w:t>
      </w:r>
      <w:r w:rsidR="00690B04" w:rsidRPr="00517C6F">
        <w:rPr>
          <w:rFonts w:ascii="Times New Roman" w:hAnsi="Times New Roman"/>
          <w:lang w:val="ro-RO"/>
        </w:rPr>
        <w:t>.</w:t>
      </w:r>
      <w:r w:rsidR="00690B04" w:rsidRPr="00517C6F">
        <w:rPr>
          <w:rFonts w:ascii="Times New Roman" w:hAnsi="Times New Roman"/>
          <w:lang w:val="ro-RO"/>
        </w:rPr>
        <w:tab/>
        <w:t xml:space="preserve">constată, de asemenea, riscul ca plățile legate de costurile agenției de voiaj să nu fie corecte, deoarece informațiile din sistemul Agenției de gestionare a costurilor legate de deplasare nu arată o corespondență între costurilor reale plătite și costurile agenției de voiaj, care sunt raportate și prelucrate separat de cele plătite de personalul aflat în misiune; înțelege din răspunsul Agenției motivul pentru care există discrepanțe între </w:t>
      </w:r>
      <w:proofErr w:type="spellStart"/>
      <w:r w:rsidR="00690B04" w:rsidRPr="00517C6F">
        <w:rPr>
          <w:rFonts w:ascii="Times New Roman" w:hAnsi="Times New Roman"/>
          <w:lang w:val="ro-RO"/>
        </w:rPr>
        <w:t>MiPS</w:t>
      </w:r>
      <w:proofErr w:type="spellEnd"/>
      <w:r w:rsidR="00690B04" w:rsidRPr="00517C6F">
        <w:rPr>
          <w:rFonts w:ascii="Times New Roman" w:hAnsi="Times New Roman"/>
          <w:lang w:val="ro-RO"/>
        </w:rPr>
        <w:t xml:space="preserve"> și sistemul contabil (ABAC) și că, în opinia Agenției, nu există niciun risc de a efectua plăți cu o sumă greșită;</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58</w:t>
      </w:r>
      <w:r w:rsidR="00690B04" w:rsidRPr="00517C6F">
        <w:rPr>
          <w:rFonts w:ascii="Times New Roman" w:hAnsi="Times New Roman"/>
          <w:lang w:val="ro-RO"/>
        </w:rPr>
        <w:t>.</w:t>
      </w:r>
      <w:r w:rsidR="00690B04" w:rsidRPr="00517C6F">
        <w:rPr>
          <w:rFonts w:ascii="Times New Roman" w:hAnsi="Times New Roman"/>
          <w:lang w:val="ro-RO"/>
        </w:rPr>
        <w:tab/>
        <w:t xml:space="preserve">ia act, din raportul Curții, pentru al doilea an consecutiv, de o observație privind deficiențele în materie de control intern ale Agenției în domeniul procedurilor de recrutare; constată, în acest context, că, în 2022, în cadrul unei proceduri de recrutare a agenților temporari, au fost utilizate punctaje individuale de către membrii comitetului de selecție (CS), în loc să se aplice o metodă consensuală, astfel cum se prevede în normele interne ale Agenției; regretă reapariția unor astfel de deficiențe, în pofida faptului că Agenția </w:t>
      </w:r>
      <w:r w:rsidR="00690B04" w:rsidRPr="00517C6F">
        <w:rPr>
          <w:rFonts w:ascii="Times New Roman" w:hAnsi="Times New Roman"/>
          <w:shd w:val="clear" w:color="auto" w:fill="FFFFFF"/>
          <w:lang w:val="ro-RO"/>
        </w:rPr>
        <w:t>a adoptat, în ianuarie 2022, noi norme de punere în aplicare, cu instrucțiuni mai clare pentru membrii comitetului de selecție, cu scopul de a asigura o evaluare mai coerentă și proceduri armonizate; salută angajamentul Agenției de a extinde la recrutarea de agenți temporari normele prin care se ia în considerare doar un singur raport final de evaluare convenit între membrii CS, fără a ține seama de punctajele individuale ale acestora;</w:t>
      </w:r>
      <w:r w:rsidR="00690B04" w:rsidRPr="00517C6F">
        <w:rPr>
          <w:rFonts w:ascii="Times New Roman" w:hAnsi="Times New Roman"/>
          <w:lang w:val="ro-RO"/>
        </w:rPr>
        <w:t xml:space="preserve"> invită Agenția să consolideze aplicarea noilor norme și a controalelor sale interne în domeniul procedurilor de recrutare;</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59</w:t>
      </w:r>
      <w:r w:rsidR="00690B04" w:rsidRPr="00517C6F">
        <w:rPr>
          <w:rFonts w:ascii="Times New Roman" w:hAnsi="Times New Roman"/>
          <w:lang w:val="ro-RO"/>
        </w:rPr>
        <w:t>.</w:t>
      </w:r>
      <w:r w:rsidR="00690B04" w:rsidRPr="00517C6F">
        <w:rPr>
          <w:rFonts w:ascii="Times New Roman" w:hAnsi="Times New Roman"/>
          <w:lang w:val="ro-RO"/>
        </w:rPr>
        <w:tab/>
        <w:t>ia act de evaluarea efectuată de Agenție în 2022 a sistemului de control intern (SCI); ia act de concluzia evaluării, potrivit căreia SCI este prezent și funcționează în mod eficace, unele domenii necesitând îmbunătățiri în ceea ce privește componentele „Mediul de control” (în special principiul 1 intitulat „Demonstrarea unui angajament față de integritate și valori etice”), „Activități de control” (în special punctul 10.5 intitulat „Posturi sensibile identificate”) și „Informare și comunicare” (în special titlul 15.1 „Comunicare externă”); observă o îmbunătățire generală în 2022 față de 2021 în ceea ce privește punctajele acordate principiilor în toate cele cinci componente ale SCI;</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lastRenderedPageBreak/>
        <w:t>60</w:t>
      </w:r>
      <w:r w:rsidR="00690B04" w:rsidRPr="00517C6F">
        <w:rPr>
          <w:rFonts w:ascii="Times New Roman" w:hAnsi="Times New Roman"/>
          <w:lang w:val="ro-RO"/>
        </w:rPr>
        <w:t>.</w:t>
      </w:r>
      <w:r w:rsidR="00690B04" w:rsidRPr="00517C6F">
        <w:rPr>
          <w:rFonts w:ascii="Times New Roman" w:hAnsi="Times New Roman"/>
          <w:lang w:val="ro-RO"/>
        </w:rPr>
        <w:tab/>
        <w:t>ia act cu satisfacție de consolidarea supravegherii interne a Agenției în 2022 prin înființarea structurii de audit intern (IAC) și adoptarea capitolului privind auditul intern; salută faptul că șeful IAC și-a preluat atribuțiile în 2023, iar primul plan anual de audit al IAC a fost deja adoptat de Consiliul de administrație;</w:t>
      </w:r>
    </w:p>
    <w:p w:rsidR="00690B04" w:rsidRPr="00517C6F" w:rsidRDefault="00452660" w:rsidP="00690B04">
      <w:pPr>
        <w:pStyle w:val="Normal12Hanging"/>
        <w:mirrorIndents/>
        <w:rPr>
          <w:rFonts w:ascii="Times New Roman" w:hAnsi="Times New Roman" w:cs="Times New Roman"/>
          <w:lang w:val="ro-RO"/>
        </w:rPr>
      </w:pPr>
      <w:r w:rsidRPr="00517C6F">
        <w:rPr>
          <w:rFonts w:ascii="Times New Roman" w:hAnsi="Times New Roman"/>
          <w:lang w:val="ro-RO"/>
        </w:rPr>
        <w:t>61</w:t>
      </w:r>
      <w:r w:rsidR="00690B04" w:rsidRPr="00517C6F">
        <w:rPr>
          <w:rFonts w:ascii="Times New Roman" w:hAnsi="Times New Roman"/>
          <w:lang w:val="ro-RO"/>
        </w:rPr>
        <w:t>.</w:t>
      </w:r>
      <w:r w:rsidR="00690B04" w:rsidRPr="00517C6F">
        <w:rPr>
          <w:rFonts w:ascii="Times New Roman" w:hAnsi="Times New Roman"/>
          <w:lang w:val="ro-RO"/>
        </w:rPr>
        <w:tab/>
        <w:t>reamintește recomandarea din raportul Curții din 2018 ca Agenția să adopte și să pună în aplicare o strategie privind posturile sensibile; constată că Agenția raportează cu privire la pregătirile efectuate pentru o decizie privind o astfel de politică, care a fost adoptată între timp (la sfârșitul anului 2023);</w:t>
      </w:r>
    </w:p>
    <w:p w:rsidR="00690B04" w:rsidRPr="00517C6F" w:rsidRDefault="00690B04" w:rsidP="00690B04">
      <w:pPr>
        <w:pStyle w:val="Normal12Hanging"/>
        <w:mirrorIndents/>
        <w:rPr>
          <w:rFonts w:ascii="Times New Roman" w:hAnsi="Times New Roman" w:cs="Times New Roman"/>
          <w:b/>
          <w:i/>
          <w:lang w:val="ro-RO"/>
        </w:rPr>
      </w:pPr>
      <w:r w:rsidRPr="00517C6F">
        <w:rPr>
          <w:rFonts w:ascii="Times New Roman" w:hAnsi="Times New Roman"/>
          <w:b/>
          <w:i/>
          <w:lang w:val="ro-RO"/>
        </w:rPr>
        <w:t>Alte observații</w:t>
      </w:r>
    </w:p>
    <w:p w:rsidR="00690B04" w:rsidRPr="00517C6F" w:rsidRDefault="00452660" w:rsidP="00690B04">
      <w:pPr>
        <w:pStyle w:val="NormalHanging12a"/>
      </w:pPr>
      <w:r w:rsidRPr="00517C6F">
        <w:t>62</w:t>
      </w:r>
      <w:r w:rsidR="00690B04" w:rsidRPr="00517C6F">
        <w:t>.</w:t>
      </w:r>
      <w:r w:rsidR="00690B04" w:rsidRPr="00517C6F">
        <w:tab/>
        <w:t xml:space="preserve">ia act </w:t>
      </w:r>
      <w:r w:rsidR="00690B04" w:rsidRPr="00517C6F">
        <w:rPr>
          <w:szCs w:val="24"/>
        </w:rPr>
        <w:t>de faptul că avizele Autorității Europene pentru Protecția Datelor (AEPD) referitoare la deciziile Consiliului de administrație</w:t>
      </w:r>
      <w:r w:rsidR="003150B8" w:rsidRPr="00517C6F">
        <w:rPr>
          <w:szCs w:val="24"/>
        </w:rPr>
        <w:t xml:space="preserve"> al Agenției </w:t>
      </w:r>
      <w:r w:rsidR="00690B04" w:rsidRPr="00517C6F">
        <w:rPr>
          <w:szCs w:val="24"/>
        </w:rPr>
        <w:t xml:space="preserve"> 68/2021 și 69/2021 au fost negative; observă că Agenția a elaborat un plan de punere în aplicare pentru a da curs tuturor recomandărilor AEPD în acest sens; constată, de asemenea, că aceste decizii ale CA au fost reformulate și reajustate în urma unor reuniuni periodice și a unor schimburi informale ale responsabilului cu protecția datelor din cadrul Agenției cu personalul AEPD, precum și prin luarea în considerare a raportului de audit al AEPD publicat la 24 mai 2023 (denumit în continuare „raportul de audit”); ia act de faptul că raportul de audit a verificat conformitatea prelucrării datelor cu caracter personal de către Agenție, în contextul operațiunilor comune, cu Regulamentul (UE) 2018/1725 și cu dispozițiile relevante din Regulamentul </w:t>
      </w:r>
      <w:r w:rsidR="00690B04" w:rsidRPr="00517C6F">
        <w:rPr>
          <w:color w:val="4D5156"/>
          <w:szCs w:val="24"/>
          <w:shd w:val="clear" w:color="auto" w:fill="FFFFFF"/>
        </w:rPr>
        <w:t>(UE) 2019/1896</w:t>
      </w:r>
      <w:r w:rsidR="00690B04" w:rsidRPr="00517C6F">
        <w:rPr>
          <w:szCs w:val="24"/>
        </w:rPr>
        <w:t xml:space="preserve">; constată, de asemenea, în acest context, că raportul de audit a identificat 36 de constatări formale și a emis 32 de recomandări privind verificarea persoanelor și interviurile de interogare, acordurile operatorilor asociați, fiabilitatea scăzută a informațiilor utilizate pentru realizarea analizelor de risc și punerea în aplicare a protecției datelor începând cu momentul conceperii și în mod implicit, printre altele; constată cu îngrijorare, din raportul de audit, că constatările AEPD indică, de asemenea, că Agenția a încălcat mai multe articole de temei juridic aplicabile Agenției [Regulamentul (UE) 2018/1725, Regulamentul </w:t>
      </w:r>
      <w:r w:rsidR="00690B04" w:rsidRPr="00517C6F">
        <w:rPr>
          <w:color w:val="4D5156"/>
          <w:szCs w:val="24"/>
          <w:shd w:val="clear" w:color="auto" w:fill="FFFFFF"/>
        </w:rPr>
        <w:t>(UE) 2019/1896</w:t>
      </w:r>
      <w:r w:rsidR="00690B04" w:rsidRPr="00517C6F">
        <w:rPr>
          <w:szCs w:val="24"/>
        </w:rPr>
        <w:t xml:space="preserve"> și Decizia 58/2015 a Consiliului de administrație] prin faptul că nu a evaluat necesitatea strictă de a face schimb de pachete de date cu Europol pentru îndeplinirea mandatului său și, prin urmare, AEPD a deschis o anchetă, care poate duce la exercitarea unor acțiuni de asigurare a respectării legii; regretă că, în urma auditului său, AEPD a identificat noi șase cazuri de transmitere de la Agenție la Europol a datelor cu caracter personal referitoare la personalul ONG-urilor, a căror legalitate trebuie investigată în continuare; invită Agenția să dea curs tuturor recomandărilor emise de AEPD în raportul său de audit în termenele de punere în aplicare și să informeze autoritatea care acordă descărcarea de gestiune</w:t>
      </w:r>
      <w:r w:rsidR="00690B04" w:rsidRPr="00517C6F">
        <w:t xml:space="preserve"> cu privire la evoluția acestei chestiuni;</w:t>
      </w:r>
    </w:p>
    <w:p w:rsidR="00690B04" w:rsidRPr="00517C6F" w:rsidRDefault="00452660" w:rsidP="00690B04">
      <w:pPr>
        <w:pStyle w:val="NormalHanging12a"/>
      </w:pPr>
      <w:r w:rsidRPr="00517C6F">
        <w:t>63</w:t>
      </w:r>
      <w:r w:rsidR="00690B04" w:rsidRPr="00517C6F">
        <w:t>.</w:t>
      </w:r>
      <w:r w:rsidR="00690B04" w:rsidRPr="00517C6F">
        <w:tab/>
        <w:t>salută faptul că, în ultimii doi ani, Agenția a trecut prin schimbări semnificative la nivelul conducerii, printre care un nou ofițer adjunct pentru drepturile fundamentale, un nou președinte al Consiliului de administrație, doi noi directori executivi adjuncți și numirea unui nou director executiv; ia act de stabilirea unor planuri de acțiune împreună cu autoritățile naționale pentru a remedia erorile din trecut și din prezent;</w:t>
      </w:r>
    </w:p>
    <w:p w:rsidR="00690B04" w:rsidRPr="00517C6F" w:rsidRDefault="00690B04" w:rsidP="00690B04">
      <w:pPr>
        <w:pStyle w:val="NormalCenter12a"/>
      </w:pPr>
      <w:r w:rsidRPr="00517C6F">
        <w:t>°</w:t>
      </w:r>
    </w:p>
    <w:p w:rsidR="00690B04" w:rsidRPr="00517C6F" w:rsidRDefault="00690B04" w:rsidP="00690B04">
      <w:pPr>
        <w:pStyle w:val="NormalCenter12a"/>
      </w:pPr>
      <w:r w:rsidRPr="00517C6F">
        <w:t>°</w:t>
      </w:r>
      <w:r w:rsidRPr="00517C6F">
        <w:tab/>
        <w:t>°</w:t>
      </w:r>
    </w:p>
    <w:p w:rsidR="00690B04" w:rsidRPr="00517C6F" w:rsidRDefault="00452660" w:rsidP="00690B04">
      <w:pPr>
        <w:pStyle w:val="NormalHanging12a"/>
        <w:rPr>
          <w:szCs w:val="24"/>
        </w:rPr>
      </w:pPr>
      <w:r w:rsidRPr="00517C6F">
        <w:lastRenderedPageBreak/>
        <w:t>64</w:t>
      </w:r>
      <w:r w:rsidR="00690B04" w:rsidRPr="00517C6F">
        <w:t>.</w:t>
      </w:r>
      <w:r w:rsidR="00690B04" w:rsidRPr="00517C6F">
        <w:tab/>
        <w:t xml:space="preserve">face trimitere, pentru alte observații cu caracter orizontal care însoțesc decizia privind descărcarea de gestiune, la Rezoluția sa din </w:t>
      </w:r>
      <w:r w:rsidR="003150B8" w:rsidRPr="00517C6F">
        <w:t>11 aprilie 2024</w:t>
      </w:r>
      <w:r w:rsidR="00690B04" w:rsidRPr="00517C6F">
        <w:rPr>
          <w:rStyle w:val="FootnoteReference"/>
        </w:rPr>
        <w:footnoteReference w:id="14"/>
      </w:r>
      <w:r w:rsidR="00690B04" w:rsidRPr="00517C6F">
        <w:t xml:space="preserve"> referitoare la performanțele, gestiunea financiară și controlul agențiilor.</w:t>
      </w:r>
    </w:p>
    <w:sectPr w:rsidR="00690B04" w:rsidRPr="00517C6F" w:rsidSect="001871B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D67" w:rsidRPr="001871BC" w:rsidRDefault="00F97D67">
      <w:r w:rsidRPr="001871BC">
        <w:separator/>
      </w:r>
    </w:p>
  </w:endnote>
  <w:endnote w:type="continuationSeparator" w:id="0">
    <w:p w:rsidR="00F97D67" w:rsidRPr="001871BC" w:rsidRDefault="00F97D67">
      <w:r w:rsidRPr="001871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B04" w:rsidRPr="001871BC" w:rsidRDefault="00690B04" w:rsidP="00157876">
    <w:pPr>
      <w:pStyle w:val="EPFooter"/>
    </w:pPr>
    <w:r w:rsidRPr="001871BC">
      <w:t>PE</w:t>
    </w:r>
    <w:r w:rsidRPr="001871BC">
      <w:rPr>
        <w:rStyle w:val="HideTWBExt"/>
      </w:rPr>
      <w:t>&lt;</w:t>
    </w:r>
    <w:proofErr w:type="spellStart"/>
    <w:r w:rsidRPr="001871BC">
      <w:rPr>
        <w:rStyle w:val="HideTWBExt"/>
      </w:rPr>
      <w:t>NoPE</w:t>
    </w:r>
    <w:proofErr w:type="spellEnd"/>
    <w:r w:rsidRPr="001871BC">
      <w:rPr>
        <w:rStyle w:val="HideTWBExt"/>
      </w:rPr>
      <w:t>&gt;</w:t>
    </w:r>
    <w:r w:rsidRPr="001871BC">
      <w:t>753.543</w:t>
    </w:r>
    <w:r w:rsidRPr="001871BC">
      <w:rPr>
        <w:rStyle w:val="HideTWBExt"/>
      </w:rPr>
      <w:t>&lt;/</w:t>
    </w:r>
    <w:proofErr w:type="spellStart"/>
    <w:r w:rsidRPr="001871BC">
      <w:rPr>
        <w:rStyle w:val="HideTWBExt"/>
      </w:rPr>
      <w:t>NoPE</w:t>
    </w:r>
    <w:proofErr w:type="spellEnd"/>
    <w:r w:rsidRPr="001871BC">
      <w:rPr>
        <w:rStyle w:val="HideTWBExt"/>
      </w:rPr>
      <w:t>&gt;&lt;Version&gt;</w:t>
    </w:r>
    <w:r w:rsidRPr="001871BC">
      <w:t>v03-00</w:t>
    </w:r>
    <w:r w:rsidRPr="001871BC">
      <w:rPr>
        <w:rStyle w:val="HideTWBExt"/>
      </w:rPr>
      <w:t>&lt;/</w:t>
    </w:r>
    <w:proofErr w:type="spellStart"/>
    <w:r w:rsidRPr="001871BC">
      <w:rPr>
        <w:rStyle w:val="HideTWBExt"/>
      </w:rPr>
      <w:t>Version</w:t>
    </w:r>
    <w:proofErr w:type="spellEnd"/>
    <w:r w:rsidRPr="001871BC">
      <w:rPr>
        <w:rStyle w:val="HideTWBExt"/>
      </w:rPr>
      <w:t>&gt;</w:t>
    </w:r>
    <w:r w:rsidRPr="001871BC">
      <w:tab/>
    </w:r>
    <w:r w:rsidRPr="001871BC">
      <w:fldChar w:fldCharType="begin"/>
    </w:r>
    <w:r w:rsidRPr="001871BC">
      <w:instrText xml:space="preserve"> PAGE  \* MERGEFORMAT </w:instrText>
    </w:r>
    <w:r w:rsidRPr="001871BC">
      <w:fldChar w:fldCharType="separate"/>
    </w:r>
    <w:r w:rsidR="001871BC" w:rsidRPr="001871BC">
      <w:rPr>
        <w:noProof/>
      </w:rPr>
      <w:t>2</w:t>
    </w:r>
    <w:r w:rsidRPr="001871BC">
      <w:fldChar w:fldCharType="end"/>
    </w:r>
    <w:r w:rsidRPr="001871BC">
      <w:t>/</w:t>
    </w:r>
    <w:fldSimple w:instr=" NUMPAGES  \* MERGEFORMAT ">
      <w:r w:rsidR="001871BC" w:rsidRPr="001871BC">
        <w:rPr>
          <w:noProof/>
        </w:rPr>
        <w:t>5</w:t>
      </w:r>
    </w:fldSimple>
    <w:r w:rsidRPr="001871BC">
      <w:tab/>
    </w:r>
    <w:r w:rsidRPr="001871BC">
      <w:rPr>
        <w:rStyle w:val="HideTWBExt"/>
      </w:rPr>
      <w:t>&lt;PathFdR&gt;</w:t>
    </w:r>
    <w:r w:rsidRPr="001871BC">
      <w:t>RR\1298909RO.docx</w:t>
    </w:r>
    <w:r w:rsidRPr="001871BC">
      <w:rPr>
        <w:rStyle w:val="HideTWBExt"/>
      </w:rPr>
      <w:t>&lt;/</w:t>
    </w:r>
    <w:proofErr w:type="spellStart"/>
    <w:r w:rsidRPr="001871BC">
      <w:rPr>
        <w:rStyle w:val="HideTWBExt"/>
      </w:rPr>
      <w:t>PathFdR</w:t>
    </w:r>
    <w:proofErr w:type="spellEnd"/>
    <w:r w:rsidRPr="001871BC">
      <w:rPr>
        <w:rStyle w:val="HideTWBExt"/>
      </w:rPr>
      <w:t>&gt;</w:t>
    </w:r>
  </w:p>
  <w:p w:rsidR="00690B04" w:rsidRPr="001871BC" w:rsidRDefault="00690B04" w:rsidP="00157876">
    <w:pPr>
      <w:pStyle w:val="EPFooter2"/>
    </w:pPr>
    <w:r w:rsidRPr="001871BC">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B04" w:rsidRPr="001871BC" w:rsidRDefault="00690B04" w:rsidP="00157876">
    <w:pPr>
      <w:pStyle w:val="EPFooter"/>
    </w:pPr>
    <w:r w:rsidRPr="001871BC">
      <w:rPr>
        <w:rStyle w:val="HideTWBExt"/>
      </w:rPr>
      <w:t>&lt;PathFdR&gt;</w:t>
    </w:r>
    <w:r w:rsidRPr="001871BC">
      <w:t>RR\1298909RO.docx</w:t>
    </w:r>
    <w:r w:rsidRPr="001871BC">
      <w:rPr>
        <w:rStyle w:val="HideTWBExt"/>
      </w:rPr>
      <w:t>&lt;/</w:t>
    </w:r>
    <w:proofErr w:type="spellStart"/>
    <w:r w:rsidRPr="001871BC">
      <w:rPr>
        <w:rStyle w:val="HideTWBExt"/>
      </w:rPr>
      <w:t>PathFdR</w:t>
    </w:r>
    <w:proofErr w:type="spellEnd"/>
    <w:r w:rsidRPr="001871BC">
      <w:rPr>
        <w:rStyle w:val="HideTWBExt"/>
      </w:rPr>
      <w:t>&gt;</w:t>
    </w:r>
    <w:r w:rsidRPr="001871BC">
      <w:tab/>
    </w:r>
    <w:r w:rsidRPr="001871BC">
      <w:tab/>
      <w:t>PE</w:t>
    </w:r>
    <w:r w:rsidRPr="001871BC">
      <w:rPr>
        <w:rStyle w:val="HideTWBExt"/>
      </w:rPr>
      <w:t>&lt;</w:t>
    </w:r>
    <w:proofErr w:type="spellStart"/>
    <w:r w:rsidRPr="001871BC">
      <w:rPr>
        <w:rStyle w:val="HideTWBExt"/>
      </w:rPr>
      <w:t>NoPE</w:t>
    </w:r>
    <w:proofErr w:type="spellEnd"/>
    <w:r w:rsidRPr="001871BC">
      <w:rPr>
        <w:rStyle w:val="HideTWBExt"/>
      </w:rPr>
      <w:t>&gt;</w:t>
    </w:r>
    <w:r w:rsidRPr="001871BC">
      <w:t>753.543</w:t>
    </w:r>
    <w:r w:rsidRPr="001871BC">
      <w:rPr>
        <w:rStyle w:val="HideTWBExt"/>
      </w:rPr>
      <w:t>&lt;/</w:t>
    </w:r>
    <w:proofErr w:type="spellStart"/>
    <w:r w:rsidRPr="001871BC">
      <w:rPr>
        <w:rStyle w:val="HideTWBExt"/>
      </w:rPr>
      <w:t>NoPE</w:t>
    </w:r>
    <w:proofErr w:type="spellEnd"/>
    <w:r w:rsidRPr="001871BC">
      <w:rPr>
        <w:rStyle w:val="HideTWBExt"/>
      </w:rPr>
      <w:t>&gt;&lt;Version&gt;</w:t>
    </w:r>
    <w:r w:rsidRPr="001871BC">
      <w:t>v03-00</w:t>
    </w:r>
    <w:r w:rsidRPr="001871BC">
      <w:rPr>
        <w:rStyle w:val="HideTWBExt"/>
      </w:rPr>
      <w:t>&lt;/</w:t>
    </w:r>
    <w:proofErr w:type="spellStart"/>
    <w:r w:rsidRPr="001871BC">
      <w:rPr>
        <w:rStyle w:val="HideTWBExt"/>
      </w:rPr>
      <w:t>Version</w:t>
    </w:r>
    <w:proofErr w:type="spellEnd"/>
    <w:r w:rsidRPr="001871BC">
      <w:rPr>
        <w:rStyle w:val="HideTWBExt"/>
      </w:rPr>
      <w:t>&gt;</w:t>
    </w:r>
  </w:p>
  <w:p w:rsidR="00690B04" w:rsidRPr="001871BC" w:rsidRDefault="00690B04" w:rsidP="00157876">
    <w:pPr>
      <w:pStyle w:val="EPFooter2"/>
    </w:pPr>
    <w:r w:rsidRPr="001871BC">
      <w:t>RO</w:t>
    </w:r>
    <w:r w:rsidRPr="001871BC">
      <w:tab/>
    </w:r>
    <w:r w:rsidRPr="001871BC">
      <w:rPr>
        <w:b w:val="0"/>
        <w:i/>
        <w:color w:val="C0C0C0"/>
        <w:sz w:val="22"/>
      </w:rPr>
      <w:t>Unită în diversitate</w:t>
    </w:r>
    <w:r w:rsidRPr="001871BC">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1B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1B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1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D67" w:rsidRPr="001871BC" w:rsidRDefault="00F97D67">
      <w:r w:rsidRPr="001871BC">
        <w:separator/>
      </w:r>
    </w:p>
  </w:footnote>
  <w:footnote w:type="continuationSeparator" w:id="0">
    <w:p w:rsidR="00F97D67" w:rsidRPr="001871BC" w:rsidRDefault="00F97D67">
      <w:r w:rsidRPr="001871BC">
        <w:continuationSeparator/>
      </w:r>
    </w:p>
  </w:footnote>
  <w:footnote w:id="1">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C, C/2023/594, 27.10.2023.</w:t>
      </w:r>
    </w:p>
  </w:footnote>
  <w:footnote w:id="2">
    <w:p w:rsidR="00690B04" w:rsidRPr="00517C6F" w:rsidRDefault="00690B04" w:rsidP="001871BC">
      <w:pPr>
        <w:pStyle w:val="NormalWeb"/>
        <w:spacing w:before="0" w:beforeAutospacing="0" w:after="0" w:afterAutospacing="0"/>
        <w:ind w:left="567" w:hanging="567"/>
        <w:rPr>
          <w:szCs w:val="20"/>
        </w:rPr>
      </w:pPr>
      <w:r w:rsidRPr="00517C6F">
        <w:rPr>
          <w:rStyle w:val="FootnoteReference"/>
          <w:szCs w:val="20"/>
        </w:rPr>
        <w:footnoteRef/>
      </w:r>
      <w:r w:rsidR="001871BC" w:rsidRPr="00517C6F">
        <w:t xml:space="preserve"> </w:t>
      </w:r>
      <w:r w:rsidR="001871BC" w:rsidRPr="00517C6F">
        <w:tab/>
      </w:r>
      <w:r w:rsidRPr="00517C6F">
        <w:t>JO C, C/2023/112, 12.10.2023.</w:t>
      </w:r>
    </w:p>
  </w:footnote>
  <w:footnote w:id="3">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L 193, 30.7.2018, p. 1.</w:t>
      </w:r>
    </w:p>
  </w:footnote>
  <w:footnote w:id="4">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L 295, 14.11.2019, p. 1.</w:t>
      </w:r>
    </w:p>
  </w:footnote>
  <w:footnote w:id="5">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L 122, 10.5.2019, p. 1.</w:t>
      </w:r>
    </w:p>
  </w:footnote>
  <w:footnote w:id="6">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C, C/2023/594, 27.10.2023.</w:t>
      </w:r>
    </w:p>
  </w:footnote>
  <w:footnote w:id="7">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C, C/2023/112, 12.10.2023.</w:t>
      </w:r>
    </w:p>
  </w:footnote>
  <w:footnote w:id="8">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L 193, 30.7.2018, p. 1.</w:t>
      </w:r>
    </w:p>
  </w:footnote>
  <w:footnote w:id="9">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L 295, 14.11.2019, p. 1.</w:t>
      </w:r>
    </w:p>
  </w:footnote>
  <w:footnote w:id="10">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L 122, 10.5.2019, p. 1.</w:t>
      </w:r>
    </w:p>
  </w:footnote>
  <w:footnote w:id="11">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JO C 141, 29.3.2022, p. 112.</w:t>
      </w:r>
    </w:p>
  </w:footnote>
  <w:footnote w:id="12">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 xml:space="preserve">Tribunalul Uniunii Europene a declarat că „accesul generalizat, în temeiul Regulamentului </w:t>
      </w:r>
      <w:bookmarkStart w:id="8" w:name="_GoBack"/>
      <w:bookmarkEnd w:id="8"/>
      <w:r w:rsidRPr="00517C6F">
        <w:rPr>
          <w:sz w:val="24"/>
          <w:lang w:val="ro-RO"/>
        </w:rPr>
        <w:t>nr. 1049/2001, la documentele din dosarul OLAF, în timp ce procedura de anchetă a OLAF este încă în curs, ar putea stânjeni, în principiu, buna desfășurare a anchetei”; Tribunalul Uniunii Europene, hotărârea în cauza T</w:t>
      </w:r>
      <w:r w:rsidRPr="00517C6F">
        <w:rPr>
          <w:sz w:val="24"/>
          <w:lang w:val="ro-RO"/>
        </w:rPr>
        <w:noBreakHyphen/>
        <w:t>110/15 din 26 mai 2016, IMG/Comisia, punctul 33, ECLI:EU:T:2016:322.</w:t>
      </w:r>
    </w:p>
  </w:footnote>
  <w:footnote w:id="13">
    <w:p w:rsidR="00690B04" w:rsidRPr="00517C6F"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hyperlink r:id="rId1" w:history="1">
        <w:r w:rsidRPr="00517C6F">
          <w:rPr>
            <w:rStyle w:val="Hyperlink"/>
            <w:sz w:val="24"/>
            <w:lang w:val="ro-RO"/>
          </w:rPr>
          <w:t>https://www.ombudsman.europa.eu/ro/decision/ro/177520</w:t>
        </w:r>
      </w:hyperlink>
    </w:p>
  </w:footnote>
  <w:footnote w:id="14">
    <w:p w:rsidR="00690B04" w:rsidRPr="001871BC" w:rsidRDefault="00690B04" w:rsidP="001871BC">
      <w:pPr>
        <w:pStyle w:val="FootnoteText"/>
        <w:ind w:left="567" w:hanging="567"/>
        <w:rPr>
          <w:sz w:val="24"/>
          <w:lang w:val="ro-RO"/>
        </w:rPr>
      </w:pPr>
      <w:r w:rsidRPr="00517C6F">
        <w:rPr>
          <w:rStyle w:val="FootnoteReference"/>
          <w:sz w:val="24"/>
          <w:lang w:val="ro-RO"/>
        </w:rPr>
        <w:footnoteRef/>
      </w:r>
      <w:r w:rsidR="001871BC" w:rsidRPr="00517C6F">
        <w:rPr>
          <w:sz w:val="24"/>
          <w:lang w:val="ro-RO"/>
        </w:rPr>
        <w:t xml:space="preserve"> </w:t>
      </w:r>
      <w:r w:rsidR="001871BC" w:rsidRPr="00517C6F">
        <w:rPr>
          <w:sz w:val="24"/>
          <w:lang w:val="ro-RO"/>
        </w:rPr>
        <w:tab/>
      </w:r>
      <w:r w:rsidRPr="00517C6F">
        <w:rPr>
          <w:sz w:val="24"/>
          <w:lang w:val="ro-RO"/>
        </w:rPr>
        <w:t>Texte adoptate, P9_TA(2024)0</w:t>
      </w:r>
      <w:r w:rsidR="00EB0D69" w:rsidRPr="00517C6F">
        <w:rPr>
          <w:sz w:val="24"/>
          <w:lang w:val="ro-RO"/>
        </w:rPr>
        <w:t>280</w:t>
      </w:r>
      <w:r w:rsidRPr="00517C6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1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1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1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RO"/>
    <w:docVar w:name="dvnumam" w:val="0"/>
    <w:docVar w:name="dvpe" w:val="753.543"/>
    <w:docVar w:name="dvrapporteur" w:val="Raportor: "/>
    <w:docVar w:name="dvtitre" w:val="1. Decizia Parlamentului European din 11 aprilie 2024 privind descărcarea de gestiune pentru execuția bugetului Agenției Europene pentru Poliția de Frontieră și Garda de Coastă aferent exercițiului financiar 2022(2023/2172(DEC))"/>
  </w:docVars>
  <w:rsids>
    <w:rsidRoot w:val="00F97D67"/>
    <w:rsid w:val="00002272"/>
    <w:rsid w:val="00016568"/>
    <w:rsid w:val="00064002"/>
    <w:rsid w:val="000677B9"/>
    <w:rsid w:val="000831BA"/>
    <w:rsid w:val="000A42CC"/>
    <w:rsid w:val="000E7DD9"/>
    <w:rsid w:val="0010095E"/>
    <w:rsid w:val="00125B37"/>
    <w:rsid w:val="0018124F"/>
    <w:rsid w:val="001871BC"/>
    <w:rsid w:val="00187494"/>
    <w:rsid w:val="001F32AE"/>
    <w:rsid w:val="002767FF"/>
    <w:rsid w:val="002B18FE"/>
    <w:rsid w:val="002B5493"/>
    <w:rsid w:val="003150B8"/>
    <w:rsid w:val="003210CC"/>
    <w:rsid w:val="00343214"/>
    <w:rsid w:val="00361C00"/>
    <w:rsid w:val="00395FA1"/>
    <w:rsid w:val="003E15D4"/>
    <w:rsid w:val="00411CCE"/>
    <w:rsid w:val="0041666E"/>
    <w:rsid w:val="00421060"/>
    <w:rsid w:val="00452660"/>
    <w:rsid w:val="00471C19"/>
    <w:rsid w:val="004867E3"/>
    <w:rsid w:val="00494A28"/>
    <w:rsid w:val="004C0004"/>
    <w:rsid w:val="004C5D52"/>
    <w:rsid w:val="0050519A"/>
    <w:rsid w:val="005072A1"/>
    <w:rsid w:val="00514517"/>
    <w:rsid w:val="00517C6F"/>
    <w:rsid w:val="00545827"/>
    <w:rsid w:val="00560270"/>
    <w:rsid w:val="005C2568"/>
    <w:rsid w:val="006037C0"/>
    <w:rsid w:val="006631B6"/>
    <w:rsid w:val="00680577"/>
    <w:rsid w:val="00690B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B6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D69"/>
    <w:rsid w:val="00EB4772"/>
    <w:rsid w:val="00ED169E"/>
    <w:rsid w:val="00ED4235"/>
    <w:rsid w:val="00F04346"/>
    <w:rsid w:val="00F075DC"/>
    <w:rsid w:val="00F149E9"/>
    <w:rsid w:val="00F5134D"/>
    <w:rsid w:val="00F74202"/>
    <w:rsid w:val="00F87713"/>
    <w:rsid w:val="00F97D6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2243E4-931D-4A49-A10F-2ABB060F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0B04"/>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690B04"/>
    <w:pPr>
      <w:spacing w:before="480" w:after="240"/>
    </w:pPr>
  </w:style>
  <w:style w:type="paragraph" w:customStyle="1" w:styleId="PageHeading">
    <w:name w:val="PageHeading"/>
    <w:basedOn w:val="Normal"/>
    <w:rsid w:val="00690B04"/>
    <w:pPr>
      <w:keepNext/>
      <w:spacing w:after="480"/>
      <w:jc w:val="center"/>
    </w:pPr>
    <w:rPr>
      <w:rFonts w:ascii="Arial" w:hAnsi="Arial" w:cs="Arial"/>
      <w:b/>
    </w:rPr>
  </w:style>
  <w:style w:type="paragraph" w:customStyle="1" w:styleId="NormalBold">
    <w:name w:val="NormalBold"/>
    <w:basedOn w:val="Normal"/>
    <w:uiPriority w:val="99"/>
    <w:rsid w:val="00690B04"/>
    <w:rPr>
      <w:b/>
    </w:rPr>
  </w:style>
  <w:style w:type="paragraph" w:customStyle="1" w:styleId="NormalHanging12a">
    <w:name w:val="NormalHanging12a"/>
    <w:basedOn w:val="Normal"/>
    <w:link w:val="NormalHanging12aChar"/>
    <w:rsid w:val="00690B04"/>
    <w:pPr>
      <w:spacing w:after="240"/>
      <w:ind w:left="567" w:hanging="567"/>
    </w:pPr>
  </w:style>
  <w:style w:type="paragraph" w:customStyle="1" w:styleId="NormalCenter12a">
    <w:name w:val="NormalCenter12a"/>
    <w:basedOn w:val="Normal"/>
    <w:uiPriority w:val="99"/>
    <w:rsid w:val="00690B04"/>
    <w:pPr>
      <w:spacing w:after="240"/>
      <w:jc w:val="center"/>
    </w:pPr>
  </w:style>
  <w:style w:type="paragraph" w:styleId="Header">
    <w:name w:val="header"/>
    <w:basedOn w:val="Normal"/>
    <w:link w:val="HeaderChar"/>
    <w:rsid w:val="00690B04"/>
    <w:pPr>
      <w:tabs>
        <w:tab w:val="center" w:pos="4513"/>
        <w:tab w:val="right" w:pos="9026"/>
      </w:tabs>
    </w:pPr>
  </w:style>
  <w:style w:type="character" w:customStyle="1" w:styleId="HeaderChar">
    <w:name w:val="Header Char"/>
    <w:basedOn w:val="DefaultParagraphFont"/>
    <w:link w:val="Header"/>
    <w:rsid w:val="00690B04"/>
    <w:rPr>
      <w:sz w:val="24"/>
      <w:lang w:val="ro-RO"/>
    </w:rPr>
  </w:style>
  <w:style w:type="paragraph" w:customStyle="1" w:styleId="EPFooter">
    <w:name w:val="EPFooter"/>
    <w:basedOn w:val="Normal"/>
    <w:rsid w:val="00690B04"/>
    <w:pPr>
      <w:tabs>
        <w:tab w:val="center" w:pos="4535"/>
        <w:tab w:val="right" w:pos="9071"/>
      </w:tabs>
      <w:spacing w:before="240" w:after="240"/>
    </w:pPr>
    <w:rPr>
      <w:color w:val="010000"/>
      <w:sz w:val="22"/>
    </w:rPr>
  </w:style>
  <w:style w:type="character" w:styleId="Hyperlink">
    <w:name w:val="Hyperlink"/>
    <w:basedOn w:val="DefaultParagraphFont"/>
    <w:unhideWhenUsed/>
    <w:rsid w:val="00690B04"/>
    <w:rPr>
      <w:color w:val="0563C1"/>
      <w:u w:val="single"/>
    </w:rPr>
  </w:style>
  <w:style w:type="paragraph" w:styleId="NormalWeb">
    <w:name w:val="Normal (Web)"/>
    <w:basedOn w:val="Normal"/>
    <w:uiPriority w:val="99"/>
    <w:unhideWhenUsed/>
    <w:rsid w:val="00690B04"/>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690B04"/>
    <w:rPr>
      <w:sz w:val="24"/>
      <w:lang w:val="ro-RO"/>
    </w:rPr>
  </w:style>
  <w:style w:type="character" w:customStyle="1" w:styleId="Normal12HangingChar">
    <w:name w:val="Normal12Hanging Char"/>
    <w:link w:val="Normal12Hanging"/>
    <w:locked/>
    <w:rsid w:val="00690B04"/>
    <w:rPr>
      <w:rFonts w:ascii="Calibri" w:eastAsiaTheme="minorHAnsi" w:hAnsi="Calibri" w:cs="Calibri"/>
      <w:sz w:val="24"/>
      <w:szCs w:val="24"/>
    </w:rPr>
  </w:style>
  <w:style w:type="paragraph" w:customStyle="1" w:styleId="Normal12Hanging">
    <w:name w:val="Normal12Hanging"/>
    <w:basedOn w:val="Normal"/>
    <w:link w:val="Normal12HangingChar"/>
    <w:rsid w:val="00690B04"/>
    <w:pPr>
      <w:widowControl/>
      <w:spacing w:after="240"/>
      <w:ind w:left="567" w:hanging="567"/>
    </w:pPr>
    <w:rPr>
      <w:rFonts w:ascii="Calibri" w:eastAsiaTheme="minorHAnsi" w:hAnsi="Calibri" w:cs="Calibri"/>
      <w:szCs w:val="24"/>
      <w:lang w:val="en-GB"/>
    </w:rPr>
  </w:style>
  <w:style w:type="paragraph" w:customStyle="1" w:styleId="Normal24a">
    <w:name w:val="Normal24a"/>
    <w:basedOn w:val="Normal"/>
    <w:rsid w:val="00690B04"/>
    <w:pPr>
      <w:spacing w:after="480"/>
    </w:pPr>
  </w:style>
  <w:style w:type="paragraph" w:customStyle="1" w:styleId="NormalBoldCenter">
    <w:name w:val="NormalBoldCenter"/>
    <w:basedOn w:val="Normal"/>
    <w:rsid w:val="00690B04"/>
    <w:pPr>
      <w:jc w:val="center"/>
    </w:pPr>
    <w:rPr>
      <w:b/>
    </w:rPr>
  </w:style>
  <w:style w:type="paragraph" w:customStyle="1" w:styleId="Normal12a">
    <w:name w:val="Normal12a"/>
    <w:basedOn w:val="Normal"/>
    <w:rsid w:val="00690B04"/>
    <w:pPr>
      <w:spacing w:after="240"/>
    </w:pPr>
  </w:style>
  <w:style w:type="paragraph" w:customStyle="1" w:styleId="PageHeadingNotTOC">
    <w:name w:val="PageHeadingNotTOC"/>
    <w:basedOn w:val="Normal"/>
    <w:rsid w:val="00690B04"/>
    <w:pPr>
      <w:keepNext/>
      <w:spacing w:after="480"/>
      <w:jc w:val="center"/>
    </w:pPr>
    <w:rPr>
      <w:rFonts w:ascii="Arial" w:hAnsi="Arial" w:cs="Arial"/>
      <w:b/>
    </w:rPr>
  </w:style>
  <w:style w:type="paragraph" w:customStyle="1" w:styleId="RollCallSymbols14pt">
    <w:name w:val="RollCallSymbols14pt"/>
    <w:basedOn w:val="Normal"/>
    <w:rsid w:val="00690B0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0B04"/>
    <w:pPr>
      <w:tabs>
        <w:tab w:val="center" w:pos="284"/>
        <w:tab w:val="left" w:pos="426"/>
      </w:tabs>
    </w:pPr>
    <w:rPr>
      <w:snapToGrid w:val="0"/>
      <w:lang w:eastAsia="en-US"/>
    </w:rPr>
  </w:style>
  <w:style w:type="paragraph" w:customStyle="1" w:styleId="RollCallVotes">
    <w:name w:val="RollCallVotes"/>
    <w:basedOn w:val="Normal"/>
    <w:rsid w:val="00690B04"/>
    <w:pPr>
      <w:spacing w:before="120" w:after="120"/>
      <w:jc w:val="center"/>
    </w:pPr>
    <w:rPr>
      <w:b/>
      <w:bCs/>
      <w:snapToGrid w:val="0"/>
      <w:sz w:val="16"/>
      <w:lang w:eastAsia="en-US"/>
    </w:rPr>
  </w:style>
  <w:style w:type="paragraph" w:customStyle="1" w:styleId="RollCallTable">
    <w:name w:val="RollCallTable"/>
    <w:basedOn w:val="Normal"/>
    <w:rsid w:val="00690B04"/>
    <w:pPr>
      <w:spacing w:before="120" w:after="120"/>
    </w:pPr>
    <w:rPr>
      <w:snapToGrid w:val="0"/>
      <w:sz w:val="16"/>
      <w:lang w:eastAsia="en-US"/>
    </w:rPr>
  </w:style>
  <w:style w:type="paragraph" w:styleId="Footer">
    <w:name w:val="footer"/>
    <w:basedOn w:val="Normal"/>
    <w:link w:val="FooterChar"/>
    <w:rsid w:val="00016568"/>
    <w:pPr>
      <w:tabs>
        <w:tab w:val="center" w:pos="4513"/>
        <w:tab w:val="right" w:pos="9026"/>
      </w:tabs>
    </w:pPr>
  </w:style>
  <w:style w:type="character" w:customStyle="1" w:styleId="FooterChar">
    <w:name w:val="Footer Char"/>
    <w:basedOn w:val="DefaultParagraphFont"/>
    <w:link w:val="Footer"/>
    <w:rsid w:val="00016568"/>
    <w:rPr>
      <w:sz w:val="24"/>
      <w:lang w:val="ro-RO"/>
    </w:rPr>
  </w:style>
  <w:style w:type="paragraph" w:styleId="BalloonText">
    <w:name w:val="Balloon Text"/>
    <w:basedOn w:val="Normal"/>
    <w:link w:val="BalloonTextChar"/>
    <w:rsid w:val="003150B8"/>
    <w:rPr>
      <w:rFonts w:ascii="Segoe UI" w:hAnsi="Segoe UI" w:cs="Segoe UI"/>
      <w:sz w:val="18"/>
      <w:szCs w:val="18"/>
    </w:rPr>
  </w:style>
  <w:style w:type="character" w:customStyle="1" w:styleId="BalloonTextChar">
    <w:name w:val="Balloon Text Char"/>
    <w:basedOn w:val="DefaultParagraphFont"/>
    <w:link w:val="BalloonText"/>
    <w:rsid w:val="003150B8"/>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ro/decision/ro/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ED1D1-6E1A-4149-AA4C-4DA710CD2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9831</Words>
  <Characters>56058</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2024-05-22T13:01:00Z</dcterms:created>
  <dcterms:modified xsi:type="dcterms:W3CDTF">2024-05-22T13:01:00Z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P9_TA(2024)0255_</vt:lpwstr>
  </property>
  <property fmtid="{D5CDD505-2E9C-101B-9397-08002B2CF9AE}" pid="4" name="&lt;Type&gt;">
    <vt:lpwstr>RR</vt:lpwstr>
  </property>
</Properties>
</file>