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56D" w:rsidTr="0010095E">
        <w:trPr>
          <w:trHeight w:hRule="exact" w:val="1418"/>
        </w:trPr>
        <w:tc>
          <w:tcPr>
            <w:tcW w:w="6804" w:type="dxa"/>
            <w:shd w:val="clear" w:color="auto" w:fill="auto"/>
            <w:vAlign w:val="center"/>
          </w:tcPr>
          <w:p w:rsidR="00751A4A" w:rsidRPr="00A7056D" w:rsidRDefault="001C730D" w:rsidP="0010095E">
            <w:pPr>
              <w:pStyle w:val="EPName"/>
            </w:pPr>
            <w:r w:rsidRPr="00A7056D">
              <w:t>Европейски</w:t>
            </w:r>
            <w:r w:rsidR="00D46B00" w:rsidRPr="00A7056D">
              <w:t xml:space="preserve"> парламент</w:t>
            </w:r>
          </w:p>
          <w:p w:rsidR="00751A4A" w:rsidRPr="00A7056D" w:rsidRDefault="001C730D" w:rsidP="00756632">
            <w:pPr>
              <w:pStyle w:val="EPTerm"/>
              <w:rPr>
                <w:rStyle w:val="HideTWBExt"/>
                <w:noProof w:val="0"/>
                <w:vanish w:val="0"/>
                <w:color w:val="auto"/>
              </w:rPr>
            </w:pPr>
            <w:r>
              <w:t>2019 – </w:t>
            </w:r>
            <w:r w:rsidR="00817416" w:rsidRPr="00A7056D">
              <w:t>2024</w:t>
            </w:r>
          </w:p>
        </w:tc>
        <w:tc>
          <w:tcPr>
            <w:tcW w:w="2268" w:type="dxa"/>
            <w:shd w:val="clear" w:color="auto" w:fill="auto"/>
          </w:tcPr>
          <w:p w:rsidR="00751A4A" w:rsidRPr="00A7056D" w:rsidRDefault="00187494" w:rsidP="0010095E">
            <w:pPr>
              <w:pStyle w:val="EPLogo"/>
            </w:pPr>
            <w:r w:rsidRPr="00A705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056D" w:rsidRDefault="00D058B8" w:rsidP="004C5D52">
      <w:pPr>
        <w:pStyle w:val="LineTop"/>
      </w:pPr>
    </w:p>
    <w:p w:rsidR="00680577" w:rsidRPr="00A7056D" w:rsidRDefault="00D46B00" w:rsidP="00680577">
      <w:pPr>
        <w:pStyle w:val="EPBodyTA1"/>
      </w:pPr>
      <w:r w:rsidRPr="00A7056D">
        <w:t>ПРИЕТИ ТЕКСТОВЕ</w:t>
      </w:r>
    </w:p>
    <w:p w:rsidR="00D058B8" w:rsidRPr="00A7056D" w:rsidRDefault="00D058B8" w:rsidP="00D058B8">
      <w:pPr>
        <w:pStyle w:val="LineBottom"/>
      </w:pPr>
    </w:p>
    <w:p w:rsidR="00D46B00" w:rsidRPr="00A7056D" w:rsidRDefault="00D46B00" w:rsidP="00D46B00">
      <w:pPr>
        <w:pStyle w:val="ATHeading1"/>
      </w:pPr>
      <w:bookmarkStart w:id="0" w:name="TANumber"/>
      <w:r w:rsidRPr="00A7056D">
        <w:t>P9_TA(2024)0</w:t>
      </w:r>
      <w:r w:rsidR="00B052A5">
        <w:rPr>
          <w:lang w:val="en-GB"/>
        </w:rPr>
        <w:t>256</w:t>
      </w:r>
      <w:bookmarkEnd w:id="0"/>
    </w:p>
    <w:p w:rsidR="00D46B00" w:rsidRPr="00A7056D" w:rsidRDefault="00D46B00" w:rsidP="00D46B00">
      <w:pPr>
        <w:pStyle w:val="ATHeading2"/>
      </w:pPr>
      <w:bookmarkStart w:id="1" w:name="title"/>
      <w:r w:rsidRPr="00A7056D">
        <w:t>Освобождаване от отговорност във връзка с изпълнението на бюджета за 2022 г.: Агенция на Европейския съюз за космическата програма</w:t>
      </w:r>
      <w:bookmarkEnd w:id="1"/>
    </w:p>
    <w:p w:rsidR="00D46B00" w:rsidRPr="00A7056D" w:rsidRDefault="00D46B00" w:rsidP="00D46B00">
      <w:pPr>
        <w:rPr>
          <w:i/>
          <w:vanish/>
        </w:rPr>
      </w:pPr>
      <w:r w:rsidRPr="00A7056D">
        <w:rPr>
          <w:i/>
        </w:rPr>
        <w:fldChar w:fldCharType="begin"/>
      </w:r>
      <w:r w:rsidRPr="00A7056D">
        <w:rPr>
          <w:i/>
        </w:rPr>
        <w:instrText xml:space="preserve"> TC"(</w:instrText>
      </w:r>
      <w:bookmarkStart w:id="2" w:name="DocNumber"/>
      <w:r w:rsidRPr="00A7056D">
        <w:rPr>
          <w:i/>
        </w:rPr>
        <w:instrText>A9-0121/2024</w:instrText>
      </w:r>
      <w:bookmarkEnd w:id="2"/>
      <w:r w:rsidRPr="00A7056D">
        <w:rPr>
          <w:i/>
        </w:rPr>
        <w:instrText xml:space="preserve"> - Докладчик: </w:instrText>
      </w:r>
      <w:proofErr w:type="spellStart"/>
      <w:r w:rsidRPr="00A7056D">
        <w:rPr>
          <w:i/>
        </w:rPr>
        <w:instrText>Петри</w:instrText>
      </w:r>
      <w:proofErr w:type="spellEnd"/>
      <w:r w:rsidRPr="00A7056D">
        <w:rPr>
          <w:i/>
        </w:rPr>
        <w:instrText xml:space="preserve"> </w:instrText>
      </w:r>
      <w:proofErr w:type="spellStart"/>
      <w:r w:rsidRPr="00A7056D">
        <w:rPr>
          <w:i/>
        </w:rPr>
        <w:instrText>Сарвама</w:instrText>
      </w:r>
      <w:proofErr w:type="spellEnd"/>
      <w:r w:rsidRPr="00A7056D">
        <w:rPr>
          <w:i/>
        </w:rPr>
        <w:instrText xml:space="preserve">)"\l3 \n&gt; \* MERGEFORMAT </w:instrText>
      </w:r>
      <w:r w:rsidRPr="00A7056D">
        <w:rPr>
          <w:i/>
        </w:rPr>
        <w:fldChar w:fldCharType="end"/>
      </w:r>
    </w:p>
    <w:p w:rsidR="00D46B00" w:rsidRPr="00A7056D" w:rsidRDefault="00D46B00" w:rsidP="00D46B00">
      <w:pPr>
        <w:rPr>
          <w:vanish/>
        </w:rPr>
      </w:pPr>
      <w:bookmarkStart w:id="3" w:name="Commission"/>
      <w:r w:rsidRPr="00A7056D">
        <w:rPr>
          <w:vanish/>
        </w:rPr>
        <w:t>Комисия по бюджетен контрол</w:t>
      </w:r>
      <w:bookmarkEnd w:id="3"/>
    </w:p>
    <w:p w:rsidR="00D46B00" w:rsidRPr="00A7056D" w:rsidRDefault="00D46B00" w:rsidP="00D46B00">
      <w:pPr>
        <w:rPr>
          <w:vanish/>
        </w:rPr>
      </w:pPr>
      <w:bookmarkStart w:id="4" w:name="PE"/>
      <w:r w:rsidRPr="00A7056D">
        <w:rPr>
          <w:vanish/>
        </w:rPr>
        <w:t>PE753.541</w:t>
      </w:r>
      <w:bookmarkEnd w:id="4"/>
    </w:p>
    <w:p w:rsidR="00D46B00" w:rsidRPr="00A7056D" w:rsidRDefault="001C730D" w:rsidP="001C730D">
      <w:pPr>
        <w:pStyle w:val="ATHeading3"/>
      </w:pPr>
      <w:bookmarkStart w:id="5" w:name="Sujet"/>
      <w:r>
        <w:t xml:space="preserve">1. </w:t>
      </w:r>
      <w:r w:rsidR="00D46B00" w:rsidRPr="00A7056D">
        <w:t xml:space="preserve">Решение на Европейския парламент от </w:t>
      </w:r>
      <w:r w:rsidR="008049D4">
        <w:t>11 април</w:t>
      </w:r>
      <w:r w:rsidR="008049D4" w:rsidRPr="00A7056D">
        <w:t xml:space="preserve"> </w:t>
      </w:r>
      <w:r w:rsidR="00D46B00" w:rsidRPr="00A7056D">
        <w:t>2024 г. относно освобождаването от отговорност във връзка с изпълнението на бюджета на Агенцията на Европейския съюз за космическата програма за финансовата 2022 година</w:t>
      </w:r>
      <w:bookmarkEnd w:id="5"/>
      <w:r w:rsidR="00D46B00" w:rsidRPr="00A7056D">
        <w:t xml:space="preserve"> </w:t>
      </w:r>
      <w:bookmarkStart w:id="6" w:name="References"/>
      <w:r w:rsidR="00D46B00" w:rsidRPr="00A7056D">
        <w:t>(2023/2170(DEC))</w:t>
      </w:r>
      <w:bookmarkEnd w:id="6"/>
    </w:p>
    <w:p w:rsidR="00FD4A84" w:rsidRPr="00A7056D" w:rsidRDefault="00FD4A84" w:rsidP="00FD4A84">
      <w:pPr>
        <w:pStyle w:val="EPComma"/>
      </w:pPr>
      <w:bookmarkStart w:id="7" w:name="TextBodyBegin"/>
      <w:bookmarkEnd w:id="7"/>
      <w:r w:rsidRPr="00A7056D">
        <w:rPr>
          <w:i/>
        </w:rPr>
        <w:t>Европейският парламент</w:t>
      </w:r>
      <w:r w:rsidRPr="00A7056D">
        <w:t>,</w:t>
      </w:r>
    </w:p>
    <w:p w:rsidR="00FD4A84" w:rsidRPr="00A7056D" w:rsidRDefault="00FD4A84" w:rsidP="00FD4A84">
      <w:pPr>
        <w:pStyle w:val="NormalHanging12a"/>
      </w:pPr>
      <w:r w:rsidRPr="00A7056D">
        <w:t>–</w:t>
      </w:r>
      <w:r w:rsidRPr="00A7056D">
        <w:tab/>
        <w:t>като взе предвид окончателните годишни отчети на Агенцията на Европейския съюз за космическата програма за финансовата 2022 година,</w:t>
      </w:r>
    </w:p>
    <w:p w:rsidR="00FD4A84" w:rsidRPr="00A7056D" w:rsidRDefault="00FD4A84" w:rsidP="00FD4A84">
      <w:pPr>
        <w:pStyle w:val="NormalHanging12a"/>
      </w:pPr>
      <w:r w:rsidRPr="00A7056D">
        <w:t>–</w:t>
      </w:r>
      <w:r w:rsidRPr="00A7056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A7056D">
        <w:rPr>
          <w:rStyle w:val="FootnoteReference"/>
        </w:rPr>
        <w:footnoteReference w:id="1"/>
      </w:r>
      <w:r w:rsidRPr="00A7056D">
        <w:t>,</w:t>
      </w:r>
    </w:p>
    <w:p w:rsidR="00FD4A84" w:rsidRPr="00A7056D" w:rsidRDefault="00FD4A84" w:rsidP="00FD4A84">
      <w:pPr>
        <w:pStyle w:val="NormalHanging12a"/>
      </w:pPr>
      <w:r w:rsidRPr="00A7056D">
        <w:t>–</w:t>
      </w:r>
      <w:r w:rsidRPr="00A7056D">
        <w:tab/>
        <w:t>като взе предвид декларацията за достоверност</w:t>
      </w:r>
      <w:r w:rsidRPr="00A7056D">
        <w:rPr>
          <w:rStyle w:val="FootnoteReference"/>
        </w:rPr>
        <w:footnoteReference w:id="2"/>
      </w:r>
      <w:r w:rsidRPr="00A7056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D4A84" w:rsidRPr="00A7056D" w:rsidRDefault="00FD4A84" w:rsidP="00FD4A84">
      <w:pPr>
        <w:pStyle w:val="NormalHanging12a"/>
      </w:pPr>
      <w:r w:rsidRPr="00A7056D">
        <w:t>–</w:t>
      </w:r>
      <w:r w:rsidRPr="00A7056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B2025" w:rsidRPr="003B2025">
        <w:t>06180</w:t>
      </w:r>
      <w:r w:rsidRPr="00A7056D">
        <w:t>/2024 – C9</w:t>
      </w:r>
      <w:r w:rsidRPr="00A7056D">
        <w:noBreakHyphen/>
      </w:r>
      <w:r w:rsidR="003B2025" w:rsidRPr="003B2025">
        <w:t>0108</w:t>
      </w:r>
      <w:r w:rsidRPr="00A7056D">
        <w:t>/2024),</w:t>
      </w:r>
    </w:p>
    <w:p w:rsidR="00FD4A84" w:rsidRPr="00A7056D" w:rsidRDefault="00FD4A84" w:rsidP="00FD4A84">
      <w:pPr>
        <w:pStyle w:val="NormalHanging12a"/>
      </w:pPr>
      <w:r w:rsidRPr="00A7056D">
        <w:t>–</w:t>
      </w:r>
      <w:r w:rsidRPr="00A7056D">
        <w:tab/>
        <w:t>като взе предвид член 319 от Договора за функционирането на Европейския съюз,</w:t>
      </w:r>
    </w:p>
    <w:p w:rsidR="00FD4A84" w:rsidRPr="00A7056D" w:rsidRDefault="00FD4A84" w:rsidP="00FD4A84">
      <w:pPr>
        <w:pStyle w:val="NormalHanging12a"/>
      </w:pPr>
      <w:r w:rsidRPr="00A7056D">
        <w:t>–</w:t>
      </w:r>
      <w:r w:rsidRPr="00A7056D">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A7056D">
        <w:rPr>
          <w:rStyle w:val="FootnoteReference"/>
        </w:rPr>
        <w:footnoteReference w:id="3"/>
      </w:r>
      <w:r w:rsidRPr="00A7056D">
        <w:t xml:space="preserve">, и по-специално член 70 от </w:t>
      </w:r>
      <w:r w:rsidRPr="00A7056D">
        <w:lastRenderedPageBreak/>
        <w:t>него,</w:t>
      </w:r>
    </w:p>
    <w:p w:rsidR="00FD4A84" w:rsidRPr="00A7056D" w:rsidRDefault="00FD4A84" w:rsidP="00FD4A84">
      <w:pPr>
        <w:pStyle w:val="NormalHanging12a"/>
      </w:pPr>
      <w:r w:rsidRPr="00A7056D">
        <w:t>–</w:t>
      </w:r>
      <w:r w:rsidRPr="00A7056D">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A7056D">
        <w:rPr>
          <w:rStyle w:val="FootnoteReference"/>
        </w:rPr>
        <w:footnoteReference w:id="4"/>
      </w:r>
      <w:r w:rsidRPr="00A7056D">
        <w:t>, и по-специално членове 85 и 86 от него,</w:t>
      </w:r>
    </w:p>
    <w:p w:rsidR="00FD4A84" w:rsidRPr="00A7056D" w:rsidRDefault="00FD4A84" w:rsidP="00FD4A84">
      <w:pPr>
        <w:pStyle w:val="NormalHanging12a"/>
      </w:pPr>
      <w:r w:rsidRPr="00A7056D">
        <w:t>–</w:t>
      </w:r>
      <w:r w:rsidRPr="00A7056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A7056D">
        <w:rPr>
          <w:rStyle w:val="FootnoteReference"/>
        </w:rPr>
        <w:footnoteReference w:id="5"/>
      </w:r>
      <w:r w:rsidRPr="00A7056D">
        <w:t>, и по-специално член 105 от него,</w:t>
      </w:r>
    </w:p>
    <w:p w:rsidR="00FD4A84" w:rsidRPr="00A7056D" w:rsidRDefault="00FD4A84" w:rsidP="00FD4A84">
      <w:pPr>
        <w:pStyle w:val="NormalHanging12a"/>
      </w:pPr>
      <w:r w:rsidRPr="00A7056D">
        <w:t>–</w:t>
      </w:r>
      <w:r w:rsidRPr="00A7056D">
        <w:tab/>
        <w:t>като взе предвид член 100 и приложение V към своя Правилник за дейността,</w:t>
      </w:r>
    </w:p>
    <w:p w:rsidR="00FD4A84" w:rsidRPr="00A7056D" w:rsidRDefault="00FD4A84" w:rsidP="00FD4A84">
      <w:pPr>
        <w:pStyle w:val="NormalHanging12a"/>
      </w:pPr>
      <w:r w:rsidRPr="00A7056D">
        <w:t>–</w:t>
      </w:r>
      <w:r w:rsidRPr="00A7056D">
        <w:tab/>
        <w:t>като взе предвид доклада на комисията по бюджетен контрол (A9-0121/2024),</w:t>
      </w:r>
    </w:p>
    <w:p w:rsidR="00FD4A84" w:rsidRPr="00A7056D" w:rsidRDefault="00FD4A84" w:rsidP="00FD4A84">
      <w:pPr>
        <w:pStyle w:val="NormalHanging12a"/>
      </w:pPr>
      <w:r w:rsidRPr="00A7056D">
        <w:t>1.</w:t>
      </w:r>
      <w:r w:rsidRPr="00A7056D">
        <w:tab/>
        <w:t>освобождава от отговорност изпълнителния директор на Агенцията на Европейския съюз за космическата програма във връзка с изпълнението на бюджета на агенцията за финансовата 2022 година;</w:t>
      </w:r>
    </w:p>
    <w:p w:rsidR="00FD4A84" w:rsidRPr="00A7056D" w:rsidRDefault="00FD4A84" w:rsidP="00FD4A84">
      <w:pPr>
        <w:pStyle w:val="NormalHanging12a"/>
      </w:pPr>
      <w:r w:rsidRPr="00A7056D">
        <w:t>2.</w:t>
      </w:r>
      <w:r w:rsidRPr="00A7056D">
        <w:tab/>
        <w:t>представя своите забележки в резолюцията по-долу;</w:t>
      </w:r>
    </w:p>
    <w:p w:rsidR="00FD4A84" w:rsidRPr="00A7056D" w:rsidRDefault="00FD4A84" w:rsidP="00FD4A84">
      <w:pPr>
        <w:pStyle w:val="NormalHanging12a"/>
      </w:pPr>
      <w:r w:rsidRPr="00A7056D">
        <w:t>3.</w:t>
      </w:r>
      <w:r w:rsidRPr="00A7056D">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космическата програма, на Съвета, Комисията и Сметната палата и да осигури публикуването им в </w:t>
      </w:r>
      <w:r w:rsidRPr="00A7056D">
        <w:rPr>
          <w:i/>
        </w:rPr>
        <w:t>Официален вестник на Европейския съюз</w:t>
      </w:r>
      <w:r w:rsidRPr="00A7056D">
        <w:t xml:space="preserve"> (серия L).</w:t>
      </w:r>
    </w:p>
    <w:p w:rsidR="00FD4A84" w:rsidRPr="00A7056D" w:rsidRDefault="00FD4A84" w:rsidP="00FD4A84"/>
    <w:p w:rsidR="00FD4A84" w:rsidRPr="00A7056D" w:rsidRDefault="00FD4A84" w:rsidP="00FD4A84">
      <w:pPr>
        <w:widowControl/>
        <w:rPr>
          <w:rFonts w:ascii="Arial" w:hAnsi="Arial" w:cs="Arial"/>
          <w:b/>
        </w:rPr>
        <w:sectPr w:rsidR="00FD4A84" w:rsidRPr="00A7056D" w:rsidSect="00A7056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D4A84" w:rsidRPr="00A7056D" w:rsidRDefault="00FD4A84" w:rsidP="001C730D">
      <w:pPr>
        <w:pStyle w:val="ATHeading3"/>
      </w:pPr>
      <w:bookmarkStart w:id="8" w:name="_Toc161755958"/>
      <w:r w:rsidRPr="00A7056D">
        <w:lastRenderedPageBreak/>
        <w:t xml:space="preserve">2. </w:t>
      </w:r>
      <w:r w:rsidR="001C730D" w:rsidRPr="00A7056D">
        <w:t>Решение на Европейския парламент</w:t>
      </w:r>
      <w:bookmarkEnd w:id="8"/>
      <w:r w:rsidR="008049D4" w:rsidRPr="00A7056D">
        <w:t xml:space="preserve"> от </w:t>
      </w:r>
      <w:r w:rsidR="008049D4">
        <w:t>11 април</w:t>
      </w:r>
      <w:r w:rsidR="008049D4" w:rsidRPr="00A7056D">
        <w:t xml:space="preserve"> 2024 г.</w:t>
      </w:r>
      <w:r w:rsidR="001C730D">
        <w:t xml:space="preserve"> </w:t>
      </w:r>
      <w:r w:rsidRPr="00A7056D">
        <w:t>относно приключването на сметките на Агенцията на Европейския съюз за космическата програма за финансовата 2022 година</w:t>
      </w:r>
      <w:r w:rsidR="001C730D">
        <w:t xml:space="preserve"> </w:t>
      </w:r>
      <w:r w:rsidRPr="00A7056D">
        <w:t>(2023/2170(DEC))</w:t>
      </w:r>
    </w:p>
    <w:p w:rsidR="00FD4A84" w:rsidRPr="00A7056D" w:rsidRDefault="00FD4A84" w:rsidP="00FD4A84">
      <w:pPr>
        <w:pStyle w:val="EPComma"/>
      </w:pPr>
      <w:r w:rsidRPr="00A7056D">
        <w:rPr>
          <w:i/>
        </w:rPr>
        <w:t>Европейският парламент</w:t>
      </w:r>
      <w:r w:rsidRPr="00A7056D">
        <w:t>,</w:t>
      </w:r>
    </w:p>
    <w:p w:rsidR="00FD4A84" w:rsidRPr="00A7056D" w:rsidRDefault="00FD4A84" w:rsidP="00FD4A84">
      <w:pPr>
        <w:pStyle w:val="NormalHanging12a"/>
      </w:pPr>
      <w:r w:rsidRPr="00A7056D">
        <w:t>–</w:t>
      </w:r>
      <w:r w:rsidRPr="00A7056D">
        <w:tab/>
        <w:t>като взе предвид окончателните годишни отчети на Агенцията на Европейския съюз за космическата програма за финансовата 2022 година,</w:t>
      </w:r>
    </w:p>
    <w:p w:rsidR="00FD4A84" w:rsidRPr="00A7056D" w:rsidRDefault="00FD4A84" w:rsidP="00FD4A84">
      <w:pPr>
        <w:pStyle w:val="NormalHanging12a"/>
      </w:pPr>
      <w:r w:rsidRPr="00A7056D">
        <w:t>–</w:t>
      </w:r>
      <w:r w:rsidRPr="00A7056D">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A7056D">
        <w:rPr>
          <w:rStyle w:val="FootnoteReference"/>
        </w:rPr>
        <w:footnoteReference w:id="6"/>
      </w:r>
      <w:r w:rsidRPr="00A7056D">
        <w:t>,</w:t>
      </w:r>
    </w:p>
    <w:p w:rsidR="00FD4A84" w:rsidRPr="00A7056D" w:rsidRDefault="00FD4A84" w:rsidP="00FD4A84">
      <w:pPr>
        <w:pStyle w:val="NormalHanging12a"/>
      </w:pPr>
      <w:r w:rsidRPr="00A7056D">
        <w:t>–</w:t>
      </w:r>
      <w:r w:rsidRPr="00A7056D">
        <w:tab/>
        <w:t>като взе предвид декларацията за достоверност</w:t>
      </w:r>
      <w:r w:rsidRPr="00A7056D">
        <w:rPr>
          <w:rStyle w:val="FootnoteReference"/>
        </w:rPr>
        <w:footnoteReference w:id="7"/>
      </w:r>
      <w:r w:rsidRPr="00A7056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D4A84" w:rsidRPr="00A7056D" w:rsidRDefault="00FD4A84" w:rsidP="00FD4A84">
      <w:pPr>
        <w:pStyle w:val="NormalHanging12a"/>
      </w:pPr>
      <w:r w:rsidRPr="00A7056D">
        <w:t>–</w:t>
      </w:r>
      <w:r w:rsidRPr="00A7056D">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B2025" w:rsidRPr="003B2025">
        <w:t>06180</w:t>
      </w:r>
      <w:r w:rsidRPr="00A7056D">
        <w:t>/2024 – C9</w:t>
      </w:r>
      <w:r w:rsidRPr="00A7056D">
        <w:noBreakHyphen/>
      </w:r>
      <w:r w:rsidR="003B2025" w:rsidRPr="003B2025">
        <w:t>0108</w:t>
      </w:r>
      <w:r w:rsidRPr="00A7056D">
        <w:t>/2024),</w:t>
      </w:r>
    </w:p>
    <w:p w:rsidR="00FD4A84" w:rsidRPr="00A7056D" w:rsidRDefault="00FD4A84" w:rsidP="00FD4A84">
      <w:pPr>
        <w:pStyle w:val="NormalHanging12a"/>
      </w:pPr>
      <w:r w:rsidRPr="00A7056D">
        <w:t>–</w:t>
      </w:r>
      <w:r w:rsidRPr="00A7056D">
        <w:tab/>
        <w:t>като взе предвид член 319 от Договора за функционирането на Европейския съюз,</w:t>
      </w:r>
    </w:p>
    <w:p w:rsidR="00FD4A84" w:rsidRPr="00A7056D" w:rsidRDefault="00FD4A84" w:rsidP="00FD4A84">
      <w:pPr>
        <w:pStyle w:val="NormalHanging12a"/>
      </w:pPr>
      <w:r w:rsidRPr="00A7056D">
        <w:t>–</w:t>
      </w:r>
      <w:r w:rsidRPr="00A7056D">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A7056D">
        <w:rPr>
          <w:rStyle w:val="FootnoteReference"/>
        </w:rPr>
        <w:footnoteReference w:id="8"/>
      </w:r>
      <w:r w:rsidRPr="00A7056D">
        <w:t>, и по-специално член 70 от него,</w:t>
      </w:r>
    </w:p>
    <w:p w:rsidR="00FD4A84" w:rsidRPr="00A7056D" w:rsidRDefault="00FD4A84" w:rsidP="00FD4A84">
      <w:pPr>
        <w:pStyle w:val="NormalHanging12a"/>
      </w:pPr>
      <w:r w:rsidRPr="00A7056D">
        <w:t>–</w:t>
      </w:r>
      <w:r w:rsidRPr="00A7056D">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A7056D">
        <w:rPr>
          <w:rStyle w:val="FootnoteReference"/>
        </w:rPr>
        <w:footnoteReference w:id="9"/>
      </w:r>
      <w:r w:rsidRPr="00A7056D">
        <w:t>, и по-специално членове 85 и 86 от него,</w:t>
      </w:r>
    </w:p>
    <w:p w:rsidR="00FD4A84" w:rsidRPr="00A7056D" w:rsidRDefault="00FD4A84" w:rsidP="00FD4A84">
      <w:pPr>
        <w:pStyle w:val="NormalHanging12a"/>
      </w:pPr>
      <w:r w:rsidRPr="00A7056D">
        <w:t>–</w:t>
      </w:r>
      <w:r w:rsidRPr="00A7056D">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A7056D">
        <w:rPr>
          <w:rStyle w:val="FootnoteReference"/>
        </w:rPr>
        <w:footnoteReference w:id="10"/>
      </w:r>
      <w:r w:rsidRPr="00A7056D">
        <w:t>, и по-специално член 105 от него,</w:t>
      </w:r>
    </w:p>
    <w:p w:rsidR="00FD4A84" w:rsidRPr="00A7056D" w:rsidRDefault="00FD4A84" w:rsidP="00FD4A84">
      <w:pPr>
        <w:pStyle w:val="NormalHanging12a"/>
      </w:pPr>
      <w:r w:rsidRPr="00A7056D">
        <w:t>–</w:t>
      </w:r>
      <w:r w:rsidRPr="00A7056D">
        <w:tab/>
        <w:t>като взе предвид член 100 и приложение V към своя Правилник за дейността,</w:t>
      </w:r>
    </w:p>
    <w:p w:rsidR="00FD4A84" w:rsidRPr="00A7056D" w:rsidRDefault="00FD4A84" w:rsidP="00FD4A84">
      <w:pPr>
        <w:pStyle w:val="NormalHanging12a"/>
      </w:pPr>
      <w:r w:rsidRPr="00A7056D">
        <w:lastRenderedPageBreak/>
        <w:t>–</w:t>
      </w:r>
      <w:r w:rsidRPr="00A7056D">
        <w:tab/>
        <w:t>като взе предвид доклада на комисията по бюджетен контрол (A9-0121/2024),</w:t>
      </w:r>
    </w:p>
    <w:p w:rsidR="00FD4A84" w:rsidRPr="00A7056D" w:rsidRDefault="00FD4A84" w:rsidP="00FD4A84">
      <w:pPr>
        <w:pStyle w:val="NormalHanging12a"/>
      </w:pPr>
      <w:r w:rsidRPr="00A7056D">
        <w:t>1.</w:t>
      </w:r>
      <w:r w:rsidRPr="00A7056D">
        <w:tab/>
        <w:t>одобрява приключването на сметките на Агенцията на Европейския съюз за космическата програма за финансовата 2022 година,</w:t>
      </w:r>
    </w:p>
    <w:p w:rsidR="00FD4A84" w:rsidRPr="00A7056D" w:rsidRDefault="00FD4A84" w:rsidP="00FD4A84">
      <w:pPr>
        <w:pStyle w:val="NormalHanging12a"/>
      </w:pPr>
      <w:r w:rsidRPr="00A7056D">
        <w:t>2.</w:t>
      </w:r>
      <w:r w:rsidRPr="00A7056D">
        <w:tab/>
        <w:t xml:space="preserve">възлага на своя председател да предаде настоящото решение на изпълнителния директор на Агенцията на Европейския съюз за космическата програма, на Съвета, Комисията и Сметната палата и да осигури публикуването му в </w:t>
      </w:r>
      <w:r w:rsidRPr="00A7056D">
        <w:rPr>
          <w:i/>
        </w:rPr>
        <w:t>Официален вестник на Европейския съюз</w:t>
      </w:r>
      <w:r w:rsidRPr="00A7056D">
        <w:t xml:space="preserve"> (серия L).</w:t>
      </w:r>
    </w:p>
    <w:p w:rsidR="00FD4A84" w:rsidRPr="00A7056D" w:rsidRDefault="00FD4A84" w:rsidP="00FD4A84"/>
    <w:p w:rsidR="00FD4A84" w:rsidRPr="00A7056D" w:rsidRDefault="00FD4A84" w:rsidP="00FD4A84">
      <w:pPr>
        <w:widowControl/>
        <w:rPr>
          <w:rFonts w:ascii="Arial" w:hAnsi="Arial" w:cs="Arial"/>
          <w:b/>
        </w:rPr>
        <w:sectPr w:rsidR="00FD4A84" w:rsidRPr="00A7056D" w:rsidSect="00A7056D">
          <w:footnotePr>
            <w:numRestart w:val="eachPage"/>
          </w:footnotePr>
          <w:endnotePr>
            <w:numFmt w:val="decimal"/>
          </w:endnotePr>
          <w:pgSz w:w="11906" w:h="16838"/>
          <w:pgMar w:top="1134" w:right="1418" w:bottom="1418" w:left="1418" w:header="567" w:footer="567" w:gutter="0"/>
          <w:cols w:space="720"/>
          <w:docGrid w:linePitch="326"/>
        </w:sectPr>
      </w:pPr>
    </w:p>
    <w:p w:rsidR="00FD4A84" w:rsidRPr="00A7056D" w:rsidRDefault="00FD4A84" w:rsidP="001C730D">
      <w:pPr>
        <w:pStyle w:val="ATHeading3"/>
      </w:pPr>
      <w:bookmarkStart w:id="9" w:name="_Toc161755959"/>
      <w:r w:rsidRPr="00A7056D">
        <w:lastRenderedPageBreak/>
        <w:t xml:space="preserve">3. </w:t>
      </w:r>
      <w:r w:rsidR="001C730D" w:rsidRPr="00A7056D">
        <w:t>Резолюция на Европейския парламент</w:t>
      </w:r>
      <w:r w:rsidR="008049D4" w:rsidRPr="00A7056D">
        <w:t xml:space="preserve"> от </w:t>
      </w:r>
      <w:r w:rsidR="008049D4">
        <w:t>11 април</w:t>
      </w:r>
      <w:r w:rsidR="008049D4" w:rsidRPr="00A7056D">
        <w:t xml:space="preserve"> 2024 г.</w:t>
      </w:r>
      <w:r w:rsidRPr="00A7056D">
        <w:t>,</w:t>
      </w:r>
      <w:bookmarkEnd w:id="9"/>
      <w:r w:rsidR="001C730D">
        <w:t xml:space="preserve"> </w:t>
      </w:r>
      <w:r w:rsidRPr="00A7056D">
        <w:t>съдържащ</w:t>
      </w:r>
      <w:r w:rsidR="008049D4">
        <w:t>а</w:t>
      </w:r>
      <w:r w:rsidRPr="00A7056D">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космическата програма за финансовата 2022 година</w:t>
      </w:r>
      <w:r w:rsidR="001C730D">
        <w:t xml:space="preserve"> </w:t>
      </w:r>
      <w:r w:rsidRPr="00A7056D">
        <w:t>(2023/2170(DEC))</w:t>
      </w:r>
    </w:p>
    <w:p w:rsidR="00FD4A84" w:rsidRPr="00A7056D" w:rsidRDefault="00FD4A84" w:rsidP="00FD4A84">
      <w:pPr>
        <w:pStyle w:val="EPComma"/>
      </w:pPr>
      <w:r w:rsidRPr="00A7056D">
        <w:rPr>
          <w:i/>
        </w:rPr>
        <w:t>Европейският парламент</w:t>
      </w:r>
      <w:r w:rsidRPr="00A7056D">
        <w:t>,</w:t>
      </w:r>
    </w:p>
    <w:p w:rsidR="00FD4A84" w:rsidRPr="00A7056D" w:rsidRDefault="00FD4A84" w:rsidP="00FD4A84">
      <w:pPr>
        <w:pStyle w:val="NormalHanging12a"/>
      </w:pPr>
      <w:r w:rsidRPr="00A7056D">
        <w:t>–</w:t>
      </w:r>
      <w:r w:rsidRPr="00A7056D">
        <w:tab/>
        <w:t>като взе предвид своето решение за освобождаване от отговорност във връзка с изпълнението на бюджета на Агенцията на Европейския съюз за космическата програма („Агенцията“) за финансовата 2022 година,</w:t>
      </w:r>
    </w:p>
    <w:p w:rsidR="00FD4A84" w:rsidRPr="00A7056D" w:rsidRDefault="00FD4A84" w:rsidP="00FD4A84">
      <w:pPr>
        <w:pStyle w:val="NormalHanging12a"/>
      </w:pPr>
      <w:r w:rsidRPr="00A7056D">
        <w:t>–</w:t>
      </w:r>
      <w:r w:rsidRPr="00A7056D">
        <w:tab/>
        <w:t>като взе предвид член 100 и приложение V към своя Правилник за дейността,</w:t>
      </w:r>
    </w:p>
    <w:p w:rsidR="00FD4A84" w:rsidRPr="00A7056D" w:rsidRDefault="00FD4A84" w:rsidP="00FD4A84">
      <w:pPr>
        <w:pStyle w:val="NormalHanging12a"/>
      </w:pPr>
      <w:r w:rsidRPr="00A7056D">
        <w:t>–</w:t>
      </w:r>
      <w:r w:rsidRPr="00A7056D">
        <w:tab/>
        <w:t>като взе предвид доклада на комисията по бюджетен контрол (A9-0121/2024),</w:t>
      </w:r>
    </w:p>
    <w:p w:rsidR="00FD4A84" w:rsidRPr="00A7056D" w:rsidRDefault="00FD4A84" w:rsidP="00FD4A84">
      <w:pPr>
        <w:pStyle w:val="Normal12Hanging"/>
        <w:rPr>
          <w:szCs w:val="24"/>
        </w:rPr>
      </w:pPr>
      <w:r w:rsidRPr="00A7056D">
        <w:t>А.</w:t>
      </w:r>
      <w:r w:rsidRPr="00A7056D">
        <w:tab/>
        <w:t>като има предвид, че според отчета за приходите и разходите</w:t>
      </w:r>
      <w:r w:rsidRPr="00A7056D">
        <w:rPr>
          <w:rStyle w:val="FootnoteReference"/>
          <w:szCs w:val="24"/>
        </w:rPr>
        <w:footnoteReference w:id="11"/>
      </w:r>
      <w:r w:rsidRPr="00A7056D">
        <w:t xml:space="preserve"> на Агенцията нейният окончателен бюджет за финансовата 2022 година възлиза на 70 032 491,77 EUR, което представлява увеличение с 22,58% спрямо 2021 г.; като има предвид, че действителните приходи на Агенцията възлизат на 1,2 милиарда евро, като обяснение за разликата спрямо горепосочения бюджет са оперативните дейности, финансирани чрез целеви приходи, които са включени в одобрения бюджет като символичен запис;</w:t>
      </w:r>
    </w:p>
    <w:p w:rsidR="00FD4A84" w:rsidRPr="00A7056D" w:rsidRDefault="00FD4A84" w:rsidP="00FD4A84">
      <w:pPr>
        <w:pStyle w:val="Normal12Hanging"/>
        <w:rPr>
          <w:szCs w:val="24"/>
        </w:rPr>
      </w:pPr>
      <w:r w:rsidRPr="00A7056D">
        <w:t>Б.</w:t>
      </w:r>
      <w:r w:rsidRPr="00A7056D">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 като има предвид, че Палатата представя параграф за обръщане на внимание във връзка с отражението на агресивната война на Русия срещу Украйна върху дейностите на Агенцията;</w:t>
      </w:r>
    </w:p>
    <w:p w:rsidR="00FD4A84" w:rsidRPr="00A7056D" w:rsidRDefault="00FD4A84" w:rsidP="00FD4A84">
      <w:pPr>
        <w:pStyle w:val="Normal12Hanging"/>
        <w:rPr>
          <w:szCs w:val="24"/>
        </w:rPr>
      </w:pPr>
      <w:r w:rsidRPr="00A7056D">
        <w:t>В.</w:t>
      </w:r>
      <w:r w:rsidRPr="00A7056D">
        <w:tab/>
        <w:t>като има предвид, че за 2022 г. по отношение на системите за вътрешен контрол на Агенцията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FD4A84" w:rsidRPr="00A7056D" w:rsidRDefault="00FD4A84" w:rsidP="00FD4A84">
      <w:pPr>
        <w:pStyle w:val="Normal12Hanging"/>
        <w:rPr>
          <w:b/>
          <w:i/>
          <w:szCs w:val="24"/>
        </w:rPr>
      </w:pPr>
      <w:r w:rsidRPr="00A7056D">
        <w:rPr>
          <w:b/>
          <w:i/>
        </w:rPr>
        <w:t>Бюджетно и финансово управление</w:t>
      </w:r>
    </w:p>
    <w:p w:rsidR="00FD4A84" w:rsidRPr="00A7056D" w:rsidRDefault="00FD4A84" w:rsidP="00FD4A84">
      <w:pPr>
        <w:pStyle w:val="Normal12Hanging"/>
        <w:rPr>
          <w:szCs w:val="24"/>
        </w:rPr>
      </w:pPr>
      <w:r w:rsidRPr="00A7056D">
        <w:t>1.</w:t>
      </w:r>
      <w:r w:rsidRPr="00A7056D">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100% — същата степен, както през предходните две години; изразява при все това съжаление, че степента на изпълнение на бюджетните кредити за плащания за текущата година е 72,86%, което представлява намаление с 1,92% спрямо 2021 г.;</w:t>
      </w:r>
    </w:p>
    <w:p w:rsidR="00FD4A84" w:rsidRPr="00A7056D" w:rsidRDefault="00FD4A84" w:rsidP="00FD4A84">
      <w:pPr>
        <w:pStyle w:val="Normal12Hanging"/>
        <w:rPr>
          <w:szCs w:val="24"/>
        </w:rPr>
      </w:pPr>
      <w:r w:rsidRPr="00A7056D">
        <w:t>2.</w:t>
      </w:r>
      <w:r w:rsidRPr="00A7056D">
        <w:tab/>
        <w:t xml:space="preserve">отбелязва, че Административният съвет на Агенцията е одобрил три изменения на бюджета през 2022 г., първо през януари за увеличаване на общия размер на бюджетните кредити с 1 687 363,77 EUR, с второто изменение на бюджета </w:t>
      </w:r>
      <w:r w:rsidRPr="00A7056D">
        <w:lastRenderedPageBreak/>
        <w:t>Административният съвет на Агенцията е одобрил преразпределяне на обща сума в размер на 2 659 300 EUR, предимно от оперативния бюджет в полза на реда за обработка на данни, а с третия коригиращ бюджет бюджетните кредити за плащания са били намалени с 4 640 000 EUR, вследствие на което общият размер на бюджетните кредити за плащания е достигал 65 392 491,77 EUR;</w:t>
      </w:r>
    </w:p>
    <w:p w:rsidR="00FD4A84" w:rsidRPr="00A7056D" w:rsidRDefault="00FD4A84" w:rsidP="00FD4A84">
      <w:pPr>
        <w:pStyle w:val="Normal12Hanging"/>
        <w:rPr>
          <w:szCs w:val="24"/>
        </w:rPr>
      </w:pPr>
      <w:r w:rsidRPr="00A7056D">
        <w:t>3.</w:t>
      </w:r>
      <w:r w:rsidRPr="00A7056D">
        <w:tab/>
        <w:t>отбелязва, че в допълнение към основния си бюджет Агенцията е продължила да управлява голяма част от делегирания бюджет (целеви бюджетни кредити), като през 2022 г. в рамките на делегирания бюджет са поети задължения за общо 574,5 милиона евро и са извършени плащания в размер на 1,26 милиарда евро;</w:t>
      </w:r>
    </w:p>
    <w:p w:rsidR="00FD4A84" w:rsidRPr="00A7056D" w:rsidRDefault="00FD4A84" w:rsidP="00FD4A84">
      <w:pPr>
        <w:pStyle w:val="Normal12Hanging"/>
        <w:rPr>
          <w:b/>
          <w:i/>
          <w:szCs w:val="24"/>
        </w:rPr>
      </w:pPr>
      <w:r w:rsidRPr="00A7056D">
        <w:rPr>
          <w:b/>
          <w:i/>
        </w:rPr>
        <w:t>Резултати от дейността</w:t>
      </w:r>
    </w:p>
    <w:p w:rsidR="00FD4A84" w:rsidRPr="00A7056D" w:rsidRDefault="00FD4A84" w:rsidP="00FD4A84">
      <w:pPr>
        <w:pStyle w:val="NormalHanging12a"/>
      </w:pPr>
      <w:r w:rsidRPr="00A7056D">
        <w:t>4.</w:t>
      </w:r>
      <w:r w:rsidRPr="00A7056D">
        <w:tab/>
        <w:t>приветства факта, че Агенцията използва ключови показатели за резултатите от дейността, за да оценява резултатите, свързани с нейните цели, които включват, наред с другото, ефективно администриране на Съвета за акредитация на сигурността, така че да подпомага навременното вземане на решения, анализа на заплахите и риска на „Галилео“, управлението и отчитането във връзка с бюджета на Агенцията, ефикасната работа по всички правни договорености, осигуряване на оперативния капацитет на помещенията на Агенцията и изпълнението на законоустановените задължения за одит и контрол; отбелязва, че повечето цели са постигнати, но препоръчва да се обърне внимание на ключовите показатели за резултатите от дейността, които не са изпълнени или по които се постига напредък по-бавно от очакваното; препоръчва Агенцията редовно да настройва ключовите показатели за резултатите от дейността, за да оптимизира резултатите от дейността си;</w:t>
      </w:r>
    </w:p>
    <w:p w:rsidR="00FD4A84" w:rsidRPr="00A7056D" w:rsidRDefault="00FD4A84" w:rsidP="00FD4A84">
      <w:pPr>
        <w:pStyle w:val="Normal12Hanging"/>
        <w:rPr>
          <w:szCs w:val="24"/>
        </w:rPr>
      </w:pPr>
      <w:r w:rsidRPr="00A7056D">
        <w:t>5.</w:t>
      </w:r>
      <w:r w:rsidRPr="00A7056D">
        <w:tab/>
        <w:t>отбелязва, че Агенцията е разкрила потенциални въздействия от войната в Украйна, включително прекъсването на използването на ракетите носители „</w:t>
      </w:r>
      <w:proofErr w:type="spellStart"/>
      <w:r w:rsidRPr="00A7056D">
        <w:t>Союз</w:t>
      </w:r>
      <w:proofErr w:type="spellEnd"/>
      <w:r w:rsidRPr="00A7056D">
        <w:t>“ за спътниците на „Галилео“ поради едностранното оттегляне на руския екип, обслужващ изстрелването на ракетите носители „</w:t>
      </w:r>
      <w:proofErr w:type="spellStart"/>
      <w:r w:rsidRPr="00A7056D">
        <w:t>Союз</w:t>
      </w:r>
      <w:proofErr w:type="spellEnd"/>
      <w:r w:rsidRPr="00A7056D">
        <w:t>“; отбелязва, че Агенцията не предвижда никакво пряко и непосредствено въздействие върху финансовите си резултати, но признава, че е необходима интензивна работа, за да се сведат до минимум забавянията при изстрелването на нови спътници, което би могло да доведе до забавяне на признаването на разходите и уреждането на вземанията, платени под формата на предварително финансиране; отбелязва със загриженост, че на този етап не може да се направи надеждна оценка за размера на тази сума;</w:t>
      </w:r>
    </w:p>
    <w:p w:rsidR="00FD4A84" w:rsidRPr="00A7056D" w:rsidRDefault="00FD4A84" w:rsidP="00FD4A84">
      <w:pPr>
        <w:pStyle w:val="NormalHanging12a"/>
      </w:pPr>
      <w:r w:rsidRPr="00A7056D">
        <w:t>6.</w:t>
      </w:r>
      <w:r w:rsidRPr="00A7056D">
        <w:tab/>
        <w:t>отбелязва освен това, че работата по „Галилео“ и по наземните станции на Европейската геостационарна служба за навигационно покритие (EGNOS) в Украйна е спряна поради конфликта, но това няма пряко въздействие върху функционалността на системата EGNOS; подчертава, че Агенцията е предприела всички възможни стъпки, за да предпази във възможно най-голяма степен вече инсталираното оборудване, но понастоящем точното му състояние не е известно; отбелязва, че са налице форсмажорни обстоятелства, изтъкнати от приемащия субект, и че се очаква изпълнението на действащия договор да бъде възстановено веднага след като те престанат да съществуват; изисква от Агенцията да докладва на органа по освобождаване от отговорност относно състоянието на инсталираното оборудване веднага щом войната позволи това;</w:t>
      </w:r>
    </w:p>
    <w:p w:rsidR="00FD4A84" w:rsidRPr="00A7056D" w:rsidRDefault="00FD4A84" w:rsidP="00FD4A84">
      <w:pPr>
        <w:pStyle w:val="Normal12Hanging"/>
        <w:rPr>
          <w:szCs w:val="24"/>
        </w:rPr>
      </w:pPr>
      <w:r w:rsidRPr="00A7056D">
        <w:lastRenderedPageBreak/>
        <w:t>7.</w:t>
      </w:r>
      <w:r w:rsidRPr="00A7056D">
        <w:tab/>
        <w:t>отбелязва, че Агенцията е въвела мерки за наблюдение на връзките с руски и беларуски институции и че не се очаква промените в пазарните условия вследствие на санкциите да засегнат съществено дейностите на Агенцията;</w:t>
      </w:r>
    </w:p>
    <w:p w:rsidR="00FD4A84" w:rsidRPr="00A7056D" w:rsidRDefault="00FD4A84" w:rsidP="00FD4A84">
      <w:pPr>
        <w:pStyle w:val="Normal12Hanging"/>
        <w:rPr>
          <w:szCs w:val="24"/>
        </w:rPr>
      </w:pPr>
      <w:r w:rsidRPr="00A7056D">
        <w:t>8.</w:t>
      </w:r>
      <w:r w:rsidRPr="00A7056D">
        <w:tab/>
        <w:t>отбелязва, че през 2022 г. е постигнат набор от важни решения за акредитация за EGNOS, а най-важните постижения на EGNOS включват подписването на следващия договор за предоставяне на услуги във връзка с експлоатацията на EGNOS и нов договор за услуги по търсене и спасяване, договора за поддръжка на EGNOS v2 и разгръщането на полезния товар на EGNOS „GEO4“, като по-специално беше установена и отстранена повреда от общ характер в EGNOS; отбелязва със задоволство, че въздействието на „Галилео“ в световен мащаб е подчертано, с над 3,5 милиарда устройства по света, които ползват услугите на системата; отбелязва, че два нови спътника на „Галилео“ влязоха в експлоатация; отбелязва със задоволство, че услугите на „Галилео“, включително наблюдението на сигурността и публично регулираната услуга, показаха изключителни резултати въпреки предизвикателствата, свързани с COVID-19;</w:t>
      </w:r>
    </w:p>
    <w:p w:rsidR="00FD4A84" w:rsidRPr="00A7056D" w:rsidRDefault="00FD4A84" w:rsidP="00FD4A84">
      <w:pPr>
        <w:pStyle w:val="Normal12Hanging"/>
        <w:rPr>
          <w:szCs w:val="24"/>
        </w:rPr>
      </w:pPr>
      <w:r w:rsidRPr="00A7056D">
        <w:t>9.</w:t>
      </w:r>
      <w:r w:rsidRPr="00A7056D">
        <w:tab/>
        <w:t>отбелязва, че другите постижения на Агенцията през 2022 г. включват организирането на Седмица на ЕС на космическото пространство — 2022 г., в Прага, в сътрудничество с Комисията и с подкрепата на чешкото председателство на Съвета на Европейския съюз, създаването на мрежата на Агенцията от 1 000 новосъздадени предприятия и 28 инвеститори и първия Ден на предприемачеството CASSINI, въвеждането в експлоатация на два нови спътника на „Галилео“ и публикуването на първия доклад за пазара, обхващащ както наблюдението на Земята, така и глобалната навигационна спътникова система (ГНСС);</w:t>
      </w:r>
    </w:p>
    <w:p w:rsidR="00FD4A84" w:rsidRPr="00A7056D" w:rsidRDefault="00FD4A84" w:rsidP="00FD4A84">
      <w:pPr>
        <w:pStyle w:val="NormalHanging12a"/>
      </w:pPr>
      <w:r w:rsidRPr="00A7056D">
        <w:t>10.</w:t>
      </w:r>
      <w:r w:rsidRPr="00A7056D">
        <w:tab/>
        <w:t>подчертава, че Агенцията следва да придобие статута на основна изпълнителна агенция за всички компоненти на космическата програма на Съюза, като обезпечава предоставянето на защитени услуги и акредитацията на всички компоненти на космическата програма „Галилео“, EGNOS, наблюдението на Земята, управлението на космическия трафик и правителствените телекомуникации и свързаност, предоставяйки стабилни услуги, които непрекъснато се развиват в съответствие с потребностите на настоящите и бъдещите ползватели, в т.ч. на ползвателите от правителствения сектор с потребности, свързани с устойчивостта, отбраната и сигурността;</w:t>
      </w:r>
    </w:p>
    <w:p w:rsidR="00FD4A84" w:rsidRPr="00A7056D" w:rsidRDefault="00FD4A84" w:rsidP="00FD4A84">
      <w:pPr>
        <w:pStyle w:val="NormalHanging12a"/>
      </w:pPr>
      <w:r w:rsidRPr="00A7056D">
        <w:t>11.</w:t>
      </w:r>
      <w:r w:rsidRPr="00A7056D">
        <w:tab/>
        <w:t>призовава Агенцията да използва своята добавена стойност за прилагането на бъдещия законодателен акт на Съюза относно космическото пространство като крайъгълен камък за гарантиране на сигурността, безопасността и устойчивостта на Съюза в космическото пространство, като обърне внимание на икономическата сигурност на Съюза в космическите дейности и ускоряването на растежа на новото космическо пространство;</w:t>
      </w:r>
    </w:p>
    <w:p w:rsidR="00FD4A84" w:rsidRPr="00A7056D" w:rsidRDefault="00FD4A84" w:rsidP="00FD4A84">
      <w:pPr>
        <w:pStyle w:val="Normal12Hanging"/>
        <w:rPr>
          <w:b/>
          <w:i/>
          <w:szCs w:val="24"/>
        </w:rPr>
      </w:pPr>
      <w:r w:rsidRPr="00A7056D">
        <w:rPr>
          <w:b/>
          <w:i/>
        </w:rPr>
        <w:t>Ефикасност и успехи</w:t>
      </w:r>
    </w:p>
    <w:p w:rsidR="00FD4A84" w:rsidRPr="00A7056D" w:rsidRDefault="00FD4A84" w:rsidP="00FD4A84">
      <w:pPr>
        <w:pStyle w:val="Normal12Hanging"/>
        <w:rPr>
          <w:szCs w:val="24"/>
        </w:rPr>
      </w:pPr>
      <w:r w:rsidRPr="00A7056D">
        <w:t>12.</w:t>
      </w:r>
      <w:r w:rsidRPr="00A7056D">
        <w:tab/>
        <w:t xml:space="preserve">отбелязва, че Агенцията е положила значителни усилия за по-нататъшно рационализиране и автоматизиране на процесите за управление на човешките ресурси, за да постигне повишаване на ефективността; отбелязва, че в този контекст Агенцията е продължила да внедрява различни модули на </w:t>
      </w:r>
      <w:proofErr w:type="spellStart"/>
      <w:r w:rsidRPr="00A7056D">
        <w:t>Sysper</w:t>
      </w:r>
      <w:proofErr w:type="spellEnd"/>
      <w:r w:rsidRPr="00A7056D">
        <w:t xml:space="preserve"> (напр. TIM, FLEX, TELEWORK) и да ги свързва със съществуващите вътрешни </w:t>
      </w:r>
      <w:r w:rsidRPr="00A7056D">
        <w:lastRenderedPageBreak/>
        <w:t>допълващи приложения (напр. интранет инструмент за отчитане на работното време); отбелязва, че отделът за човешки ресурси е въвел система за електронна регистрация на заявки с цел рационализиране на обработването на различните заявки на служителите; приканва Агенцията да набележи и други вътрешни процедури, които биха могли да бъдат рационализирани чрез ИТ инструменти;</w:t>
      </w:r>
    </w:p>
    <w:p w:rsidR="00FD4A84" w:rsidRPr="00A7056D" w:rsidRDefault="00FD4A84" w:rsidP="00FD4A84">
      <w:pPr>
        <w:pStyle w:val="Normal12Hanging"/>
        <w:rPr>
          <w:szCs w:val="24"/>
        </w:rPr>
      </w:pPr>
      <w:r w:rsidRPr="00A7056D">
        <w:t>13.</w:t>
      </w:r>
      <w:r w:rsidRPr="00A7056D">
        <w:tab/>
        <w:t>отбелязва, че съгласно споразумението за финансово рамково партньорство Агенцията е задължена да си сътрудничи с Комисията и с Европейската космическа агенция (ЕКА) за съвместно определяне на механизмите за постигане на целите на Европейския съюз в областта на климата и да оказва съдействие във връзка с дейности, допринасящи за постигането на тези цели; отбелязва освен това, че съгласно член 30 от споразумението за финансово рамково партньорство Агенцията е задължена да внедри Схемата за управление по околна среда и одит (EMAS) до края на 2023 г.;</w:t>
      </w:r>
    </w:p>
    <w:p w:rsidR="00FD4A84" w:rsidRPr="00A7056D" w:rsidRDefault="00FD4A84" w:rsidP="00FD4A84">
      <w:pPr>
        <w:pStyle w:val="Normal12Hanging"/>
        <w:rPr>
          <w:szCs w:val="24"/>
        </w:rPr>
      </w:pPr>
      <w:r w:rsidRPr="00A7056D">
        <w:t>14.</w:t>
      </w:r>
      <w:r w:rsidRPr="00A7056D">
        <w:tab/>
        <w:t>отбелязва, че по отношение на екологосъобразните обществени поръчки през 2022 г. е постигнат известен напредък в идентифицирането на процедури за възлагане на обществени поръчки със свързани с околната среда аспекти и в разглеждането на възможностите за прилагане на критерии за екологосъобразност; отбелязва освен това, че през 2023 г. Агенцията постепенно разработва по-стабилен подход, за да прилага на практика екологосъобразни обществени поръчки на постоянна основа, да обучава своите служители и постепенно да въвежда критерии за екологосъобразност в своите обществени поръчки в съответствие с политиката си в областта на околната среда и текущото сертифициране по EMAS;</w:t>
      </w:r>
    </w:p>
    <w:p w:rsidR="00FD4A84" w:rsidRPr="00A7056D" w:rsidRDefault="00FD4A84" w:rsidP="00FD4A84">
      <w:pPr>
        <w:pStyle w:val="Normal12Hanging"/>
        <w:rPr>
          <w:szCs w:val="24"/>
        </w:rPr>
      </w:pPr>
      <w:r w:rsidRPr="00A7056D">
        <w:t>15.</w:t>
      </w:r>
      <w:r w:rsidRPr="00A7056D">
        <w:tab/>
        <w:t>приветства Агенцията за нейния ангажимент по отношение на процеса на намаляване на въздействието ѝ върху околната среда, оптимизиране на потреблението на ресурси и намаляване на нейния въглероден отпечатък, както и за първата стъпка в тази посока — приемането и публикуването на 16 декември 2022 г. на нейната политика в областта на околната среда;</w:t>
      </w:r>
    </w:p>
    <w:p w:rsidR="00FD4A84" w:rsidRPr="00A7056D" w:rsidRDefault="00FD4A84" w:rsidP="00FD4A84">
      <w:pPr>
        <w:pStyle w:val="NormalHanging12a"/>
      </w:pPr>
      <w:r w:rsidRPr="00A7056D">
        <w:t>16.</w:t>
      </w:r>
      <w:r w:rsidRPr="00A7056D">
        <w:tab/>
        <w:t xml:space="preserve">припомня, че е важно да се увеличи цифровизацията на Агенцията по отношение на вътрешното функциониране и управление, но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все пак обръща внимание, че трябва да се предприемат всички необходими мерки за сигурност, за да се избегне всякакъв риск за онлайн сигурността на обработваната информация; настоява, че е необходимо да се засили борбата срещу </w:t>
      </w:r>
      <w:proofErr w:type="spellStart"/>
      <w:r w:rsidRPr="00A7056D">
        <w:t>кибератаките</w:t>
      </w:r>
      <w:proofErr w:type="spellEnd"/>
      <w:r w:rsidRPr="00A7056D">
        <w:t xml:space="preserve"> и опитите за проникване, и особено идващите от Русия или от Китай;</w:t>
      </w:r>
    </w:p>
    <w:p w:rsidR="00FD4A84" w:rsidRPr="00A7056D" w:rsidRDefault="00FD4A84" w:rsidP="00FD4A84">
      <w:pPr>
        <w:pStyle w:val="NormalHanging12a"/>
      </w:pPr>
      <w:r w:rsidRPr="00A7056D">
        <w:t>17.</w:t>
      </w:r>
      <w:r w:rsidRPr="00A7056D">
        <w:tab/>
        <w:t xml:space="preserve">призовава Агенцията да продължи да определя и стимулира </w:t>
      </w:r>
      <w:proofErr w:type="spellStart"/>
      <w:r w:rsidRPr="00A7056D">
        <w:t>синергичното</w:t>
      </w:r>
      <w:proofErr w:type="spellEnd"/>
      <w:r w:rsidRPr="00A7056D">
        <w:t xml:space="preserve"> използване на компонентите на космическата програма на Съюза и на Програмата на Съюза за сигурна свързаност (IRIS</w:t>
      </w:r>
      <w:r w:rsidRPr="00A7056D">
        <w:rPr>
          <w:vertAlign w:val="superscript"/>
        </w:rPr>
        <w:t>2</w:t>
      </w:r>
      <w:r w:rsidRPr="00A7056D">
        <w:t>), наред с другото за изпълнението на космическата стратегия на ЕС за сигурност и отбрана, за да се гарантира, че всички задачи могат да бъдат обединени в дългосрочен план в една единна космическа програма, което ще даде възможност за по-добро взаимодействие между различните компоненти;</w:t>
      </w:r>
    </w:p>
    <w:p w:rsidR="00FD4A84" w:rsidRPr="00A7056D" w:rsidRDefault="00FD4A84" w:rsidP="00FD4A84">
      <w:pPr>
        <w:pStyle w:val="NormalHanging12a"/>
      </w:pPr>
      <w:r w:rsidRPr="00A7056D">
        <w:t>18.</w:t>
      </w:r>
      <w:r w:rsidRPr="00A7056D">
        <w:tab/>
        <w:t xml:space="preserve">призовава Агенцията да продължи работата си в партньорство с Комисията за </w:t>
      </w:r>
      <w:r w:rsidRPr="00A7056D">
        <w:lastRenderedPageBreak/>
        <w:t>центровете за GOVSATCOM и очаква с интерес полезните взаимодействия, които ще бъдат осъществени чрез системата IRIS</w:t>
      </w:r>
      <w:r w:rsidRPr="00A7056D">
        <w:rPr>
          <w:vertAlign w:val="superscript"/>
        </w:rPr>
        <w:t>2</w:t>
      </w:r>
      <w:r w:rsidRPr="00A7056D">
        <w:t>; подчертава ролята на Агенцията на Европейския съюз за космическата програма (EUSPA) за разработването, внедряването и експлоатацията на IRIS</w:t>
      </w:r>
      <w:r w:rsidRPr="00A7056D">
        <w:rPr>
          <w:vertAlign w:val="superscript"/>
        </w:rPr>
        <w:t>2</w:t>
      </w:r>
      <w:r w:rsidRPr="00A7056D">
        <w:t>, като се гарантира достъпът до суверенни и глобални услуги за свързаност с висока степен на сигурност, основани на авангардни технологии за криптиране;</w:t>
      </w:r>
    </w:p>
    <w:p w:rsidR="00FD4A84" w:rsidRPr="00A7056D" w:rsidRDefault="00FD4A84" w:rsidP="00FD4A84">
      <w:pPr>
        <w:pStyle w:val="NormalHanging12a"/>
      </w:pPr>
      <w:r w:rsidRPr="00A7056D">
        <w:t>19.</w:t>
      </w:r>
      <w:r w:rsidRPr="00A7056D">
        <w:tab/>
        <w:t>подчертава ролята на Агенцията в развитието на „Коперник“, по-специално що се отнася до използването от страна на правителствата на наблюдението на Земята, като се има предвид геополитическата ситуация, и припомня необходимостта да се използва експертният опит на Агенцията в областта на акредитацията на сигурността, мониторинга и изпълнението на договорите в това отношение, за да се укрепи оперативният капацитет на Съюза да действа на всички етапи от управлението на риска от бедствия, както при природни, така и при причинени от човека бедствия;</w:t>
      </w:r>
    </w:p>
    <w:p w:rsidR="00FD4A84" w:rsidRPr="00A7056D" w:rsidRDefault="00FD4A84" w:rsidP="00FD4A84">
      <w:pPr>
        <w:pStyle w:val="Normal12Hanging"/>
        <w:rPr>
          <w:b/>
          <w:i/>
          <w:szCs w:val="24"/>
        </w:rPr>
      </w:pPr>
      <w:r w:rsidRPr="00A7056D">
        <w:rPr>
          <w:b/>
          <w:i/>
        </w:rPr>
        <w:t>Политика относно персонала</w:t>
      </w:r>
    </w:p>
    <w:p w:rsidR="00FD4A84" w:rsidRPr="00A7056D" w:rsidRDefault="00FD4A84" w:rsidP="00FD4A84">
      <w:pPr>
        <w:pStyle w:val="Normal12Hanging"/>
        <w:rPr>
          <w:szCs w:val="24"/>
        </w:rPr>
      </w:pPr>
      <w:r w:rsidRPr="00A7056D">
        <w:t>20.</w:t>
      </w:r>
      <w:r w:rsidRPr="00A7056D">
        <w:tab/>
        <w:t>приветства Агенцията, че към 31 декември 2022 г. щатното разписание е изпълнено на 100%, като са назначени 231 срочно наети служители от общо 231 разрешени работни места за тази категория служители съгласно бюджета на Съюза (спрямо 191 разрешени работни места през 2021 г.); отбелязва, че освен това през 2022 г. за Агенцията са работили 46 договорно наети служители и девет командировани национални експерти, като общият брой на служителите е достигнал 286 души;</w:t>
      </w:r>
    </w:p>
    <w:p w:rsidR="00FD4A84" w:rsidRPr="00A7056D" w:rsidRDefault="00FD4A84" w:rsidP="00FD4A84">
      <w:pPr>
        <w:pStyle w:val="Normal12Hanging"/>
        <w:rPr>
          <w:szCs w:val="24"/>
        </w:rPr>
      </w:pPr>
      <w:r w:rsidRPr="00A7056D">
        <w:t>21.</w:t>
      </w:r>
      <w:r w:rsidRPr="00A7056D">
        <w:tab/>
        <w:t>отбелязва със загриженост липсата на баланс между половете във висшето и средното ръководство на Агенцията, като и трите длъжности са заети от мъже; изразява съжаление относно липсата на баланс между половете сред членовете на Административния съвет на Агенцията, като 22 от общо 28 са мъже; отбелязва освен това баланса между половете сред служителите на Агенцията като цяло, като 153 от общо 232 са мъже; отбелязва въз основа на доклада на Агенцията относно последващите действия, предприети с оглед на освобождаването от отговорност във връзка с изпълнението на бюджета на Агенцията за финансовата 2021 година („доклада на Агенцията за последващите действия“), че през 2023 г. Агенцията е приела стратегия за многообразие и приобщаване, придружена от план за действие, който включва конкретни мерки за това как да се допринесе за многообразието и приобщаването, като са включени свързани с пола аспекти; отбелязва, че балансът между половете сред членовете на висшето и средното ръководство на Агенцията и на Административния съвет трябва да бъде подобрен; припомня, че е важно да се осигури баланс между половете, и призовава Агенцията да взема предвид този аспект при бъдещо набиране и назначение на служители, особено в рамките на висшето и средното си ръководство; настоява при номинирането на своите членове в Административния съвет на Агенцията Комисията и държавите членки да вземат предвид, че е важно да се осигури баланс между половете;</w:t>
      </w:r>
    </w:p>
    <w:p w:rsidR="00FD4A84" w:rsidRPr="00A7056D" w:rsidRDefault="00FD4A84" w:rsidP="00FD4A84">
      <w:pPr>
        <w:pStyle w:val="NormalHanging12a"/>
      </w:pPr>
      <w:r w:rsidRPr="00A7056D">
        <w:t>22.</w:t>
      </w:r>
      <w:r w:rsidRPr="00A7056D">
        <w:tab/>
        <w:t xml:space="preserve">отбелязва, че Агенцията прилага политика за защита на личното достойнство и предотвратяване на психическия и сексуалния тормоз, и че Агенцията участва в междуведомствената работна група от доверени съветници; очаква с нетърпение да получи техния доклад и препоръки; отбелязва, че през 2022 г. не са докладвани </w:t>
      </w:r>
      <w:r w:rsidRPr="00A7056D">
        <w:lastRenderedPageBreak/>
        <w:t>случаи на тормоз, и насърчава Агенцията да продължи и да доразвие работата си с цел предотвратяване на подобни случаи и в бъдеще;</w:t>
      </w:r>
    </w:p>
    <w:p w:rsidR="00FD4A84" w:rsidRPr="00A7056D" w:rsidRDefault="00FD4A84" w:rsidP="00FD4A84">
      <w:pPr>
        <w:pStyle w:val="Normal12Hanging"/>
        <w:rPr>
          <w:szCs w:val="24"/>
        </w:rPr>
      </w:pPr>
      <w:r w:rsidRPr="00A7056D">
        <w:t>23.</w:t>
      </w:r>
      <w:r w:rsidRPr="00A7056D">
        <w:tab/>
        <w:t>припомня във връзка с констатацията на Палатата от 2021 г. относно процедурните недостатъци в две одитирани процедури за набиране на персонал, че Агенцията е въвела допълнителни промени в своите процедури за подбор, че образците и инструкциите, предоставяни на членовете на комисиите за подбор, са изменени и че на членовете на комисиите за подбор се предоставят повече насоки при определянето на критериите за подбор, които да бъдат включени в обявленията за свободна длъжност; отбелязва освен това, че Палатата е счела тези подобрения за задоволителни, поради което констатацията е приключена;</w:t>
      </w:r>
    </w:p>
    <w:p w:rsidR="00FD4A84" w:rsidRPr="00A7056D" w:rsidRDefault="00FD4A84" w:rsidP="00FD4A84">
      <w:pPr>
        <w:pStyle w:val="Normal12Hanging"/>
        <w:rPr>
          <w:szCs w:val="24"/>
        </w:rPr>
      </w:pPr>
      <w:r w:rsidRPr="00A7056D">
        <w:t>24.</w:t>
      </w:r>
      <w:r w:rsidRPr="00A7056D">
        <w:tab/>
        <w:t>припомня, че Агенцията продължава да прилага последователното и постепенно намаляване на общия брой на длъжностите за договорно наети служители, за да постигне съответствие с предоставените ѝ общи ресурси; отбелязва, че в същото време Агенцията продължава да съсредоточава оставащите длъжности за договорно наети служители във функциите, свързани със сигурността и дейностите на Центъра за наблюдение на сигурността на „Галилео“; подчертава, че в това отношение Агенцията продължава да отбелязва, че съществуват рискове, свързани с намаляването на длъжностите за договорно наети служители, и че това действително изисква допълнително възлагане на дейности на външни изпълнители, което води до увеличаване на финансовите разходи и до развитие на компетентност и ноу-хау извън публичния сектор;</w:t>
      </w:r>
    </w:p>
    <w:p w:rsidR="00FD4A84" w:rsidRPr="00A7056D" w:rsidRDefault="00FD4A84" w:rsidP="00FD4A84">
      <w:pPr>
        <w:pStyle w:val="Normal12Hanging"/>
        <w:rPr>
          <w:szCs w:val="24"/>
        </w:rPr>
      </w:pPr>
      <w:r w:rsidRPr="00A7056D">
        <w:t>25.</w:t>
      </w:r>
      <w:r w:rsidRPr="00A7056D">
        <w:tab/>
        <w:t>припомня въз основа на доклада на Палатата констатацията от 2021 г. относно ограниченията, наложени от Агенцията на висш служител във връзка със заемането на нова длъжност в друга организация, без обаче да предостави обосновка за тези ограничения; отбелязва освен това, че тази констатация е приключена, Агенцията е преразгледала своите процедури, за да отстрани установения недостатък, а през 2022 г. не са констатирани подобни случаи;</w:t>
      </w:r>
    </w:p>
    <w:p w:rsidR="00FD4A84" w:rsidRPr="00A7056D" w:rsidRDefault="00FD4A84" w:rsidP="00FD4A84">
      <w:pPr>
        <w:pStyle w:val="Normal12Hanging"/>
        <w:rPr>
          <w:szCs w:val="24"/>
        </w:rPr>
      </w:pPr>
      <w:r w:rsidRPr="00A7056D">
        <w:t>26.</w:t>
      </w:r>
      <w:r w:rsidRPr="00A7056D">
        <w:tab/>
        <w:t>приветства факта, че през 2022 г. Агенцията изцяло е внедрила модула за управление на времето, включително за работа от разстояние и гъвкаво работно време, и е подписала допълнително споразумение за нивото на обслужване за модула за докладване и анализ на човешките ресурси, който ще бъде внедрен през 2023 г.; отбелязва, че Агенцията е приела решението на Комисията относно работното време и хиб</w:t>
      </w:r>
      <w:r w:rsidR="00007A80">
        <w:t>ридния модел на работа (C(2022)</w:t>
      </w:r>
      <w:r w:rsidRPr="00A7056D">
        <w:t>1778) и следи отблизо резултатите от това решение, което се очаква да подобри благосъстоянието на служителите на работното място и да улесни постигането на равновесие между професионалния и личния живот;</w:t>
      </w:r>
    </w:p>
    <w:p w:rsidR="00FD4A84" w:rsidRPr="00A7056D" w:rsidRDefault="00FD4A84" w:rsidP="00FD4A84">
      <w:pPr>
        <w:pStyle w:val="Normal12Hanging"/>
        <w:rPr>
          <w:szCs w:val="24"/>
        </w:rPr>
      </w:pPr>
      <w:r w:rsidRPr="00A7056D">
        <w:rPr>
          <w:b/>
          <w:i/>
        </w:rPr>
        <w:t>Обществени поръчки</w:t>
      </w:r>
    </w:p>
    <w:p w:rsidR="00FD4A84" w:rsidRPr="00A7056D" w:rsidRDefault="00FD4A84" w:rsidP="00FD4A84">
      <w:pPr>
        <w:pStyle w:val="Normal12Hanging"/>
        <w:rPr>
          <w:szCs w:val="24"/>
        </w:rPr>
      </w:pPr>
      <w:r w:rsidRPr="00A7056D">
        <w:t>27.</w:t>
      </w:r>
      <w:r w:rsidRPr="00A7056D">
        <w:tab/>
        <w:t xml:space="preserve">отбелязва въз основа на доклада на Палатата, че през септември 2021 г. Агенцията е стартирала процедура на договаряне без предварително публикуване на обявление за обществена поръчка с национален публичен орган за предоставяне на различни услуги във връзка с дейности по търсене и спасяване; подчертава, че оферентът вече е предоставял подобни услуги на Агенцията от 2016 г. насам и че Агенцията е планирала да сключи ново рамково споразумение с продължителност до 31 декември 2032 г. и максимален бюджет от 120 милиона евро; отбелязва, че окончателното рамково споразумение е подписано на 1 декември 2022 г. и </w:t>
      </w:r>
      <w:r w:rsidRPr="00A7056D">
        <w:lastRenderedPageBreak/>
        <w:t>предвижда участието на няколко подизпълнители; отбелязва, че Палатата е установила, че са налице някои несъответствия между изискванията в тръжните спецификации и анализа на комисията за оценка; отбелязва например, че изискването към изпълнителите да декларират липса на конфликт на интереси на етапа на оценяване е било отменено или не е било анализирано достатъчно задълбочено, а друг пример сочи, че в получената оферта 2022 година е използвана като референтна година при определянето на цените, вместо 2021 година, както е посочено в техническите спецификации; отбелязва становището на Агенцията, че несъответствията са обосновани от статута на главния изпълнител, който е национален публичен субект, и от проверките, извършени от последния, както и че по отношение на референтната година, използвана за определяне на цената в офертата, Агенцията е приела отклонението поради продължителността на процедурата, довела до сключването на договора в края на 2022 г.;</w:t>
      </w:r>
    </w:p>
    <w:p w:rsidR="00FD4A84" w:rsidRPr="00A7056D" w:rsidRDefault="00FD4A84" w:rsidP="00FD4A84">
      <w:pPr>
        <w:pStyle w:val="Normal12Hanging"/>
        <w:rPr>
          <w:szCs w:val="24"/>
        </w:rPr>
      </w:pPr>
      <w:r w:rsidRPr="00A7056D">
        <w:t>28.</w:t>
      </w:r>
      <w:r w:rsidRPr="00A7056D">
        <w:tab/>
        <w:t xml:space="preserve">подчертава, че целта на правилата за обществените поръчки е да се осигури възможност на възложителите да закупят необходимите им стоки и услуги на икономически най-изгодна цена, като се гарантира лоялна конкуренция между кандидатите и се зачитат принципите на прозрачност, пропорционалност, равно третиране и </w:t>
      </w:r>
      <w:proofErr w:type="spellStart"/>
      <w:r w:rsidRPr="00A7056D">
        <w:t>недискриминация</w:t>
      </w:r>
      <w:proofErr w:type="spellEnd"/>
      <w:r w:rsidRPr="00A7056D">
        <w:t>; призовава Агенцията да усъвършенства допълнително своите процедури за възлагане на обществени поръчки, за да осигури пълно спазване на приложимите правила, така че да се постига най-добро съотношение между цена и качество;</w:t>
      </w:r>
    </w:p>
    <w:p w:rsidR="00FD4A84" w:rsidRPr="00A7056D" w:rsidRDefault="00FD4A84" w:rsidP="00FD4A84">
      <w:pPr>
        <w:pStyle w:val="Normal12Hanging"/>
        <w:rPr>
          <w:b/>
          <w:i/>
          <w:szCs w:val="24"/>
        </w:rPr>
      </w:pPr>
      <w:r w:rsidRPr="00A7056D">
        <w:rPr>
          <w:b/>
          <w:i/>
        </w:rPr>
        <w:t>Предотвратяване и управление на конфликти на интереси и прозрачност</w:t>
      </w:r>
    </w:p>
    <w:p w:rsidR="00FD4A84" w:rsidRPr="00A7056D" w:rsidRDefault="00FD4A84" w:rsidP="00FD4A84">
      <w:pPr>
        <w:pStyle w:val="Normal12Hanging"/>
        <w:rPr>
          <w:szCs w:val="24"/>
        </w:rPr>
      </w:pPr>
      <w:r w:rsidRPr="00A7056D">
        <w:t>29.</w:t>
      </w:r>
      <w:r w:rsidRPr="00A7056D">
        <w:tab/>
        <w:t>отбелязва, че Агенцията е извършила широка оценка на изпълнението на своята стратегия за борба с измамите през 2020 г. и съответно през 2022 г. Агенцията е публикувала своята нова стратегия за борба с измамите, която е била приета от Административния съвет на Агенцията; отбелязва, че Агенцията вече започва да я прилага, като основните и обхватните мерки засягат по-специално нейните служители; отбелязва със задоволство, че декларациите за интереси и автобиографиите на членовете на Административния съвет и на висшето ръководство са публикувани на уебсайта на Агенцията;</w:t>
      </w:r>
    </w:p>
    <w:p w:rsidR="00FD4A84" w:rsidRPr="00A7056D" w:rsidRDefault="00FD4A84" w:rsidP="00FD4A84">
      <w:pPr>
        <w:pStyle w:val="Normal12Hanging"/>
      </w:pPr>
      <w:r w:rsidRPr="00A7056D">
        <w:t>30.</w:t>
      </w:r>
      <w:r w:rsidRPr="00A7056D">
        <w:tab/>
        <w:t>отбелязва, че през 2022 г. Агенцията е имала един случай на подаване на сигнал за нередности, който е довел до няколко разследвания, някои от които все още в ход през 2023 г.; призовава Агенцията да докладва на органа по освобождаване от отговорност за развитието по този въпрос; отбелязва въз основа на доклада на Агенцията за последващите действия за 2021 г., че във връзка със случая на подаден сигнал за нередности от 2021 г. Агенцията е сътрудничила надлежно на OLAF, като е предоставила цялата налична информация според изискванията; отбелязва, че през 2022 г. не са разследвани или приключени случаи на конфликт на интереси;</w:t>
      </w:r>
    </w:p>
    <w:p w:rsidR="00FD4A84" w:rsidRPr="00A7056D" w:rsidRDefault="00FD4A84" w:rsidP="00FD4A84">
      <w:pPr>
        <w:pStyle w:val="Normal12Hanging"/>
      </w:pPr>
      <w:r w:rsidRPr="00A7056D">
        <w:t>31.</w:t>
      </w:r>
      <w:r w:rsidRPr="00A7056D">
        <w:tab/>
        <w:t>отбелязва факта, че се води вътрешен регистър за срещите на висшето ръководство с представители на сектора, но той не се публикува на уебстраницата на Агенцията; подчертава значението на прозрачността и призовава Агенцията да го публикува незабавно;</w:t>
      </w:r>
    </w:p>
    <w:p w:rsidR="00FD4A84" w:rsidRPr="00A7056D" w:rsidRDefault="00FD4A84" w:rsidP="00FD4A84">
      <w:pPr>
        <w:pStyle w:val="Normal12Hanging"/>
        <w:rPr>
          <w:szCs w:val="24"/>
        </w:rPr>
      </w:pPr>
      <w:r w:rsidRPr="00A7056D">
        <w:t>32.</w:t>
      </w:r>
      <w:r w:rsidRPr="00A7056D">
        <w:tab/>
        <w:t xml:space="preserve">настоява, че е необходимо да се продължи работата в областта на прозрачността, </w:t>
      </w:r>
      <w:r w:rsidRPr="00A7056D">
        <w:lastRenderedPageBreak/>
        <w:t>несъответствията, конфликтите на интереси, незаконното лобиране и кадровата въртележка между държавния и частния сектор;</w:t>
      </w:r>
    </w:p>
    <w:p w:rsidR="00FD4A84" w:rsidRPr="00A7056D" w:rsidRDefault="00FD4A84" w:rsidP="00FD4A84">
      <w:pPr>
        <w:pStyle w:val="NormalHanging12a"/>
      </w:pPr>
      <w:r w:rsidRPr="00A7056D">
        <w:t>33.</w:t>
      </w:r>
      <w:r w:rsidRPr="00A7056D">
        <w:tab/>
        <w:t>припомня, че е важно Агенцията да работи за постигането на по-голяма видимост в медиите, в интернет и в социалните медии, за да популяризира своята работа сред гражданите;</w:t>
      </w:r>
    </w:p>
    <w:p w:rsidR="00FD4A84" w:rsidRPr="00A7056D" w:rsidRDefault="00FD4A84" w:rsidP="00FD4A84">
      <w:pPr>
        <w:pStyle w:val="Normal12Hanging"/>
        <w:rPr>
          <w:szCs w:val="24"/>
        </w:rPr>
      </w:pPr>
      <w:r w:rsidRPr="00A7056D">
        <w:rPr>
          <w:b/>
          <w:i/>
        </w:rPr>
        <w:t>Други коментари</w:t>
      </w:r>
    </w:p>
    <w:p w:rsidR="00FD4A84" w:rsidRDefault="00FD4A84" w:rsidP="001C730D">
      <w:pPr>
        <w:pStyle w:val="NormalCenter12a"/>
        <w:ind w:left="567" w:hanging="567"/>
        <w:jc w:val="left"/>
      </w:pPr>
      <w:r w:rsidRPr="00A7056D">
        <w:t>34.</w:t>
      </w:r>
      <w:r w:rsidRPr="00A7056D">
        <w:tab/>
        <w:t xml:space="preserve">приветства Агенцията за това, че продължава да бъде активна на най-големите платформи на социалните медии, за създаването на профили в каналите на социалните медии на Съюза </w:t>
      </w:r>
      <w:proofErr w:type="spellStart"/>
      <w:r w:rsidRPr="00A7056D">
        <w:rPr>
          <w:i/>
          <w:iCs/>
        </w:rPr>
        <w:t>Mastodon</w:t>
      </w:r>
      <w:proofErr w:type="spellEnd"/>
      <w:r w:rsidRPr="00A7056D">
        <w:t xml:space="preserve"> и </w:t>
      </w:r>
      <w:proofErr w:type="spellStart"/>
      <w:r w:rsidRPr="00A7056D">
        <w:rPr>
          <w:i/>
          <w:iCs/>
        </w:rPr>
        <w:t>Peertube</w:t>
      </w:r>
      <w:proofErr w:type="spellEnd"/>
      <w:r w:rsidRPr="00A7056D">
        <w:t xml:space="preserve">, съобразени с правото на неприкосновеност на личния живот, за публикуването на 107 новини на своя уебсайт и на 13 съобщения за медиите (повечето от които на всички официални езици на ЕС), като целта е да се достигне до всички държави членки; отбелязва освен това, че Агенцията е организирала прояви като Седмица на ЕС на космическото пространство (3 000 посетители на място и онлайн), Дни на отворените врати на Агенцията на Европейския съюз за космическата програма, </w:t>
      </w:r>
      <w:proofErr w:type="spellStart"/>
      <w:r w:rsidRPr="00A7056D">
        <w:t>хакатони</w:t>
      </w:r>
      <w:proofErr w:type="spellEnd"/>
      <w:r w:rsidRPr="00A7056D">
        <w:t xml:space="preserve"> CASSINI, информационни сесии „Хоризонт Европа“ и многобройни уебинари относно възможностите за възлагане на обществени поръчки;</w:t>
      </w:r>
    </w:p>
    <w:p w:rsidR="001C730D" w:rsidRDefault="001C730D" w:rsidP="001C730D">
      <w:pPr>
        <w:pStyle w:val="NormalCenter12a"/>
        <w:widowControl/>
      </w:pPr>
      <w:r>
        <w:t>°</w:t>
      </w:r>
    </w:p>
    <w:p w:rsidR="001C730D" w:rsidRDefault="001C730D" w:rsidP="001C730D">
      <w:pPr>
        <w:pStyle w:val="NormalCenter12a"/>
        <w:widowControl/>
      </w:pPr>
      <w:r>
        <w:t>°     °</w:t>
      </w:r>
    </w:p>
    <w:p w:rsidR="00FD4A84" w:rsidRPr="00A7056D" w:rsidRDefault="00FD4A84" w:rsidP="00FD4A84">
      <w:pPr>
        <w:pStyle w:val="NormalHanging12a"/>
      </w:pPr>
      <w:r w:rsidRPr="00A7056D">
        <w:t>35.</w:t>
      </w:r>
      <w:r w:rsidRPr="00A7056D">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8049D4">
        <w:t>11 април 2024 г.</w:t>
      </w:r>
      <w:r w:rsidRPr="00A7056D">
        <w:rPr>
          <w:rStyle w:val="FootnoteReference"/>
        </w:rPr>
        <w:footnoteReference w:id="12"/>
      </w:r>
      <w:r w:rsidRPr="00A7056D">
        <w:t xml:space="preserve"> относно резултатите от дейността, финансовото управление и контрола на агенциите.</w:t>
      </w:r>
    </w:p>
    <w:p w:rsidR="00E365E1" w:rsidRPr="00A7056D" w:rsidRDefault="00E365E1" w:rsidP="00D46B00">
      <w:bookmarkStart w:id="11" w:name="TextBodyEnd"/>
      <w:bookmarkEnd w:id="11"/>
    </w:p>
    <w:sectPr w:rsidR="00E365E1" w:rsidRPr="00A7056D" w:rsidSect="00A7056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00" w:rsidRPr="00A7056D" w:rsidRDefault="00D46B00">
      <w:r w:rsidRPr="00A7056D">
        <w:separator/>
      </w:r>
    </w:p>
  </w:endnote>
  <w:endnote w:type="continuationSeparator" w:id="0">
    <w:p w:rsidR="00D46B00" w:rsidRPr="00A7056D" w:rsidRDefault="00D46B00">
      <w:r w:rsidRPr="00A70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A84" w:rsidRPr="00A7056D" w:rsidRDefault="00FD4A84" w:rsidP="005135AC">
    <w:pPr>
      <w:pStyle w:val="EPFooter"/>
    </w:pPr>
    <w:r w:rsidRPr="00A7056D">
      <w:t>PE</w:t>
    </w:r>
    <w:r w:rsidRPr="00A7056D">
      <w:rPr>
        <w:rStyle w:val="HideTWBExt"/>
      </w:rPr>
      <w:t>&lt;</w:t>
    </w:r>
    <w:proofErr w:type="spellStart"/>
    <w:r w:rsidRPr="00A7056D">
      <w:rPr>
        <w:rStyle w:val="HideTWBExt"/>
      </w:rPr>
      <w:t>NoPE</w:t>
    </w:r>
    <w:proofErr w:type="spellEnd"/>
    <w:r w:rsidRPr="00A7056D">
      <w:rPr>
        <w:rStyle w:val="HideTWBExt"/>
      </w:rPr>
      <w:t>&gt;</w:t>
    </w:r>
    <w:r w:rsidRPr="00A7056D">
      <w:t>753.541</w:t>
    </w:r>
    <w:r w:rsidRPr="00A7056D">
      <w:rPr>
        <w:rStyle w:val="HideTWBExt"/>
      </w:rPr>
      <w:t>&lt;/</w:t>
    </w:r>
    <w:proofErr w:type="spellStart"/>
    <w:r w:rsidRPr="00A7056D">
      <w:rPr>
        <w:rStyle w:val="HideTWBExt"/>
      </w:rPr>
      <w:t>NoPE</w:t>
    </w:r>
    <w:proofErr w:type="spellEnd"/>
    <w:r w:rsidRPr="00A7056D">
      <w:rPr>
        <w:rStyle w:val="HideTWBExt"/>
      </w:rPr>
      <w:t>&gt;&lt;Version&gt;</w:t>
    </w:r>
    <w:r w:rsidRPr="00A7056D">
      <w:t>v03-00</w:t>
    </w:r>
    <w:r w:rsidRPr="00A7056D">
      <w:rPr>
        <w:rStyle w:val="HideTWBExt"/>
      </w:rPr>
      <w:t>&lt;/</w:t>
    </w:r>
    <w:proofErr w:type="spellStart"/>
    <w:r w:rsidRPr="00A7056D">
      <w:rPr>
        <w:rStyle w:val="HideTWBExt"/>
      </w:rPr>
      <w:t>Version</w:t>
    </w:r>
    <w:proofErr w:type="spellEnd"/>
    <w:r w:rsidRPr="00A7056D">
      <w:rPr>
        <w:rStyle w:val="HideTWBExt"/>
      </w:rPr>
      <w:t>&gt;</w:t>
    </w:r>
    <w:r w:rsidRPr="00A7056D">
      <w:tab/>
    </w:r>
    <w:r w:rsidRPr="00A7056D">
      <w:fldChar w:fldCharType="begin"/>
    </w:r>
    <w:r w:rsidRPr="00A7056D">
      <w:instrText xml:space="preserve"> PAGE  \* MERGEFORMAT </w:instrText>
    </w:r>
    <w:r w:rsidRPr="00A7056D">
      <w:fldChar w:fldCharType="separate"/>
    </w:r>
    <w:r w:rsidR="00A7056D" w:rsidRPr="00A7056D">
      <w:rPr>
        <w:noProof/>
      </w:rPr>
      <w:t>2</w:t>
    </w:r>
    <w:r w:rsidRPr="00A7056D">
      <w:fldChar w:fldCharType="end"/>
    </w:r>
    <w:r w:rsidRPr="00A7056D">
      <w:t>/</w:t>
    </w:r>
    <w:fldSimple w:instr=" NUMPAGES  \* MERGEFORMAT ">
      <w:r w:rsidR="00A7056D" w:rsidRPr="00A7056D">
        <w:rPr>
          <w:noProof/>
        </w:rPr>
        <w:t>4</w:t>
      </w:r>
    </w:fldSimple>
    <w:r w:rsidRPr="00A7056D">
      <w:tab/>
    </w:r>
    <w:r w:rsidRPr="00A7056D">
      <w:rPr>
        <w:rStyle w:val="HideTWBExt"/>
      </w:rPr>
      <w:t>&lt;PathFdR&gt;</w:t>
    </w:r>
    <w:r w:rsidRPr="00A7056D">
      <w:t>RR\1299048BG.docx</w:t>
    </w:r>
    <w:r w:rsidRPr="00A7056D">
      <w:rPr>
        <w:rStyle w:val="HideTWBExt"/>
      </w:rPr>
      <w:t>&lt;/</w:t>
    </w:r>
    <w:proofErr w:type="spellStart"/>
    <w:r w:rsidRPr="00A7056D">
      <w:rPr>
        <w:rStyle w:val="HideTWBExt"/>
      </w:rPr>
      <w:t>PathFdR</w:t>
    </w:r>
    <w:proofErr w:type="spellEnd"/>
    <w:r w:rsidRPr="00A7056D">
      <w:rPr>
        <w:rStyle w:val="HideTWBExt"/>
      </w:rPr>
      <w:t>&gt;</w:t>
    </w:r>
  </w:p>
  <w:p w:rsidR="00FD4A84" w:rsidRPr="00A7056D" w:rsidRDefault="00FD4A84" w:rsidP="005135AC">
    <w:pPr>
      <w:pStyle w:val="EPFooter2"/>
    </w:pPr>
    <w:r w:rsidRPr="00A7056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A84" w:rsidRPr="00A7056D" w:rsidRDefault="00FD4A84" w:rsidP="005135AC">
    <w:pPr>
      <w:pStyle w:val="EPFooter"/>
    </w:pPr>
    <w:r w:rsidRPr="00A7056D">
      <w:rPr>
        <w:rStyle w:val="HideTWBExt"/>
      </w:rPr>
      <w:t>&lt;PathFdR&gt;</w:t>
    </w:r>
    <w:r w:rsidRPr="00A7056D">
      <w:t>RR\1299048BG.docx</w:t>
    </w:r>
    <w:r w:rsidRPr="00A7056D">
      <w:rPr>
        <w:rStyle w:val="HideTWBExt"/>
      </w:rPr>
      <w:t>&lt;/</w:t>
    </w:r>
    <w:proofErr w:type="spellStart"/>
    <w:r w:rsidRPr="00A7056D">
      <w:rPr>
        <w:rStyle w:val="HideTWBExt"/>
      </w:rPr>
      <w:t>PathFdR</w:t>
    </w:r>
    <w:proofErr w:type="spellEnd"/>
    <w:r w:rsidRPr="00A7056D">
      <w:rPr>
        <w:rStyle w:val="HideTWBExt"/>
      </w:rPr>
      <w:t>&gt;</w:t>
    </w:r>
    <w:r w:rsidRPr="00A7056D">
      <w:tab/>
    </w:r>
    <w:r w:rsidRPr="00A7056D">
      <w:tab/>
      <w:t>PE</w:t>
    </w:r>
    <w:r w:rsidRPr="00A7056D">
      <w:rPr>
        <w:rStyle w:val="HideTWBExt"/>
      </w:rPr>
      <w:t>&lt;</w:t>
    </w:r>
    <w:proofErr w:type="spellStart"/>
    <w:r w:rsidRPr="00A7056D">
      <w:rPr>
        <w:rStyle w:val="HideTWBExt"/>
      </w:rPr>
      <w:t>NoPE</w:t>
    </w:r>
    <w:proofErr w:type="spellEnd"/>
    <w:r w:rsidRPr="00A7056D">
      <w:rPr>
        <w:rStyle w:val="HideTWBExt"/>
      </w:rPr>
      <w:t>&gt;</w:t>
    </w:r>
    <w:r w:rsidRPr="00A7056D">
      <w:t>753.541</w:t>
    </w:r>
    <w:r w:rsidRPr="00A7056D">
      <w:rPr>
        <w:rStyle w:val="HideTWBExt"/>
      </w:rPr>
      <w:t>&lt;/</w:t>
    </w:r>
    <w:proofErr w:type="spellStart"/>
    <w:r w:rsidRPr="00A7056D">
      <w:rPr>
        <w:rStyle w:val="HideTWBExt"/>
      </w:rPr>
      <w:t>NoPE</w:t>
    </w:r>
    <w:proofErr w:type="spellEnd"/>
    <w:r w:rsidRPr="00A7056D">
      <w:rPr>
        <w:rStyle w:val="HideTWBExt"/>
      </w:rPr>
      <w:t>&gt;&lt;Version&gt;</w:t>
    </w:r>
    <w:r w:rsidRPr="00A7056D">
      <w:t>v03-00</w:t>
    </w:r>
    <w:r w:rsidRPr="00A7056D">
      <w:rPr>
        <w:rStyle w:val="HideTWBExt"/>
      </w:rPr>
      <w:t>&lt;/</w:t>
    </w:r>
    <w:proofErr w:type="spellStart"/>
    <w:r w:rsidRPr="00A7056D">
      <w:rPr>
        <w:rStyle w:val="HideTWBExt"/>
      </w:rPr>
      <w:t>Version</w:t>
    </w:r>
    <w:proofErr w:type="spellEnd"/>
    <w:r w:rsidRPr="00A7056D">
      <w:rPr>
        <w:rStyle w:val="HideTWBExt"/>
      </w:rPr>
      <w:t>&gt;</w:t>
    </w:r>
  </w:p>
  <w:p w:rsidR="00FD4A84" w:rsidRPr="00A7056D" w:rsidRDefault="00FD4A84" w:rsidP="005135AC">
    <w:pPr>
      <w:pStyle w:val="EPFooter2"/>
    </w:pPr>
    <w:r w:rsidRPr="00A7056D">
      <w:t>BG</w:t>
    </w:r>
    <w:r w:rsidRPr="00A7056D">
      <w:tab/>
    </w:r>
    <w:r w:rsidRPr="00A7056D">
      <w:rPr>
        <w:b w:val="0"/>
        <w:i/>
        <w:color w:val="C0C0C0"/>
        <w:sz w:val="22"/>
      </w:rPr>
      <w:t>Единство в многообразието</w:t>
    </w:r>
    <w:r w:rsidRPr="00A7056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00" w:rsidRPr="00A7056D" w:rsidRDefault="00D46B00">
      <w:r w:rsidRPr="00A7056D">
        <w:separator/>
      </w:r>
    </w:p>
  </w:footnote>
  <w:footnote w:type="continuationSeparator" w:id="0">
    <w:p w:rsidR="00D46B00" w:rsidRPr="00A7056D" w:rsidRDefault="00D46B00">
      <w:r w:rsidRPr="00A7056D">
        <w:continuationSeparator/>
      </w:r>
    </w:p>
  </w:footnote>
  <w:footnote w:id="1">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C, C/2023/594, 27.10.2023 г.</w:t>
      </w:r>
    </w:p>
  </w:footnote>
  <w:footnote w:id="2">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C, C/2023/112, 12.10.2023 г.</w:t>
      </w:r>
    </w:p>
  </w:footnote>
  <w:footnote w:id="3">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193, 30.7.2018 г., стр. 1.</w:t>
      </w:r>
    </w:p>
  </w:footnote>
  <w:footnote w:id="4">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170, 12.5.2021 г., стр. 69.</w:t>
      </w:r>
    </w:p>
  </w:footnote>
  <w:footnote w:id="5">
    <w:p w:rsidR="00FD4A84" w:rsidRPr="00A7056D" w:rsidRDefault="00FD4A84" w:rsidP="00A7056D">
      <w:pPr>
        <w:pStyle w:val="FootnoteText"/>
        <w:ind w:left="567" w:hanging="567"/>
        <w:rPr>
          <w:sz w:val="24"/>
          <w:szCs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122, 10.5.2019 г., стр. 1.</w:t>
      </w:r>
    </w:p>
  </w:footnote>
  <w:footnote w:id="6">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C, C/2023/594, 27.10.2023 г.</w:t>
      </w:r>
    </w:p>
  </w:footnote>
  <w:footnote w:id="7">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C, C/2023/112, 12.10.2023 г.</w:t>
      </w:r>
    </w:p>
  </w:footnote>
  <w:footnote w:id="8">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193, 30.7.2018 г., стр. 1.</w:t>
      </w:r>
    </w:p>
  </w:footnote>
  <w:footnote w:id="9">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170, 12.5.2021 г., стр. 69.</w:t>
      </w:r>
    </w:p>
  </w:footnote>
  <w:footnote w:id="10">
    <w:p w:rsidR="00FD4A84" w:rsidRPr="00A7056D" w:rsidRDefault="00FD4A84" w:rsidP="00A7056D">
      <w:pPr>
        <w:pStyle w:val="FootnoteText"/>
        <w:ind w:left="567" w:hanging="567"/>
        <w:rPr>
          <w:sz w:val="24"/>
          <w:szCs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L 122, 10.5.2019 г., стр. 1.</w:t>
      </w:r>
    </w:p>
  </w:footnote>
  <w:footnote w:id="11">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ОВ C </w:t>
      </w:r>
      <w:r w:rsidRPr="00A7056D">
        <w:rPr>
          <w:sz w:val="24"/>
          <w:lang w:val="bg-BG"/>
        </w:rPr>
        <w:t>453</w:t>
      </w:r>
      <w:bookmarkStart w:id="10" w:name="_GoBack"/>
      <w:bookmarkEnd w:id="10"/>
      <w:r w:rsidRPr="00A7056D">
        <w:rPr>
          <w:sz w:val="24"/>
          <w:lang w:val="bg-BG"/>
        </w:rPr>
        <w:t>, 29.11.2022 г., стр. 56.</w:t>
      </w:r>
    </w:p>
  </w:footnote>
  <w:footnote w:id="12">
    <w:p w:rsidR="00FD4A84" w:rsidRPr="00A7056D" w:rsidRDefault="00FD4A84" w:rsidP="00A7056D">
      <w:pPr>
        <w:pStyle w:val="FootnoteText"/>
        <w:ind w:left="567" w:hanging="567"/>
        <w:rPr>
          <w:sz w:val="24"/>
          <w:lang w:val="bg-BG"/>
        </w:rPr>
      </w:pPr>
      <w:r w:rsidRPr="00A7056D">
        <w:rPr>
          <w:rStyle w:val="FootnoteReference"/>
          <w:sz w:val="24"/>
          <w:lang w:val="bg-BG"/>
        </w:rPr>
        <w:footnoteRef/>
      </w:r>
      <w:r w:rsidR="00A7056D" w:rsidRPr="00A7056D">
        <w:rPr>
          <w:sz w:val="24"/>
          <w:lang w:val="bg-BG"/>
        </w:rPr>
        <w:t xml:space="preserve"> </w:t>
      </w:r>
      <w:r w:rsidR="00A7056D" w:rsidRPr="00A7056D">
        <w:rPr>
          <w:sz w:val="24"/>
          <w:lang w:val="bg-BG"/>
        </w:rPr>
        <w:tab/>
      </w:r>
      <w:r w:rsidRPr="00A7056D">
        <w:rPr>
          <w:sz w:val="24"/>
          <w:lang w:val="bg-BG"/>
        </w:rPr>
        <w:t>Приети текстове, P9_TA(2024)</w:t>
      </w:r>
      <w:r w:rsidR="006A68A1" w:rsidRPr="00635445">
        <w:rPr>
          <w:sz w:val="24"/>
          <w:lang w:val="bg-BG"/>
        </w:rPr>
        <w:t>0</w:t>
      </w:r>
      <w:r w:rsidR="006A68A1">
        <w:rPr>
          <w:sz w:val="24"/>
          <w:lang w:val="en-GB"/>
        </w:rPr>
        <w:t>28</w:t>
      </w:r>
      <w:r w:rsidR="006A68A1" w:rsidRPr="00635445">
        <w:rPr>
          <w:sz w:val="24"/>
          <w:lang w:val="bg-BG"/>
        </w:rPr>
        <w:t>0</w:t>
      </w:r>
      <w:r w:rsidRPr="00A7056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05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BG"/>
    <w:docVar w:name="dvnumam" w:val="0"/>
    <w:docVar w:name="dvpe" w:val="753.541"/>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космическата програма за финансовата 2022 година(2023/2170(DEC))"/>
  </w:docVars>
  <w:rsids>
    <w:rsidRoot w:val="00D46B00"/>
    <w:rsid w:val="00002272"/>
    <w:rsid w:val="00007A80"/>
    <w:rsid w:val="00064002"/>
    <w:rsid w:val="000677B9"/>
    <w:rsid w:val="000831BA"/>
    <w:rsid w:val="000A42CC"/>
    <w:rsid w:val="000E7DD9"/>
    <w:rsid w:val="0010095E"/>
    <w:rsid w:val="00125B37"/>
    <w:rsid w:val="00187494"/>
    <w:rsid w:val="001C730D"/>
    <w:rsid w:val="001F32AE"/>
    <w:rsid w:val="002767FF"/>
    <w:rsid w:val="002B18FE"/>
    <w:rsid w:val="002B5493"/>
    <w:rsid w:val="00343214"/>
    <w:rsid w:val="00361C00"/>
    <w:rsid w:val="00395FA1"/>
    <w:rsid w:val="003B2025"/>
    <w:rsid w:val="003E15D4"/>
    <w:rsid w:val="00411CCE"/>
    <w:rsid w:val="0041666E"/>
    <w:rsid w:val="00421060"/>
    <w:rsid w:val="0044484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68A1"/>
    <w:rsid w:val="006F74FA"/>
    <w:rsid w:val="00731ADD"/>
    <w:rsid w:val="00734777"/>
    <w:rsid w:val="00747932"/>
    <w:rsid w:val="00751A4A"/>
    <w:rsid w:val="00756632"/>
    <w:rsid w:val="00762C74"/>
    <w:rsid w:val="00786EC0"/>
    <w:rsid w:val="007D1690"/>
    <w:rsid w:val="007E22AD"/>
    <w:rsid w:val="008049D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56D"/>
    <w:rsid w:val="00A778C7"/>
    <w:rsid w:val="00AB441E"/>
    <w:rsid w:val="00AB6293"/>
    <w:rsid w:val="00AE0928"/>
    <w:rsid w:val="00AF3B82"/>
    <w:rsid w:val="00B052A5"/>
    <w:rsid w:val="00B12E95"/>
    <w:rsid w:val="00B22876"/>
    <w:rsid w:val="00B558F0"/>
    <w:rsid w:val="00BD48FE"/>
    <w:rsid w:val="00BD7BD8"/>
    <w:rsid w:val="00BE6ADC"/>
    <w:rsid w:val="00C05BFE"/>
    <w:rsid w:val="00C23CD4"/>
    <w:rsid w:val="00C61C0C"/>
    <w:rsid w:val="00C941CB"/>
    <w:rsid w:val="00CC2357"/>
    <w:rsid w:val="00CF071A"/>
    <w:rsid w:val="00D058B8"/>
    <w:rsid w:val="00D46B0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A8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8EAFBE-2CE9-4350-BAE5-5C0125A1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4A8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4A84"/>
    <w:pPr>
      <w:spacing w:before="480" w:after="240"/>
    </w:pPr>
  </w:style>
  <w:style w:type="paragraph" w:customStyle="1" w:styleId="PageHeading">
    <w:name w:val="PageHeading"/>
    <w:basedOn w:val="Normal"/>
    <w:rsid w:val="00FD4A84"/>
    <w:pPr>
      <w:keepNext/>
      <w:spacing w:after="480"/>
      <w:jc w:val="center"/>
    </w:pPr>
    <w:rPr>
      <w:rFonts w:ascii="Arial" w:hAnsi="Arial" w:cs="Arial"/>
      <w:b/>
    </w:rPr>
  </w:style>
  <w:style w:type="paragraph" w:customStyle="1" w:styleId="NormalBold">
    <w:name w:val="NormalBold"/>
    <w:basedOn w:val="Normal"/>
    <w:rsid w:val="00FD4A84"/>
    <w:rPr>
      <w:b/>
    </w:rPr>
  </w:style>
  <w:style w:type="paragraph" w:customStyle="1" w:styleId="NormalHanging12a">
    <w:name w:val="NormalHanging12a"/>
    <w:basedOn w:val="Normal"/>
    <w:link w:val="NormalHanging12aChar"/>
    <w:rsid w:val="00FD4A84"/>
    <w:pPr>
      <w:spacing w:after="240"/>
      <w:ind w:left="567" w:hanging="567"/>
    </w:pPr>
  </w:style>
  <w:style w:type="paragraph" w:customStyle="1" w:styleId="NormalCenter12a">
    <w:name w:val="NormalCenter12a"/>
    <w:basedOn w:val="Normal"/>
    <w:rsid w:val="00FD4A84"/>
    <w:pPr>
      <w:spacing w:after="240"/>
      <w:jc w:val="center"/>
    </w:pPr>
  </w:style>
  <w:style w:type="paragraph" w:styleId="Header">
    <w:name w:val="header"/>
    <w:basedOn w:val="Normal"/>
    <w:link w:val="HeaderChar"/>
    <w:rsid w:val="00FD4A84"/>
    <w:pPr>
      <w:tabs>
        <w:tab w:val="center" w:pos="4513"/>
        <w:tab w:val="right" w:pos="9026"/>
      </w:tabs>
    </w:pPr>
  </w:style>
  <w:style w:type="character" w:customStyle="1" w:styleId="HeaderChar">
    <w:name w:val="Header Char"/>
    <w:basedOn w:val="DefaultParagraphFont"/>
    <w:link w:val="Header"/>
    <w:rsid w:val="00FD4A84"/>
    <w:rPr>
      <w:sz w:val="24"/>
      <w:lang w:val="bg-BG"/>
    </w:rPr>
  </w:style>
  <w:style w:type="paragraph" w:customStyle="1" w:styleId="EPFooter">
    <w:name w:val="EPFooter"/>
    <w:basedOn w:val="Normal"/>
    <w:rsid w:val="00FD4A84"/>
    <w:pPr>
      <w:tabs>
        <w:tab w:val="center" w:pos="4535"/>
        <w:tab w:val="right" w:pos="9071"/>
      </w:tabs>
      <w:spacing w:before="240" w:after="240"/>
    </w:pPr>
    <w:rPr>
      <w:color w:val="010000"/>
      <w:sz w:val="22"/>
    </w:rPr>
  </w:style>
  <w:style w:type="paragraph" w:customStyle="1" w:styleId="Normal12Hanging">
    <w:name w:val="Normal12Hanging"/>
    <w:basedOn w:val="Normal"/>
    <w:rsid w:val="00FD4A84"/>
    <w:pPr>
      <w:spacing w:after="240"/>
      <w:ind w:left="567" w:hanging="567"/>
    </w:pPr>
  </w:style>
  <w:style w:type="character" w:customStyle="1" w:styleId="NormalHanging12aChar">
    <w:name w:val="NormalHanging12a Char"/>
    <w:basedOn w:val="DefaultParagraphFont"/>
    <w:link w:val="NormalHanging12a"/>
    <w:rsid w:val="00FD4A84"/>
    <w:rPr>
      <w:sz w:val="24"/>
      <w:lang w:val="bg-BG"/>
    </w:rPr>
  </w:style>
  <w:style w:type="paragraph" w:styleId="Footer">
    <w:name w:val="footer"/>
    <w:basedOn w:val="Normal"/>
    <w:link w:val="FooterChar"/>
    <w:rsid w:val="001C730D"/>
    <w:pPr>
      <w:tabs>
        <w:tab w:val="center" w:pos="4513"/>
        <w:tab w:val="right" w:pos="9026"/>
      </w:tabs>
    </w:pPr>
  </w:style>
  <w:style w:type="character" w:customStyle="1" w:styleId="FooterChar">
    <w:name w:val="Footer Char"/>
    <w:basedOn w:val="DefaultParagraphFont"/>
    <w:link w:val="Footer"/>
    <w:rsid w:val="001C730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47042-14BD-46B6-91F5-8B6B489B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4278</Words>
  <Characters>24748</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2024-05-22T12:40:00Z</dcterms:created>
  <dcterms:modified xsi:type="dcterms:W3CDTF">2024-05-22T12:40:00Z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P9_TA(2024)0256_</vt:lpwstr>
  </property>
  <property fmtid="{D5CDD505-2E9C-101B-9397-08002B2CF9AE}" pid="4" name="&lt;Type&gt;">
    <vt:lpwstr>RR</vt:lpwstr>
  </property>
</Properties>
</file>