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87FB7" w14:paraId="0610597A" w14:textId="77777777" w:rsidTr="0010095E">
        <w:trPr>
          <w:trHeight w:hRule="exact" w:val="1418"/>
        </w:trPr>
        <w:tc>
          <w:tcPr>
            <w:tcW w:w="6804" w:type="dxa"/>
            <w:shd w:val="clear" w:color="auto" w:fill="auto"/>
            <w:vAlign w:val="center"/>
          </w:tcPr>
          <w:p w14:paraId="3278B18A" w14:textId="77777777" w:rsidR="00751A4A" w:rsidRPr="00F87FB7" w:rsidRDefault="006751B2" w:rsidP="0010095E">
            <w:pPr>
              <w:pStyle w:val="EPName"/>
            </w:pPr>
            <w:r w:rsidRPr="00F87FB7">
              <w:t>Europa-Parlamentet</w:t>
            </w:r>
          </w:p>
          <w:p w14:paraId="5B3FB820" w14:textId="77777777" w:rsidR="00751A4A" w:rsidRPr="00F87FB7" w:rsidRDefault="00817416" w:rsidP="00756632">
            <w:pPr>
              <w:pStyle w:val="EPTerm"/>
              <w:rPr>
                <w:rStyle w:val="HideTWBExt"/>
                <w:noProof w:val="0"/>
                <w:vanish w:val="0"/>
                <w:color w:val="auto"/>
              </w:rPr>
            </w:pPr>
            <w:r w:rsidRPr="00F87FB7">
              <w:t>2019-2024</w:t>
            </w:r>
          </w:p>
        </w:tc>
        <w:tc>
          <w:tcPr>
            <w:tcW w:w="2268" w:type="dxa"/>
            <w:shd w:val="clear" w:color="auto" w:fill="auto"/>
          </w:tcPr>
          <w:p w14:paraId="368777EC" w14:textId="77777777" w:rsidR="00751A4A" w:rsidRPr="00F87FB7" w:rsidRDefault="00187494" w:rsidP="0010095E">
            <w:pPr>
              <w:pStyle w:val="EPLogo"/>
            </w:pPr>
            <w:r w:rsidRPr="00F87FB7">
              <w:rPr>
                <w:noProof/>
                <w:lang w:val="en-GB"/>
              </w:rPr>
              <w:drawing>
                <wp:inline distT="0" distB="0" distL="0" distR="0" wp14:anchorId="02950C5C" wp14:editId="2B07D26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C454E66" w14:textId="77777777" w:rsidR="00D058B8" w:rsidRPr="00F87FB7" w:rsidRDefault="00D058B8" w:rsidP="004C5D52">
      <w:pPr>
        <w:pStyle w:val="LineTop"/>
      </w:pPr>
    </w:p>
    <w:p w14:paraId="49DD77EB" w14:textId="77777777" w:rsidR="00680577" w:rsidRPr="00F87FB7" w:rsidRDefault="006751B2" w:rsidP="00680577">
      <w:pPr>
        <w:pStyle w:val="EPBodyTA1"/>
      </w:pPr>
      <w:r w:rsidRPr="00F87FB7">
        <w:t>VEDTAGNE TEKSTER</w:t>
      </w:r>
    </w:p>
    <w:p w14:paraId="504E5C8B" w14:textId="77777777" w:rsidR="00D058B8" w:rsidRPr="00F87FB7" w:rsidRDefault="00D058B8" w:rsidP="00D058B8">
      <w:pPr>
        <w:pStyle w:val="LineBottom"/>
      </w:pPr>
    </w:p>
    <w:p w14:paraId="69412918" w14:textId="561D6176" w:rsidR="006751B2" w:rsidRPr="00F87FB7" w:rsidRDefault="006751B2" w:rsidP="006751B2">
      <w:pPr>
        <w:pStyle w:val="ATHeading1"/>
      </w:pPr>
      <w:bookmarkStart w:id="0" w:name="TANumber"/>
      <w:r w:rsidRPr="00F87FB7">
        <w:t>P9_TA(2024)0</w:t>
      </w:r>
      <w:r w:rsidR="00CE7EB5">
        <w:t>256</w:t>
      </w:r>
      <w:bookmarkEnd w:id="0"/>
    </w:p>
    <w:p w14:paraId="03D26D71" w14:textId="77777777" w:rsidR="006751B2" w:rsidRPr="00F87FB7" w:rsidRDefault="006751B2" w:rsidP="006751B2">
      <w:pPr>
        <w:pStyle w:val="ATHeading2"/>
      </w:pPr>
      <w:bookmarkStart w:id="1" w:name="title"/>
      <w:r w:rsidRPr="00F87FB7">
        <w:t>Decharge 2022: Den Europæiske Unions Agentur for Rumprogrammet</w:t>
      </w:r>
      <w:bookmarkEnd w:id="1"/>
    </w:p>
    <w:p w14:paraId="3ABD34DC" w14:textId="77777777" w:rsidR="006751B2" w:rsidRPr="00F87FB7" w:rsidRDefault="006751B2" w:rsidP="006751B2">
      <w:pPr>
        <w:rPr>
          <w:i/>
          <w:vanish/>
        </w:rPr>
      </w:pPr>
      <w:r w:rsidRPr="00F87FB7">
        <w:rPr>
          <w:i/>
        </w:rPr>
        <w:fldChar w:fldCharType="begin"/>
      </w:r>
      <w:r w:rsidRPr="00F87FB7">
        <w:rPr>
          <w:i/>
        </w:rPr>
        <w:instrText xml:space="preserve"> TC"(</w:instrText>
      </w:r>
      <w:bookmarkStart w:id="2" w:name="DocNumber"/>
      <w:r w:rsidRPr="00F87FB7">
        <w:rPr>
          <w:i/>
        </w:rPr>
        <w:instrText>A9-0121/2024</w:instrText>
      </w:r>
      <w:bookmarkEnd w:id="2"/>
      <w:r w:rsidRPr="00F87FB7">
        <w:rPr>
          <w:i/>
        </w:rPr>
        <w:instrText xml:space="preserve"> - Ordfører: Petri Sarvamaa)"\l3 \n&gt; \* MERGEFORMAT </w:instrText>
      </w:r>
      <w:r w:rsidRPr="00F87FB7">
        <w:rPr>
          <w:i/>
        </w:rPr>
        <w:fldChar w:fldCharType="end"/>
      </w:r>
    </w:p>
    <w:p w14:paraId="07A1A73B" w14:textId="77777777" w:rsidR="006751B2" w:rsidRPr="00F87FB7" w:rsidRDefault="006751B2" w:rsidP="006751B2">
      <w:pPr>
        <w:rPr>
          <w:vanish/>
        </w:rPr>
      </w:pPr>
      <w:bookmarkStart w:id="3" w:name="Commission"/>
      <w:r w:rsidRPr="00F87FB7">
        <w:rPr>
          <w:vanish/>
        </w:rPr>
        <w:t>Budgetkontroludvalget</w:t>
      </w:r>
      <w:bookmarkEnd w:id="3"/>
    </w:p>
    <w:p w14:paraId="5F992499" w14:textId="77777777" w:rsidR="006751B2" w:rsidRPr="00F87FB7" w:rsidRDefault="006751B2" w:rsidP="006751B2">
      <w:pPr>
        <w:rPr>
          <w:vanish/>
        </w:rPr>
      </w:pPr>
      <w:bookmarkStart w:id="4" w:name="PE"/>
      <w:r w:rsidRPr="00F87FB7">
        <w:rPr>
          <w:vanish/>
        </w:rPr>
        <w:t>PE753.541</w:t>
      </w:r>
      <w:bookmarkEnd w:id="4"/>
    </w:p>
    <w:p w14:paraId="111DFB32" w14:textId="77777777" w:rsidR="006751B2" w:rsidRPr="00F87FB7" w:rsidRDefault="006751B2" w:rsidP="006751B2">
      <w:pPr>
        <w:pStyle w:val="ATHeading3"/>
      </w:pPr>
      <w:bookmarkStart w:id="5" w:name="Sujet"/>
      <w:r w:rsidRPr="00F87FB7">
        <w:t>1. Europa-Parlamentets afgørelse af 11. april 2024 om decharge for gennemførelsen af budgettet for Den Europæiske Unions Agentur for Rumprogrammet for regnskabsåret 2022</w:t>
      </w:r>
      <w:bookmarkEnd w:id="5"/>
      <w:r w:rsidRPr="00F87FB7">
        <w:t xml:space="preserve"> </w:t>
      </w:r>
      <w:bookmarkStart w:id="6" w:name="References"/>
      <w:r w:rsidRPr="00F87FB7">
        <w:t>(2023/2170(DEC))</w:t>
      </w:r>
      <w:bookmarkEnd w:id="6"/>
    </w:p>
    <w:p w14:paraId="463A5912" w14:textId="77777777" w:rsidR="00C1635E" w:rsidRPr="00F87FB7" w:rsidRDefault="00C1635E" w:rsidP="00C1635E">
      <w:pPr>
        <w:pStyle w:val="EPComma"/>
      </w:pPr>
      <w:bookmarkStart w:id="7" w:name="TextBodyBegin"/>
      <w:bookmarkEnd w:id="7"/>
      <w:r w:rsidRPr="00F87FB7">
        <w:rPr>
          <w:i/>
        </w:rPr>
        <w:t>Europa-Parlamentet,</w:t>
      </w:r>
    </w:p>
    <w:p w14:paraId="4777F250" w14:textId="77777777" w:rsidR="00C1635E" w:rsidRPr="00F87FB7" w:rsidRDefault="00C1635E" w:rsidP="00C1635E">
      <w:pPr>
        <w:pStyle w:val="NormalHanging12a"/>
      </w:pPr>
      <w:r w:rsidRPr="00F87FB7">
        <w:t>–</w:t>
      </w:r>
      <w:r w:rsidRPr="00F87FB7">
        <w:tab/>
        <w:t>der henviser til det endelige årsregnskab for Den Europæiske Unions Agentur for Rumprogrammet for regnskabsåret 2022,</w:t>
      </w:r>
    </w:p>
    <w:p w14:paraId="5F97BAAE" w14:textId="77777777" w:rsidR="00C1635E" w:rsidRPr="00F87FB7" w:rsidRDefault="00C1635E" w:rsidP="00C1635E">
      <w:pPr>
        <w:pStyle w:val="NormalHanging12a"/>
      </w:pPr>
      <w:r w:rsidRPr="00F87FB7">
        <w:t>–</w:t>
      </w:r>
      <w:r w:rsidRPr="00F87FB7">
        <w:tab/>
        <w:t>der henviser til Revisionsrettens årsberetning om EU-agenturerne for regnskabsåret 2022, med agenturernes svar</w:t>
      </w:r>
      <w:r w:rsidRPr="00F87FB7">
        <w:rPr>
          <w:rStyle w:val="FootnoteReference"/>
        </w:rPr>
        <w:footnoteReference w:id="1"/>
      </w:r>
      <w:r w:rsidRPr="00F87FB7">
        <w:t>,</w:t>
      </w:r>
    </w:p>
    <w:p w14:paraId="5AE19A53" w14:textId="77777777" w:rsidR="00C1635E" w:rsidRPr="00F87FB7" w:rsidRDefault="00C1635E" w:rsidP="00C1635E">
      <w:pPr>
        <w:pStyle w:val="NormalHanging12a"/>
      </w:pPr>
      <w:r w:rsidRPr="00F87FB7">
        <w:t>–</w:t>
      </w:r>
      <w:r w:rsidRPr="00F87FB7">
        <w:tab/>
        <w:t>der henviser til Revisionsrettens erklæring</w:t>
      </w:r>
      <w:r w:rsidRPr="00F87FB7">
        <w:rPr>
          <w:rStyle w:val="FootnoteReference"/>
        </w:rPr>
        <w:footnoteReference w:id="2"/>
      </w:r>
      <w:r w:rsidRPr="00F87FB7">
        <w:t xml:space="preserve"> for regnskabsåret 2022 om regnskabernes rigtighed og de underliggende transaktioners lovlighed og formelle rigtighed, jf. artikel 287 i traktaten om Den Europæiske Unions funktionsmåde,</w:t>
      </w:r>
    </w:p>
    <w:p w14:paraId="1BEA3853" w14:textId="72B8EA9D" w:rsidR="00C1635E" w:rsidRPr="00F87FB7" w:rsidRDefault="00C1635E" w:rsidP="00C1635E">
      <w:pPr>
        <w:pStyle w:val="NormalHanging12a"/>
      </w:pPr>
      <w:r w:rsidRPr="00F87FB7">
        <w:t>–</w:t>
      </w:r>
      <w:r w:rsidRPr="00F87FB7">
        <w:tab/>
        <w:t>der henviser til Rådets henstilling af 22. februar 2024 om decharge til agenturet for gennemførelsen af budgettet for regnskabsåret 2022 (0</w:t>
      </w:r>
      <w:r w:rsidR="006C560E" w:rsidRPr="00F87FB7">
        <w:t>6180</w:t>
      </w:r>
      <w:r w:rsidRPr="00F87FB7">
        <w:t>/2024 – C9</w:t>
      </w:r>
      <w:r w:rsidRPr="00F87FB7">
        <w:noBreakHyphen/>
        <w:t>0</w:t>
      </w:r>
      <w:r w:rsidR="006C560E" w:rsidRPr="00F87FB7">
        <w:t>108</w:t>
      </w:r>
      <w:r w:rsidRPr="00F87FB7">
        <w:t>/2024),</w:t>
      </w:r>
    </w:p>
    <w:p w14:paraId="037F7749" w14:textId="77777777" w:rsidR="00C1635E" w:rsidRPr="00F87FB7" w:rsidRDefault="00C1635E" w:rsidP="00C1635E">
      <w:pPr>
        <w:pStyle w:val="NormalHanging12a"/>
      </w:pPr>
      <w:r w:rsidRPr="00F87FB7">
        <w:t>–</w:t>
      </w:r>
      <w:r w:rsidRPr="00F87FB7">
        <w:tab/>
        <w:t>der henviser til artikel 319 i traktaten om Den Europæiske Unions funktionsmåde,</w:t>
      </w:r>
    </w:p>
    <w:p w14:paraId="4C0FE8A9" w14:textId="77777777" w:rsidR="00C1635E" w:rsidRPr="00F87FB7" w:rsidRDefault="00C1635E" w:rsidP="00C1635E">
      <w:pPr>
        <w:pStyle w:val="NormalHanging12a"/>
      </w:pPr>
      <w:r w:rsidRPr="00F87FB7">
        <w:t>–</w:t>
      </w:r>
      <w:r w:rsidRPr="00F87FB7">
        <w:tab/>
        <w:t>der henviser til Europa-Parlamentets og Rådets forordning (EU, Euratom)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Euratom) nr. 966/2012</w:t>
      </w:r>
      <w:r w:rsidRPr="00F87FB7">
        <w:rPr>
          <w:rStyle w:val="FootnoteReference"/>
        </w:rPr>
        <w:footnoteReference w:id="3"/>
      </w:r>
      <w:r w:rsidRPr="00F87FB7">
        <w:t>, særlig artikel 70,</w:t>
      </w:r>
    </w:p>
    <w:p w14:paraId="195D7DA1" w14:textId="77777777" w:rsidR="00C1635E" w:rsidRPr="00F87FB7" w:rsidRDefault="00C1635E" w:rsidP="00C1635E">
      <w:pPr>
        <w:pStyle w:val="NormalHanging12a"/>
      </w:pPr>
      <w:r w:rsidRPr="00F87FB7">
        <w:t>–</w:t>
      </w:r>
      <w:r w:rsidRPr="00F87FB7">
        <w:tab/>
        <w:t xml:space="preserve">der henviser til Europa-Parlamentets og Rådets forordning (EU) 2021/696 af 28. april 2021 om oprettelse af Unionens rumprogram og Den Europæiske Unions Agentur for Rumprogrammet og om ophævelse af forordning (EU) nr. 912/2010, (EU) </w:t>
      </w:r>
      <w:r w:rsidRPr="00F87FB7">
        <w:lastRenderedPageBreak/>
        <w:t>nr. 1285/2013 og (EU) nr. 377/2014 og afgørelse nr. 541/2014/EU</w:t>
      </w:r>
      <w:r w:rsidRPr="00F87FB7">
        <w:rPr>
          <w:rStyle w:val="FootnoteReference"/>
        </w:rPr>
        <w:footnoteReference w:id="4"/>
      </w:r>
      <w:r w:rsidRPr="00F87FB7">
        <w:t>, særlig artikel 85 og 86,</w:t>
      </w:r>
    </w:p>
    <w:p w14:paraId="32A941FC" w14:textId="77777777" w:rsidR="00C1635E" w:rsidRPr="00F87FB7" w:rsidRDefault="00C1635E" w:rsidP="00C1635E">
      <w:pPr>
        <w:pStyle w:val="NormalHanging12a"/>
      </w:pPr>
      <w:r w:rsidRPr="00F87FB7">
        <w:t>–</w:t>
      </w:r>
      <w:r w:rsidRPr="00F87FB7">
        <w:tab/>
        <w:t>der henviser til Kommissionens delegerede forordning (EU) 2019/715 af 18. december 2018 om rammefinansforordningen for de organer, der er nedsat i henhold til TEUF og Euratomtraktaten og omhandlet i artikel 70 i Europa-Parlamentets og Rådets forordning (EU, Euratom) 2018/1046</w:t>
      </w:r>
      <w:r w:rsidRPr="00F87FB7">
        <w:rPr>
          <w:rStyle w:val="FootnoteReference"/>
        </w:rPr>
        <w:footnoteReference w:id="5"/>
      </w:r>
      <w:r w:rsidRPr="00F87FB7">
        <w:t>, særlig artikel 105,</w:t>
      </w:r>
    </w:p>
    <w:p w14:paraId="225538BD" w14:textId="77777777" w:rsidR="00C1635E" w:rsidRPr="00F87FB7" w:rsidRDefault="00C1635E" w:rsidP="00C1635E">
      <w:pPr>
        <w:pStyle w:val="NormalHanging12a"/>
      </w:pPr>
      <w:r w:rsidRPr="00F87FB7">
        <w:t>–</w:t>
      </w:r>
      <w:r w:rsidRPr="00F87FB7">
        <w:tab/>
        <w:t>der henviser til forretningsordenens artikel 100 og bilag V,</w:t>
      </w:r>
    </w:p>
    <w:p w14:paraId="3A6E7C7C" w14:textId="77777777" w:rsidR="00C1635E" w:rsidRPr="00F87FB7" w:rsidRDefault="00C1635E" w:rsidP="00C1635E">
      <w:pPr>
        <w:pStyle w:val="NormalHanging12a"/>
      </w:pPr>
      <w:r w:rsidRPr="00F87FB7">
        <w:t>–</w:t>
      </w:r>
      <w:r w:rsidRPr="00F87FB7">
        <w:tab/>
        <w:t>der henviser til betænkning fra Budgetkontroludvalget (A9-0121/2024),</w:t>
      </w:r>
    </w:p>
    <w:p w14:paraId="3BAA6203" w14:textId="77777777" w:rsidR="00C1635E" w:rsidRPr="00F87FB7" w:rsidRDefault="00C1635E" w:rsidP="00C1635E">
      <w:pPr>
        <w:pStyle w:val="NormalHanging12a"/>
      </w:pPr>
      <w:r w:rsidRPr="00F87FB7">
        <w:t>1.</w:t>
      </w:r>
      <w:r w:rsidRPr="00F87FB7">
        <w:tab/>
        <w:t>meddeler den administrerende direktør for Den Europæiske Unions Agentur for Rumprogrammet decharge for gennemførelsen af agenturets budget for regnskabsåret 2022;</w:t>
      </w:r>
    </w:p>
    <w:p w14:paraId="127ED313" w14:textId="77777777" w:rsidR="00C1635E" w:rsidRPr="00F87FB7" w:rsidRDefault="00C1635E" w:rsidP="00C1635E">
      <w:pPr>
        <w:pStyle w:val="NormalHanging12a"/>
      </w:pPr>
      <w:r w:rsidRPr="00F87FB7">
        <w:t>2.</w:t>
      </w:r>
      <w:r w:rsidRPr="00F87FB7">
        <w:tab/>
        <w:t>fremsætter sine bemærkninger i nedenstående beslutning;</w:t>
      </w:r>
    </w:p>
    <w:p w14:paraId="26744C68" w14:textId="77777777" w:rsidR="00C1635E" w:rsidRPr="00F87FB7" w:rsidRDefault="00C1635E" w:rsidP="00C1635E">
      <w:pPr>
        <w:pStyle w:val="NormalHanging12a"/>
      </w:pPr>
      <w:r w:rsidRPr="00F87FB7">
        <w:t>3.</w:t>
      </w:r>
      <w:r w:rsidRPr="00F87FB7">
        <w:tab/>
        <w:t xml:space="preserve">pålægger sin formand at sende denne afgørelse og beslutningen, der er en integrerende del heraf, til den administrerende direktør for Den Europæiske Unions Agentur for Rumprogrammet, Rådet, Kommissionen og Revisionsretten og drage omsorg for, at de offentliggøres i </w:t>
      </w:r>
      <w:r w:rsidRPr="00F87FB7">
        <w:rPr>
          <w:i/>
          <w:iCs/>
        </w:rPr>
        <w:t>Den Europæiske Unions Tidende</w:t>
      </w:r>
      <w:r w:rsidRPr="00F87FB7">
        <w:t xml:space="preserve"> (L-udgaven).</w:t>
      </w:r>
    </w:p>
    <w:p w14:paraId="56A3F6B7" w14:textId="77777777" w:rsidR="00C1635E" w:rsidRPr="00F87FB7" w:rsidRDefault="00C1635E" w:rsidP="00C1635E"/>
    <w:p w14:paraId="6B3CA883" w14:textId="77777777" w:rsidR="00C1635E" w:rsidRPr="00F87FB7" w:rsidRDefault="00C1635E" w:rsidP="00C1635E">
      <w:pPr>
        <w:widowControl/>
        <w:rPr>
          <w:rFonts w:ascii="Arial" w:hAnsi="Arial" w:cs="Arial"/>
          <w:b/>
        </w:rPr>
        <w:sectPr w:rsidR="00C1635E" w:rsidRPr="00F87FB7" w:rsidSect="000C218B">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14:paraId="1119A839" w14:textId="77777777" w:rsidR="00C1635E" w:rsidRPr="00F87FB7" w:rsidRDefault="00C1635E" w:rsidP="006C560E">
      <w:pPr>
        <w:pStyle w:val="ATHeading3"/>
      </w:pPr>
      <w:bookmarkStart w:id="8" w:name="_Toc161327757"/>
      <w:bookmarkStart w:id="9" w:name="_Toc161933787"/>
      <w:r w:rsidRPr="00F87FB7">
        <w:t xml:space="preserve">2. </w:t>
      </w:r>
      <w:bookmarkEnd w:id="8"/>
      <w:bookmarkEnd w:id="9"/>
      <w:r w:rsidR="006C560E" w:rsidRPr="00F87FB7">
        <w:t xml:space="preserve">Europa-Parlamentets afgørelse af 11. april 2024 </w:t>
      </w:r>
      <w:r w:rsidRPr="00F87FB7">
        <w:t>om afslutning af regnskaberne for Den Europæiske Unions Agentur for Rumprogrammet for regnskabsåret 2022</w:t>
      </w:r>
      <w:r w:rsidR="006C560E" w:rsidRPr="00F87FB7">
        <w:t xml:space="preserve"> (2023</w:t>
      </w:r>
      <w:r w:rsidRPr="00F87FB7">
        <w:t>/2170(DEC))</w:t>
      </w:r>
    </w:p>
    <w:p w14:paraId="20574549" w14:textId="77777777" w:rsidR="00C1635E" w:rsidRPr="00F87FB7" w:rsidRDefault="00C1635E" w:rsidP="00C1635E">
      <w:pPr>
        <w:pStyle w:val="EPComma"/>
      </w:pPr>
      <w:r w:rsidRPr="00F87FB7">
        <w:rPr>
          <w:i/>
          <w:iCs/>
        </w:rPr>
        <w:t>Europa-Parlamentet</w:t>
      </w:r>
      <w:r w:rsidRPr="00F87FB7">
        <w:t>,</w:t>
      </w:r>
    </w:p>
    <w:p w14:paraId="4F09CC4C" w14:textId="77777777" w:rsidR="00C1635E" w:rsidRPr="00F87FB7" w:rsidRDefault="00C1635E" w:rsidP="00C1635E">
      <w:pPr>
        <w:pStyle w:val="NormalHanging12a"/>
      </w:pPr>
      <w:r w:rsidRPr="00F87FB7">
        <w:t>–</w:t>
      </w:r>
      <w:r w:rsidRPr="00F87FB7">
        <w:tab/>
        <w:t>der henviser til det endelige årsregnskab for Den Europæiske Unions Agentur for Rumprogrammet for regnskabsåret 2022,</w:t>
      </w:r>
    </w:p>
    <w:p w14:paraId="45EF6417" w14:textId="77777777" w:rsidR="00C1635E" w:rsidRPr="00F87FB7" w:rsidRDefault="00C1635E" w:rsidP="00C1635E">
      <w:pPr>
        <w:pStyle w:val="NormalHanging12a"/>
      </w:pPr>
      <w:r w:rsidRPr="00F87FB7">
        <w:t>–</w:t>
      </w:r>
      <w:r w:rsidRPr="00F87FB7">
        <w:tab/>
        <w:t>der henviser til Revisionsrettens årsberetning om EU-agenturerne for regnskabsåret 2022, med agenturernes svar</w:t>
      </w:r>
      <w:r w:rsidRPr="00F87FB7">
        <w:rPr>
          <w:rStyle w:val="FootnoteReference"/>
        </w:rPr>
        <w:footnoteReference w:id="6"/>
      </w:r>
      <w:r w:rsidRPr="00F87FB7">
        <w:t>,</w:t>
      </w:r>
    </w:p>
    <w:p w14:paraId="0BDF9017" w14:textId="77777777" w:rsidR="00C1635E" w:rsidRPr="00F87FB7" w:rsidRDefault="00C1635E" w:rsidP="00C1635E">
      <w:pPr>
        <w:pStyle w:val="NormalHanging12a"/>
      </w:pPr>
      <w:r w:rsidRPr="00F87FB7">
        <w:t>–</w:t>
      </w:r>
      <w:r w:rsidRPr="00F87FB7">
        <w:tab/>
        <w:t>der henviser til Revisionsrettens erklæring</w:t>
      </w:r>
      <w:r w:rsidRPr="00F87FB7">
        <w:rPr>
          <w:rStyle w:val="FootnoteReference"/>
        </w:rPr>
        <w:footnoteReference w:id="7"/>
      </w:r>
      <w:r w:rsidRPr="00F87FB7">
        <w:t xml:space="preserve"> for regnskabsåret 2022 om regnskabernes rigtighed og de underliggende transaktioners lovlighed og formelle rigtighed, jf. artikel 287 i traktaten om Den Europæiske Unions funktionsmåde,</w:t>
      </w:r>
    </w:p>
    <w:p w14:paraId="1AA76BA5" w14:textId="52449E48" w:rsidR="00C1635E" w:rsidRPr="00F87FB7" w:rsidRDefault="00C1635E" w:rsidP="00C1635E">
      <w:pPr>
        <w:pStyle w:val="NormalHanging12a"/>
      </w:pPr>
      <w:r w:rsidRPr="00F87FB7">
        <w:t>–</w:t>
      </w:r>
      <w:r w:rsidRPr="00F87FB7">
        <w:tab/>
        <w:t>der henviser til Rådets henstilling af 22. februar 2024 om decharge til agenturet for gennemførelsen af budgettet for regnskabsåret 2022 (0</w:t>
      </w:r>
      <w:r w:rsidR="006C560E" w:rsidRPr="00F87FB7">
        <w:t>6180</w:t>
      </w:r>
      <w:r w:rsidRPr="00F87FB7">
        <w:t>/2024 – C9</w:t>
      </w:r>
      <w:r w:rsidRPr="00F87FB7">
        <w:noBreakHyphen/>
        <w:t>0</w:t>
      </w:r>
      <w:r w:rsidR="006C560E" w:rsidRPr="00F87FB7">
        <w:t>108</w:t>
      </w:r>
      <w:r w:rsidRPr="00F87FB7">
        <w:t>/2024),</w:t>
      </w:r>
    </w:p>
    <w:p w14:paraId="23D94FA4" w14:textId="77777777" w:rsidR="00C1635E" w:rsidRPr="00F87FB7" w:rsidRDefault="00C1635E" w:rsidP="00C1635E">
      <w:pPr>
        <w:pStyle w:val="NormalHanging12a"/>
      </w:pPr>
      <w:r w:rsidRPr="00F87FB7">
        <w:t>–</w:t>
      </w:r>
      <w:r w:rsidRPr="00F87FB7">
        <w:tab/>
        <w:t>der henviser til artikel 319 i traktaten om Den Europæiske Unions funktionsmåde,</w:t>
      </w:r>
    </w:p>
    <w:p w14:paraId="62D110FB" w14:textId="77777777" w:rsidR="00C1635E" w:rsidRPr="00F87FB7" w:rsidRDefault="00C1635E" w:rsidP="00C1635E">
      <w:pPr>
        <w:pStyle w:val="NormalHanging12a"/>
      </w:pPr>
      <w:r w:rsidRPr="00F87FB7">
        <w:t>–</w:t>
      </w:r>
      <w:r w:rsidRPr="00F87FB7">
        <w:tab/>
        <w:t>der henviser til Europa-Parlamentets og Rådets forordning (EU, Euratom)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Euratom) nr. 966/2012</w:t>
      </w:r>
      <w:r w:rsidRPr="00F87FB7">
        <w:rPr>
          <w:rStyle w:val="FootnoteReference"/>
        </w:rPr>
        <w:footnoteReference w:id="8"/>
      </w:r>
      <w:r w:rsidRPr="00F87FB7">
        <w:t>, særlig artikel 70,</w:t>
      </w:r>
    </w:p>
    <w:p w14:paraId="09855530" w14:textId="77777777" w:rsidR="00C1635E" w:rsidRPr="00F87FB7" w:rsidRDefault="00C1635E" w:rsidP="00C1635E">
      <w:pPr>
        <w:pStyle w:val="NormalHanging12a"/>
      </w:pPr>
      <w:r w:rsidRPr="00F87FB7">
        <w:t>–</w:t>
      </w:r>
      <w:r w:rsidRPr="00F87FB7">
        <w:tab/>
        <w:t>der henviser til Europa-Parlamentets og Rådets forordning (EU) 2021/696 af 28. april 2021 om oprettelse af Unionens rumprogram og Den Europæiske Unions Agentur for Rumprogrammet og om ophævelse af forordning (EU) nr. 912/2010, (EU) nr. 1285/2013 og (EU) nr. 377/2014 og afgørelse nr. 541/2014/EU</w:t>
      </w:r>
      <w:r w:rsidRPr="00F87FB7">
        <w:rPr>
          <w:rStyle w:val="FootnoteReference"/>
        </w:rPr>
        <w:footnoteReference w:id="9"/>
      </w:r>
      <w:r w:rsidRPr="00F87FB7">
        <w:t>, særlig artikel 85 og 86,</w:t>
      </w:r>
    </w:p>
    <w:p w14:paraId="5B21CA68" w14:textId="77777777" w:rsidR="00C1635E" w:rsidRPr="00F87FB7" w:rsidRDefault="00C1635E" w:rsidP="00C1635E">
      <w:pPr>
        <w:pStyle w:val="NormalHanging12a"/>
      </w:pPr>
      <w:r w:rsidRPr="00F87FB7">
        <w:t>–</w:t>
      </w:r>
      <w:r w:rsidRPr="00F87FB7">
        <w:tab/>
        <w:t>der henviser til Kommissionens delegerede forordning (EU) 2019/715 af 18. december 2018 om rammefinansforordningen for de organer, der er nedsat i henhold til TEUF og Euratomtraktaten og omhandlet i artikel 70 i Europa-Parlamentets og Rådets forordning (EU, Euratom) 2018/1046</w:t>
      </w:r>
      <w:r w:rsidRPr="00F87FB7">
        <w:rPr>
          <w:rStyle w:val="FootnoteReference"/>
        </w:rPr>
        <w:footnoteReference w:id="10"/>
      </w:r>
      <w:r w:rsidRPr="00F87FB7">
        <w:t>, særlig artikel 105,</w:t>
      </w:r>
    </w:p>
    <w:p w14:paraId="3A5EEBEC" w14:textId="77777777" w:rsidR="00C1635E" w:rsidRPr="00F87FB7" w:rsidRDefault="00C1635E" w:rsidP="00C1635E">
      <w:pPr>
        <w:pStyle w:val="NormalHanging12a"/>
      </w:pPr>
      <w:r w:rsidRPr="00F87FB7">
        <w:t>–</w:t>
      </w:r>
      <w:r w:rsidRPr="00F87FB7">
        <w:tab/>
        <w:t>der henviser til forretningsordenens artikel 100 og bilag V,</w:t>
      </w:r>
    </w:p>
    <w:p w14:paraId="668D850A" w14:textId="77777777" w:rsidR="00C1635E" w:rsidRPr="00F87FB7" w:rsidRDefault="00C1635E" w:rsidP="00C1635E">
      <w:pPr>
        <w:pStyle w:val="NormalHanging12a"/>
      </w:pPr>
      <w:r w:rsidRPr="00F87FB7">
        <w:t>–</w:t>
      </w:r>
      <w:r w:rsidRPr="00F87FB7">
        <w:tab/>
        <w:t>der henviser til betænkning fra Budgetkontroludvalget (A9-0121/2024),</w:t>
      </w:r>
    </w:p>
    <w:p w14:paraId="5E35B556" w14:textId="77777777" w:rsidR="00C1635E" w:rsidRPr="00F87FB7" w:rsidRDefault="00C1635E" w:rsidP="00C1635E">
      <w:pPr>
        <w:pStyle w:val="NormalHanging12a"/>
      </w:pPr>
      <w:r w:rsidRPr="00F87FB7">
        <w:t>1.</w:t>
      </w:r>
      <w:r w:rsidRPr="00F87FB7">
        <w:tab/>
        <w:t>godkender afslutningen af regnskaberne for Den Europæiske Unions Agentur for Rumprogrammet for regnskabsåret 2022;</w:t>
      </w:r>
    </w:p>
    <w:p w14:paraId="4D7A82E0" w14:textId="77777777" w:rsidR="00C1635E" w:rsidRPr="00F87FB7" w:rsidRDefault="00C1635E" w:rsidP="00C1635E">
      <w:pPr>
        <w:pStyle w:val="NormalHanging12a"/>
      </w:pPr>
      <w:r w:rsidRPr="00F87FB7">
        <w:t>2.</w:t>
      </w:r>
      <w:r w:rsidRPr="00F87FB7">
        <w:tab/>
        <w:t xml:space="preserve">pålægger sin formand at sende denne afgørelse til den administrerende direktør for Den Europæiske Unions Agentur for Rumprogrammet, Rådet, Kommissionen og Revisionsretten og drage omsorg for, at den offentliggøres i </w:t>
      </w:r>
      <w:r w:rsidRPr="00F87FB7">
        <w:rPr>
          <w:i/>
          <w:iCs/>
        </w:rPr>
        <w:t>Den Europæiske Unions Tidende</w:t>
      </w:r>
      <w:r w:rsidRPr="00F87FB7">
        <w:t xml:space="preserve"> (L-udgaven).</w:t>
      </w:r>
    </w:p>
    <w:p w14:paraId="6FFBB505" w14:textId="77777777" w:rsidR="00C1635E" w:rsidRPr="00F87FB7" w:rsidRDefault="00C1635E" w:rsidP="00C1635E"/>
    <w:p w14:paraId="265C855E" w14:textId="77777777" w:rsidR="00C1635E" w:rsidRPr="00F87FB7" w:rsidRDefault="00C1635E" w:rsidP="00C1635E">
      <w:pPr>
        <w:widowControl/>
        <w:rPr>
          <w:rFonts w:ascii="Arial" w:hAnsi="Arial" w:cs="Arial"/>
          <w:b/>
        </w:rPr>
        <w:sectPr w:rsidR="00C1635E" w:rsidRPr="00F87FB7" w:rsidSect="000C218B">
          <w:footnotePr>
            <w:numRestart w:val="eachPage"/>
          </w:footnotePr>
          <w:endnotePr>
            <w:numFmt w:val="decimal"/>
          </w:endnotePr>
          <w:pgSz w:w="11906" w:h="16838"/>
          <w:pgMar w:top="1134" w:right="1418" w:bottom="1418" w:left="1418" w:header="567" w:footer="567" w:gutter="0"/>
          <w:cols w:space="720"/>
          <w:docGrid w:linePitch="326"/>
        </w:sectPr>
      </w:pPr>
    </w:p>
    <w:p w14:paraId="46752710" w14:textId="77777777" w:rsidR="00C1635E" w:rsidRPr="00F87FB7" w:rsidRDefault="00C1635E" w:rsidP="006C560E">
      <w:pPr>
        <w:pStyle w:val="ATHeading3"/>
      </w:pPr>
      <w:bookmarkStart w:id="10" w:name="_Toc161327758"/>
      <w:bookmarkStart w:id="11" w:name="_Toc161933788"/>
      <w:r w:rsidRPr="00F87FB7">
        <w:t xml:space="preserve">3. </w:t>
      </w:r>
      <w:bookmarkEnd w:id="10"/>
      <w:bookmarkEnd w:id="11"/>
      <w:r w:rsidR="006C560E" w:rsidRPr="00F87FB7">
        <w:t xml:space="preserve">Europa-Parlamentets beslutning af 11. april 2024 </w:t>
      </w:r>
      <w:r w:rsidRPr="00F87FB7">
        <w:t>med bemærkningerne, der er en integrerende del af afgørelsen om decharge for gennemførelsen af budgettet for Den Europæiske Unions Agentur for Rumprogrammet for regnskabsåret 2022</w:t>
      </w:r>
      <w:r w:rsidR="006C560E" w:rsidRPr="00F87FB7">
        <w:t xml:space="preserve"> (2023</w:t>
      </w:r>
      <w:r w:rsidRPr="00F87FB7">
        <w:t>/2170(DEC))</w:t>
      </w:r>
    </w:p>
    <w:p w14:paraId="17686855" w14:textId="77777777" w:rsidR="00C1635E" w:rsidRPr="00F87FB7" w:rsidRDefault="00C1635E" w:rsidP="00C1635E">
      <w:pPr>
        <w:pStyle w:val="EPComma"/>
      </w:pPr>
      <w:r w:rsidRPr="00F87FB7">
        <w:rPr>
          <w:i/>
          <w:iCs/>
        </w:rPr>
        <w:t>Europa-Parlamentet</w:t>
      </w:r>
      <w:r w:rsidRPr="00F87FB7">
        <w:t>,</w:t>
      </w:r>
    </w:p>
    <w:p w14:paraId="1B773E5A" w14:textId="77777777" w:rsidR="00C1635E" w:rsidRPr="00F87FB7" w:rsidRDefault="00C1635E" w:rsidP="00C1635E">
      <w:pPr>
        <w:pStyle w:val="NormalHanging12a"/>
      </w:pPr>
      <w:r w:rsidRPr="00F87FB7">
        <w:t>–</w:t>
      </w:r>
      <w:r w:rsidRPr="00F87FB7">
        <w:tab/>
        <w:t>der henviser til sin afgørelse om decharge for gennemførelsen af budgettet for Den Europæiske Unions Agentur for Rumprogrammet ("agenturet) for regnskabsåret 2022,</w:t>
      </w:r>
    </w:p>
    <w:p w14:paraId="489FC262" w14:textId="77777777" w:rsidR="00C1635E" w:rsidRPr="00F87FB7" w:rsidRDefault="00C1635E" w:rsidP="00C1635E">
      <w:pPr>
        <w:pStyle w:val="NormalHanging12a"/>
      </w:pPr>
      <w:r w:rsidRPr="00F87FB7">
        <w:t>–</w:t>
      </w:r>
      <w:r w:rsidRPr="00F87FB7">
        <w:tab/>
        <w:t>der henviser til forretningsordenens artikel 100 og bilag V,</w:t>
      </w:r>
    </w:p>
    <w:p w14:paraId="33F11294" w14:textId="77777777" w:rsidR="00C1635E" w:rsidRPr="00F87FB7" w:rsidRDefault="00C1635E" w:rsidP="00C1635E">
      <w:pPr>
        <w:pStyle w:val="NormalHanging12a"/>
      </w:pPr>
      <w:r w:rsidRPr="00F87FB7">
        <w:t>–</w:t>
      </w:r>
      <w:r w:rsidRPr="00F87FB7">
        <w:tab/>
        <w:t>der henviser til betænkning fra Budgetkontroludvalget (A9-0121/2024),</w:t>
      </w:r>
    </w:p>
    <w:p w14:paraId="42627D99" w14:textId="77777777" w:rsidR="00C1635E" w:rsidRPr="00F87FB7" w:rsidRDefault="00C1635E" w:rsidP="00C1635E">
      <w:pPr>
        <w:pStyle w:val="Normal12Hanging"/>
        <w:rPr>
          <w:szCs w:val="24"/>
        </w:rPr>
      </w:pPr>
      <w:r w:rsidRPr="00F87FB7">
        <w:t>A.</w:t>
      </w:r>
      <w:r w:rsidRPr="00F87FB7">
        <w:tab/>
        <w:t>der henviser til, at det endelige budget for agenturet for regnskabsåret 2022 ifølge dets oversigt over indtægter og udgifter</w:t>
      </w:r>
      <w:r w:rsidRPr="00F87FB7">
        <w:rPr>
          <w:rStyle w:val="FootnoteReference"/>
          <w:szCs w:val="24"/>
        </w:rPr>
        <w:footnoteReference w:id="11"/>
      </w:r>
      <w:r w:rsidRPr="00F87FB7">
        <w:t xml:space="preserve"> var på 70 032 491,77 EUR, hvilket svarer til en stigning på 22,58 % sammenlignet med 2021; der henviser til, at agenturets faktiske indtægter beløb sig til 1,2 mia. EUR, hvilket er forskellen i forhold til ovennævnte budget, forklaret ved operationelle aktiviteter, der finansieres ved hjælp af formålsbestemte indtægter, som er medtaget i det godkendte budget som et p.m.;</w:t>
      </w:r>
    </w:p>
    <w:p w14:paraId="57793B82" w14:textId="77777777" w:rsidR="00C1635E" w:rsidRPr="00F87FB7" w:rsidRDefault="00C1635E" w:rsidP="00C1635E">
      <w:pPr>
        <w:pStyle w:val="Normal12Hanging"/>
        <w:rPr>
          <w:szCs w:val="24"/>
        </w:rPr>
      </w:pPr>
      <w:r w:rsidRPr="00F87FB7">
        <w:t>B.</w:t>
      </w:r>
      <w:r w:rsidRPr="00F87FB7">
        <w:tab/>
        <w:t>der henviser til, at Revisionsretten i sin beretning om agenturets årsregnskab for regnskabsåret 2022 ("Revisionsrettens beretning") fastslår, at den har fået rimelig sikkerhed for, at agenturets årsregnskab er rigtigt, og at de underliggende transaktioner er lovlige og formelt rigtige; der henviser til, at Revisionsretten indsatte et punkt med supplerende oplysninger i forbindelse med virkningen af den russiske angrebskrig mod Ukraine på agenturets operationer;</w:t>
      </w:r>
    </w:p>
    <w:p w14:paraId="60ECDDC4" w14:textId="77777777" w:rsidR="00C1635E" w:rsidRPr="00F87FB7" w:rsidRDefault="00C1635E" w:rsidP="00C1635E">
      <w:pPr>
        <w:pStyle w:val="Normal12Hanging"/>
        <w:rPr>
          <w:szCs w:val="24"/>
        </w:rPr>
      </w:pPr>
      <w:r w:rsidRPr="00F87FB7">
        <w:t>C.</w:t>
      </w:r>
      <w:r w:rsidRPr="00F87FB7">
        <w:tab/>
        <w:t>der henviser til, at der med hensyn til agenturets interne kontrolsystemer ikke blev indberettet nogen problemer, der nødvendiggjorde korrigerende foranstaltninger for 2022, og at der heller ikke er igangværende eller udestående korrigerende foranstaltninger fra tidligere års revisioner og vurderinger;</w:t>
      </w:r>
    </w:p>
    <w:p w14:paraId="7A04857C" w14:textId="77777777" w:rsidR="00C1635E" w:rsidRPr="00F87FB7" w:rsidRDefault="00C1635E" w:rsidP="00C1635E">
      <w:pPr>
        <w:pStyle w:val="Normal12Hanging"/>
        <w:rPr>
          <w:b/>
          <w:i/>
          <w:szCs w:val="24"/>
        </w:rPr>
      </w:pPr>
      <w:r w:rsidRPr="00F87FB7">
        <w:rPr>
          <w:b/>
          <w:i/>
        </w:rPr>
        <w:t>Budgetmæssig og økonomisk forvaltning</w:t>
      </w:r>
    </w:p>
    <w:p w14:paraId="1A81EBB9" w14:textId="77777777" w:rsidR="00C1635E" w:rsidRPr="00F87FB7" w:rsidRDefault="00C1635E" w:rsidP="00C1635E">
      <w:pPr>
        <w:pStyle w:val="Normal12Hanging"/>
        <w:rPr>
          <w:szCs w:val="24"/>
        </w:rPr>
      </w:pPr>
      <w:r w:rsidRPr="00F87FB7">
        <w:t>1.</w:t>
      </w:r>
      <w:r w:rsidRPr="00F87FB7">
        <w:tab/>
        <w:t>bemærker med tilfredshed, at budgetovervågningsindsatsen i regnskabsåret 2022 resulterede i en budgetgennemførelsesgrad i forpligtelsesbevillinger for det pågældende år på 100 %, hvilket er det samme som i de foregående to år; beklager imidlertid, at udnyttelsesgraden for betalingsbevillinger i det pågældende år var 72,86 %, hvilket er et fald på 1,92 % sammenlignet med 2021;</w:t>
      </w:r>
    </w:p>
    <w:p w14:paraId="053CCD7C" w14:textId="77777777" w:rsidR="00C1635E" w:rsidRPr="00F87FB7" w:rsidRDefault="00C1635E" w:rsidP="00C1635E">
      <w:pPr>
        <w:pStyle w:val="Normal12Hanging"/>
        <w:rPr>
          <w:szCs w:val="24"/>
        </w:rPr>
      </w:pPr>
      <w:r w:rsidRPr="00F87FB7">
        <w:t>2.</w:t>
      </w:r>
      <w:r w:rsidRPr="00F87FB7">
        <w:tab/>
        <w:t>bemærker, at agenturets bestyrelse godkendte tre budgetændringer i 2022, den første i januar, som resulterede i en stigning i samlede bevillinger på 1 687 363,77 EUR, den anden budgetændring resulterede i en omfordeling af et samlet beløb på 2 659 300 EUR, hovedsagelig fra driftsbudgettet til budgetposten for databehandling, og den tredje budgetændring resulterede i en reduktion af betalingsbevillingerne med 4 640 000 EUR, hvorved det samlede beløb for betalingsbevillinger blev bragt op på 65 392 491,77 EUR;</w:t>
      </w:r>
    </w:p>
    <w:p w14:paraId="08A3C725" w14:textId="77777777" w:rsidR="00C1635E" w:rsidRPr="00F87FB7" w:rsidRDefault="00C1635E" w:rsidP="00C1635E">
      <w:pPr>
        <w:pStyle w:val="Normal12Hanging"/>
        <w:rPr>
          <w:szCs w:val="24"/>
        </w:rPr>
      </w:pPr>
      <w:r w:rsidRPr="00F87FB7">
        <w:t>3.</w:t>
      </w:r>
      <w:r w:rsidRPr="00F87FB7">
        <w:tab/>
        <w:t>bemærker, at agenturet ud over sit centrale budget fortsatte med at forvalte et stort delegeret budget (øremærkede bevillinger), og at der blev indgået forpligtelser for i alt 574,5 mio. EUR under det delegerede budget i 2022 og 1,26 mia. EUR i betalinger;</w:t>
      </w:r>
    </w:p>
    <w:p w14:paraId="0E1B99A8" w14:textId="77777777" w:rsidR="00C1635E" w:rsidRPr="00F87FB7" w:rsidRDefault="00C1635E" w:rsidP="00C1635E">
      <w:pPr>
        <w:pStyle w:val="Normal12Hanging"/>
        <w:rPr>
          <w:b/>
          <w:i/>
          <w:szCs w:val="24"/>
        </w:rPr>
      </w:pPr>
      <w:r w:rsidRPr="00F87FB7">
        <w:rPr>
          <w:b/>
          <w:i/>
        </w:rPr>
        <w:t>Performance</w:t>
      </w:r>
    </w:p>
    <w:p w14:paraId="53E272E2" w14:textId="77777777" w:rsidR="00C1635E" w:rsidRPr="00F87FB7" w:rsidRDefault="00C1635E" w:rsidP="00C1635E">
      <w:pPr>
        <w:pStyle w:val="NormalHanging12a"/>
      </w:pPr>
      <w:r w:rsidRPr="00F87FB7">
        <w:t>4.</w:t>
      </w:r>
      <w:r w:rsidRPr="00F87FB7">
        <w:tab/>
        <w:t>glæder sig over, at agenturet anvender centrale resultatindikatorer (KPI'er) til at evaluere resultaterne i forbindelse med sine mål, hvilket bl.a. omfatter en effektiv forvaltning af sikkerhedsadministrationen med henblik på at støtte rettidig beslutningstagning, Galileos trussels- og risikoanalyser, forvaltning og rapportering om agenturets budget, effektiv håndtering af alle retlige ordninger, sikring af den operationelle kapacitet i agenturets lokaler og opfyldelse af de lovpligtige revisions- og kontrolforpligtelser; bemærker, at de fleste mål er nået, men henstiller, at der tages fat på de KPI'er, som endnu ikke er opfyldt, eller hvis opnåelse skrider langsommere frem end forventet; henstiller, at agenturet regelmæssigt finjusterer KPI'erne for at optimere sine resultater;</w:t>
      </w:r>
    </w:p>
    <w:p w14:paraId="315E326D" w14:textId="77777777" w:rsidR="00C1635E" w:rsidRPr="00F87FB7" w:rsidRDefault="00C1635E" w:rsidP="00C1635E">
      <w:pPr>
        <w:pStyle w:val="Normal12Hanging"/>
        <w:rPr>
          <w:szCs w:val="24"/>
        </w:rPr>
      </w:pPr>
      <w:r w:rsidRPr="00F87FB7">
        <w:t>5.</w:t>
      </w:r>
      <w:r w:rsidRPr="00F87FB7">
        <w:tab/>
        <w:t>noterer sig, at agenturet har afdækket potentielle konsekvenser af krigen i Ukraine, herunder afbrydelsen af brugen af Soyuz-løfteraketter til Galileosatellitter som følge af den ensidige tilbagetrækning af det russiske team for Soyuz-løfteraketter; bemærker, at agenturet ikke forventer nogen direkte, umiddelbar indvirkning på sine finansielle resultater, men anerkender, at der er behov for en intensiv indsats for at minimere forsinkelserne i forbindelse med opsendelsen af nye satellitter, hvilket kan føre til forsinkelser, når det kommer til indregningen af udgifter og afregningen af modtagne aktiver, der betales i form af forfinansiering; bemærker med bekymring, at dette beløb ikke på nuværende tidspunkt kan anslås på en pålidelig måde;</w:t>
      </w:r>
    </w:p>
    <w:p w14:paraId="05C14FC6" w14:textId="77777777" w:rsidR="00C1635E" w:rsidRPr="00F87FB7" w:rsidRDefault="00C1635E" w:rsidP="00C1635E">
      <w:pPr>
        <w:pStyle w:val="NormalHanging12a"/>
      </w:pPr>
      <w:r w:rsidRPr="00F87FB7">
        <w:t>6.</w:t>
      </w:r>
      <w:r w:rsidRPr="00F87FB7">
        <w:tab/>
        <w:t>bemærker endvidere, at arbejdet på Galileojordstationer og den europæiske geostationære navigations-overlay-tjenestes (EGNOS') jordstationer i Ukraine er standset som følge af konflikten, men at dette ikke har nogen direkte indvirkning på EGNOS-systemets funktionalitet; fremhæver, at agenturet har taget alle de skridt, som det kunne tage for at beskytte det allerede installerede udstyr så vidt muligt, men at dets nøjagtige tilstand i øjeblikket ikke kendes; bemærker, at værtsenheden har indberettet et tilfælde af force majeure, og at den gældende kontrakt forventes at blive genaktiveret, så snart dette er løst; anmoder agenturet om at aflægge rapport til dechargemyndigheden om det installerede udstyrs tilstand, så snart krigen tillader det;</w:t>
      </w:r>
    </w:p>
    <w:p w14:paraId="641E200A" w14:textId="77777777" w:rsidR="00C1635E" w:rsidRPr="00F87FB7" w:rsidRDefault="00C1635E" w:rsidP="00C1635E">
      <w:pPr>
        <w:pStyle w:val="Normal12Hanging"/>
        <w:rPr>
          <w:szCs w:val="24"/>
        </w:rPr>
      </w:pPr>
      <w:r w:rsidRPr="00F87FB7">
        <w:t>7.</w:t>
      </w:r>
      <w:r w:rsidRPr="00F87FB7">
        <w:tab/>
        <w:t>bemærker, at agenturet har gennemført foranstaltninger til at overvåge forbindelserne med russiske og belarusiske institutioner, og at ændringer i markedsforholdene som følge af sanktioner ikke forventes at påvirke agenturets aktiviteter væsentligt;</w:t>
      </w:r>
    </w:p>
    <w:p w14:paraId="72C019EA" w14:textId="77777777" w:rsidR="00C1635E" w:rsidRPr="00F87FB7" w:rsidRDefault="00C1635E" w:rsidP="00C1635E">
      <w:pPr>
        <w:pStyle w:val="Normal12Hanging"/>
        <w:rPr>
          <w:szCs w:val="24"/>
        </w:rPr>
      </w:pPr>
      <w:r w:rsidRPr="00F87FB7">
        <w:t>8.</w:t>
      </w:r>
      <w:r w:rsidRPr="00F87FB7">
        <w:tab/>
        <w:t>bemærker, at der i 2022 blev truffet en række vigtige akkrediteringsbeslutninger for EGNOS, og at højdepunkter vedrørende EGNOS omfatter undertegnelsen af den næste EGNOS-tjenestekontrakt og en ny eftersøgnings- og redningskontrakt, vedligeholdelseskontrakten for EGNOS v2 og lanceringen af EGNOS GEO4-nyttelasten, og at der navnlig blev identificeret og fundet en løsning på en sumfejl i EGNOS; bemærker med tilfredshed Galileosystemets globale indflydelse med over 3,5 mia. aktiverede enheder på verdensplan; bemærker, at to nye Galileosatellitter blev taget i drift; bemærker med tilfredshed, at Galileotjenester, herunder sikkerhedsovervågning og statsreguleret tjeneste, viste fremragende resultater på trods af udfordringerne forbundet med covid-19;</w:t>
      </w:r>
    </w:p>
    <w:p w14:paraId="4EAF10A1" w14:textId="77777777" w:rsidR="00C1635E" w:rsidRPr="00F87FB7" w:rsidRDefault="00C1635E" w:rsidP="00C1635E">
      <w:pPr>
        <w:pStyle w:val="Normal12Hanging"/>
        <w:rPr>
          <w:szCs w:val="24"/>
        </w:rPr>
      </w:pPr>
      <w:r w:rsidRPr="00F87FB7">
        <w:t>9.</w:t>
      </w:r>
      <w:r w:rsidRPr="00F87FB7">
        <w:tab/>
        <w:t>noterer sig, at agenturets øvrige resultater i 2022 omfatter tilrettelæggelsen af EU's rumuge 2022 i Prag i samarbejde med Kommissionen og med støtte fra det tjekkiske formandskab for Rådet for Den Europæiske Union, oprettelsen af agenturets netværk af 1 000 nystartede virksomheder og 28 investorer og den første dag for rumiværksætteri inden for rammerne af CASSINI, idriftsættelsen af to nye Galileosatellitter og offentliggørelsen af den første markedsrapport, der dækker såvel jordobservation som GNSS;</w:t>
      </w:r>
    </w:p>
    <w:p w14:paraId="2D1DDC9C" w14:textId="77777777" w:rsidR="00C1635E" w:rsidRPr="00F87FB7" w:rsidRDefault="00C1635E" w:rsidP="00C1635E">
      <w:pPr>
        <w:pStyle w:val="NormalHanging12a"/>
      </w:pPr>
      <w:r w:rsidRPr="00F87FB7">
        <w:t>10.</w:t>
      </w:r>
      <w:r w:rsidRPr="00F87FB7">
        <w:tab/>
        <w:t>understreger, at agenturet bør blive det vigtigste gennemførelsesagentur for alle komponenter i Unionens rumprogram og garantere sikker levering af tjenester og akkreditering af alle komponenter i rumprogrammet (Galileo, EGNOS, jordobservation, rumtrafikstyring og offentlig telekommunikation og konnektivitet) og tilbyde robuste tjenester, der løbende udvikler sig i overensstemmelse med nuværende og fremtidige brugeres behov, herunder også statslige brugere med behov inden for modstandsdygtighed, forsvar og sikkerhed;</w:t>
      </w:r>
    </w:p>
    <w:p w14:paraId="6DA52AA1" w14:textId="77777777" w:rsidR="00C1635E" w:rsidRPr="00F87FB7" w:rsidRDefault="00C1635E" w:rsidP="00C1635E">
      <w:pPr>
        <w:pStyle w:val="NormalHanging12a"/>
      </w:pPr>
      <w:r w:rsidRPr="00F87FB7">
        <w:t>11.</w:t>
      </w:r>
      <w:r w:rsidRPr="00F87FB7">
        <w:tab/>
        <w:t>opfordrer agenturet til – som en hjørnesten i sikringen af Unionens sikkerhed og bæredygtighed i rummet – at gøre brug af sin merværdi i forbindelse med gennemførelsen af EU's fremtidige rumlovgivning under hensyntagen til Unionens økonomiske sikkerhed i rumaktiviteter og den tiltagende vækst i det nye rum;</w:t>
      </w:r>
    </w:p>
    <w:p w14:paraId="74615A25" w14:textId="77777777" w:rsidR="00C1635E" w:rsidRPr="00F87FB7" w:rsidRDefault="00C1635E" w:rsidP="00C1635E">
      <w:pPr>
        <w:pStyle w:val="Normal12Hanging"/>
        <w:rPr>
          <w:b/>
          <w:i/>
          <w:szCs w:val="24"/>
        </w:rPr>
      </w:pPr>
      <w:r w:rsidRPr="00F87FB7">
        <w:rPr>
          <w:b/>
          <w:i/>
        </w:rPr>
        <w:t>Effektivitet og gevinster</w:t>
      </w:r>
    </w:p>
    <w:p w14:paraId="55CC40CA" w14:textId="77777777" w:rsidR="00C1635E" w:rsidRPr="00F87FB7" w:rsidRDefault="00C1635E" w:rsidP="00C1635E">
      <w:pPr>
        <w:pStyle w:val="Normal12Hanging"/>
        <w:rPr>
          <w:szCs w:val="24"/>
        </w:rPr>
      </w:pPr>
      <w:r w:rsidRPr="00F87FB7">
        <w:t>12.</w:t>
      </w:r>
      <w:r w:rsidRPr="00F87FB7">
        <w:tab/>
        <w:t>bemærker, at agenturet har gjort en betydelig indsats for yderligere at strømline og automatisere processerne for forvaltning af menneskelige ressourcer med henblik på at opnå effektivitetsgevinster; bemærker, at agenturet i den forbindelse fortsatte med at udrulle forskellige Sysper-moduler (som f.eks. TIM, FLEX, TELEWORK) og forbinde dem med de eksisterende interne støtteapplikationer (f.eks. det intranetbaserede arbejdstidsregistreringsværktøj); bemærker, at afdelingen for menneskelige ressourcer har indført et e-billetsystem, der skal strømline behandlingen af forskellige anmodninger fra personalet; opfordrer agenturet til at finde flere interne procedurer, der kan strømlines ved hjælp af nye IT-værktøjer;</w:t>
      </w:r>
    </w:p>
    <w:p w14:paraId="17DE6F42" w14:textId="77777777" w:rsidR="00C1635E" w:rsidRPr="00F87FB7" w:rsidRDefault="00C1635E" w:rsidP="00C1635E">
      <w:pPr>
        <w:pStyle w:val="Normal12Hanging"/>
        <w:rPr>
          <w:szCs w:val="24"/>
        </w:rPr>
      </w:pPr>
      <w:r w:rsidRPr="00F87FB7">
        <w:t>13.</w:t>
      </w:r>
      <w:r w:rsidRPr="00F87FB7">
        <w:tab/>
        <w:t>bemærker, at agenturet i henhold til rammeaftalen om finansielt partnerskab er forpligtet til at samarbejde med Kommissionen og Den Europæiske Rumorganisation (ESA) om i fællesskab at fastlægge de nærmere ordninger for at nå Den Europæiske Unions klimamål og til at samarbejde om aktiviteter, der bidrager til at nå disse mål; bemærker endvidere, at agenturet i henhold til artikel 30 i rammeaftalen om finansielt partnerskab er forpligtet til inden udgangen af 2023 at gennemføre ordningen for miljøledelse og miljørevision (EMAS);</w:t>
      </w:r>
    </w:p>
    <w:p w14:paraId="4B5F03B4" w14:textId="77777777" w:rsidR="00C1635E" w:rsidRPr="00F87FB7" w:rsidRDefault="00C1635E" w:rsidP="00C1635E">
      <w:pPr>
        <w:pStyle w:val="Normal12Hanging"/>
        <w:rPr>
          <w:szCs w:val="24"/>
        </w:rPr>
      </w:pPr>
      <w:r w:rsidRPr="00F87FB7">
        <w:t>14.</w:t>
      </w:r>
      <w:r w:rsidRPr="00F87FB7">
        <w:tab/>
        <w:t>bemærker, at der for så vidt angår grønne offentlige indkøb i 2022 er sket visse fremskridt med hensyn til at fastslå, hvilke udbudsprocedurer der har "grønne" aspekter, og med hensyn til at kigge nærmere på anvendelsen af grønne kriterier; bemærker endvidere, at agenturet i 2023 gradvist har udviklet en mere robust tilgang med henblik på rent faktisk at gennemføre grønne offentlige indkøb på en permanent basis, uddanne sit personale og gradvist indføre grønne kriterier i forbindelse med sine offentlige udbud og i overensstemmelse med sin miljøpolitik og den igangværende EMAS-certificering;</w:t>
      </w:r>
    </w:p>
    <w:p w14:paraId="171DEA3C" w14:textId="77777777" w:rsidR="00C1635E" w:rsidRPr="00F87FB7" w:rsidRDefault="00C1635E" w:rsidP="00C1635E">
      <w:pPr>
        <w:pStyle w:val="Normal12Hanging"/>
        <w:rPr>
          <w:szCs w:val="24"/>
        </w:rPr>
      </w:pPr>
      <w:r w:rsidRPr="00F87FB7">
        <w:t>15.</w:t>
      </w:r>
      <w:r w:rsidRPr="00F87FB7">
        <w:tab/>
        <w:t>roser agenturet for dets engagement i processen med at reducere sin miljøpåvirkning, optimere sit ressourceforbrug og reducere sit CO</w:t>
      </w:r>
      <w:r w:rsidRPr="00F87FB7">
        <w:rPr>
          <w:vertAlign w:val="subscript"/>
        </w:rPr>
        <w:t>2</w:t>
      </w:r>
      <w:r w:rsidRPr="00F87FB7">
        <w:t>-fodaftryk og for at have taget det første skridt i den retning samt for vedtagelsen og offentliggørelsen af sin miljøpolitik den 16. december 2022;</w:t>
      </w:r>
    </w:p>
    <w:p w14:paraId="71AFAB1A" w14:textId="77777777" w:rsidR="00C1635E" w:rsidRPr="00F87FB7" w:rsidRDefault="00C1635E" w:rsidP="00C1635E">
      <w:pPr>
        <w:pStyle w:val="NormalHanging12a"/>
      </w:pPr>
      <w:r w:rsidRPr="00F87FB7">
        <w:t>16.</w:t>
      </w:r>
      <w:r w:rsidRPr="00F87FB7">
        <w:tab/>
        <w:t>minder om vigtigheden af at øge agenturets digitalisering med hensyn til intern drift og forvaltning, men også med henblik på at fremskynde digitaliseringen af procedurerne; understreger nødvendigheden af, at agenturet fortsat er proaktivt i denne henseende med henblik på at undgå en digital kløft mellem agenturerne; gør imidlertid opmærksom på behovet for at træffe alle de nødvendige forholdsregler for at undgå enhver risiko med hensyn til onlinesikkerheden af de behandlede oplysninger og insisterer på, at det er nødvendigt at bekæmpe cyberangreb eller forsøg på infiltration, navnlig når de stammer fra Rusland eller Kina;</w:t>
      </w:r>
    </w:p>
    <w:p w14:paraId="7B440432" w14:textId="77777777" w:rsidR="00C1635E" w:rsidRPr="00F87FB7" w:rsidRDefault="00C1635E" w:rsidP="00C1635E">
      <w:pPr>
        <w:pStyle w:val="NormalHanging12a"/>
      </w:pPr>
      <w:r w:rsidRPr="00F87FB7">
        <w:t>17.</w:t>
      </w:r>
      <w:r w:rsidRPr="00F87FB7">
        <w:tab/>
        <w:t>opfordrer agenturet til yderligere at afdække og fremme den synergiskabende anvendelse af komponenterne i Unionens rumprogram og IRIS</w:t>
      </w:r>
      <w:r w:rsidRPr="00F87FB7">
        <w:rPr>
          <w:vertAlign w:val="subscript"/>
        </w:rPr>
        <w:t>2</w:t>
      </w:r>
      <w:r w:rsidRPr="00F87FB7">
        <w:t>, bl.a. med henblik på gennemførelsen af Unionens rumstrategi for sikkerhed og forsvar, for at sikre, at alle opgaver på lang sigt kan samles i ét sammenhængende rumprogram, hvilket giver mulighed for bedre synergi mellem de forskellige komponenter;</w:t>
      </w:r>
    </w:p>
    <w:p w14:paraId="7B61E6D3" w14:textId="77777777" w:rsidR="00C1635E" w:rsidRPr="00F87FB7" w:rsidRDefault="00C1635E" w:rsidP="00C1635E">
      <w:pPr>
        <w:pStyle w:val="NormalHanging12a"/>
      </w:pPr>
      <w:r w:rsidRPr="00F87FB7">
        <w:t>18.</w:t>
      </w:r>
      <w:r w:rsidRPr="00F87FB7">
        <w:tab/>
        <w:t>opfordrer agenturet til at fortsætte sit arbejde i partnerskab med Kommissionen med hensyn til GOVSATCOM-centrene og ser frem til de synergier, der vil blive opnået med IRIS</w:t>
      </w:r>
      <w:r w:rsidRPr="00F87FB7">
        <w:rPr>
          <w:vertAlign w:val="subscript"/>
        </w:rPr>
        <w:t>2</w:t>
      </w:r>
      <w:r w:rsidRPr="00F87FB7">
        <w:t>-systemet; fremhæver EUSPA's rolle i udviklingen, udrulningen og driften af IRIS</w:t>
      </w:r>
      <w:r w:rsidRPr="00F87FB7">
        <w:rPr>
          <w:vertAlign w:val="subscript"/>
        </w:rPr>
        <w:t>2</w:t>
      </w:r>
      <w:r w:rsidRPr="00F87FB7">
        <w:t xml:space="preserve"> ved at sikre adgang til meget sikre, suveræne og globale konnektivitetstjenester baseret på avanceret krypteringsteknologi;</w:t>
      </w:r>
    </w:p>
    <w:p w14:paraId="75E125CF" w14:textId="77777777" w:rsidR="00C1635E" w:rsidRPr="00F87FB7" w:rsidRDefault="00C1635E" w:rsidP="00C1635E">
      <w:pPr>
        <w:pStyle w:val="NormalHanging12a"/>
      </w:pPr>
      <w:r w:rsidRPr="00F87FB7">
        <w:t>19.</w:t>
      </w:r>
      <w:r w:rsidRPr="00F87FB7">
        <w:tab/>
        <w:t>fremhæver agenturets rolle i udviklingen af Copernicus, navnlig med hensyn til statslig anvendelse af jordobservation i lyset af den geopolitiske situation, og minder om behovet for at gøre brug af agenturets ekspertise inden for sikkerhedsakkreditering, overvågning og kontraktgennemførelse i denne henseende med henblik på at styrke Unionens operationelle kapacitet til at handle i alle faser af katastroferisikostyring, både i forbindelse med naturkatastrofer og menneskeskabte katastrofer;</w:t>
      </w:r>
    </w:p>
    <w:p w14:paraId="59746B76" w14:textId="77777777" w:rsidR="00C1635E" w:rsidRPr="00F87FB7" w:rsidRDefault="00C1635E" w:rsidP="00C1635E">
      <w:pPr>
        <w:pStyle w:val="Normal12Hanging"/>
        <w:rPr>
          <w:b/>
          <w:i/>
          <w:szCs w:val="24"/>
        </w:rPr>
      </w:pPr>
      <w:r w:rsidRPr="00F87FB7">
        <w:rPr>
          <w:b/>
          <w:i/>
        </w:rPr>
        <w:t>Personalepolitik</w:t>
      </w:r>
    </w:p>
    <w:p w14:paraId="624B720B" w14:textId="77777777" w:rsidR="00C1635E" w:rsidRPr="00F87FB7" w:rsidRDefault="00C1635E" w:rsidP="00C1635E">
      <w:pPr>
        <w:pStyle w:val="Normal12Hanging"/>
        <w:rPr>
          <w:szCs w:val="24"/>
        </w:rPr>
      </w:pPr>
      <w:r w:rsidRPr="00F87FB7">
        <w:t>20.</w:t>
      </w:r>
      <w:r w:rsidRPr="00F87FB7">
        <w:tab/>
        <w:t>lykønsker agenturet med det forhold, at gennemførelsesgraden for stillingsfortegnelsen pr. 31. december 2022 var 100 % med 231 midlertidigt ansatte ud af de 231 midlertidigt ansatte, som var godkendt i henhold til Unionens budget (sammenlignet med 191 godkendte stillinger i 2021); bemærker, at 46 kontraktansatte og ni udstationerede nationale eksperter derudover arbejdede for agenturet i 2022, hvilket bragte det samlede antal ansatte op på 286;</w:t>
      </w:r>
    </w:p>
    <w:p w14:paraId="03630A95" w14:textId="77777777" w:rsidR="00C1635E" w:rsidRPr="00F87FB7" w:rsidRDefault="00C1635E" w:rsidP="00C1635E">
      <w:pPr>
        <w:pStyle w:val="Normal12Hanging"/>
        <w:rPr>
          <w:szCs w:val="24"/>
        </w:rPr>
      </w:pPr>
      <w:r w:rsidRPr="00F87FB7">
        <w:t>21.</w:t>
      </w:r>
      <w:r w:rsidRPr="00F87FB7">
        <w:tab/>
        <w:t>bemærker med bekymring den manglende kønsbalance i agenturets øverste ledelse og blandt dets mellemledere, hvor tre ud af tre er mænd; beklager den manglende kønsbalance i agenturets bestyrelse, hvor 22 ud af 28 er mænd; bemærker desuden kønsbalancen i agenturets samlede personale, hvor 153 ud af 232 er mænd; noterer sig på baggrund af agenturets beretning med hensyn til de opfølgende foranstaltninger, der er truffet i lyset af decharge for gennemførelsen af agenturets budget for regnskabsåret 2021 ("agenturets opfølgningsrapport"), at agenturet har vedtaget en mangfoldigheds- og inklusionsstrategi i 2023 ledsaget af en handlingsplan med konkrete foranstaltninger, der skal bidrage til mangfoldighed og inklusion, herunder kønsperspektivet; bemærker, at kønsbalancen blandt medlemmerne af agenturets øverste ledelse og mellemledere og det administrative personale skal forbedres; minder om vigtigheden af at sikre kønsbalance og opfordrer agenturet til at tage dette aspekt i betragtning med hensyn til fremtidig ansættelse af personale og udnævnelser, navnlig inden for den øverste ledelse og på mellemlederniveau; insisterer på, at Kommissionen og medlemsstaterne tager hensyn til vigtigheden af at sikre kønsbalance, når de indstiller deres medlemmer til agenturets bestyrelse;</w:t>
      </w:r>
    </w:p>
    <w:p w14:paraId="0999AFE7" w14:textId="77777777" w:rsidR="00C1635E" w:rsidRPr="00F87FB7" w:rsidRDefault="00C1635E" w:rsidP="00C1635E">
      <w:pPr>
        <w:pStyle w:val="NormalHanging12a"/>
      </w:pPr>
      <w:r w:rsidRPr="00F87FB7">
        <w:t>22.</w:t>
      </w:r>
      <w:r w:rsidRPr="00F87FB7">
        <w:tab/>
        <w:t>bemærker, at agenturet har en politik for beskyttelse af personers værdighed og forebyggelse af psykisk og seksuel chikane, og at agenturet deltager i agenturernes taskforce af fortrolige rådgivere; ser frem til at modtage deres rapport og anbefalinger; bemærker, at der ikke blev indberettet nogen tilfælde af chikane i 2022, og opfordrer agenturet til at fortsætte og udvikle arbejdet med også at forebygge tilfælde i fremtiden;</w:t>
      </w:r>
    </w:p>
    <w:p w14:paraId="67FDE61D" w14:textId="77777777" w:rsidR="00C1635E" w:rsidRPr="00F87FB7" w:rsidRDefault="00C1635E" w:rsidP="00C1635E">
      <w:pPr>
        <w:pStyle w:val="Normal12Hanging"/>
        <w:rPr>
          <w:szCs w:val="24"/>
        </w:rPr>
      </w:pPr>
      <w:r w:rsidRPr="00F87FB7">
        <w:t>23.</w:t>
      </w:r>
      <w:r w:rsidRPr="00F87FB7">
        <w:tab/>
        <w:t>minder om Revisionsrettens bemærkning fra 2021 om de proceduremæssige mangler i forbindelse med to reviderede ansættelsesprocedurer, at agenturet gennemførte yderligere ændringer i sine udvælgelsesprocesser, og at skabeloner og instrukser til udvælgelseskomitéens medlemmer er blevet ændret, og at der gives mere vejledning til udvælgelseskomitéens medlemmer, når de fastsætter kriterierne for et stillingsopslag; bemærker endvidere, at Revisionsretten har fundet disse forbedringer tilfredsstillende, og at bemærkningen derfor er afsluttet;</w:t>
      </w:r>
    </w:p>
    <w:p w14:paraId="1271E564" w14:textId="77777777" w:rsidR="00C1635E" w:rsidRPr="00F87FB7" w:rsidRDefault="00C1635E" w:rsidP="00C1635E">
      <w:pPr>
        <w:pStyle w:val="Normal12Hanging"/>
        <w:rPr>
          <w:szCs w:val="24"/>
        </w:rPr>
      </w:pPr>
      <w:r w:rsidRPr="00F87FB7">
        <w:t>24.</w:t>
      </w:r>
      <w:r w:rsidRPr="00F87FB7">
        <w:tab/>
        <w:t>minder om, at agenturet fortsat gennemfører den gradvise og fortløbende reduktion af det samlede antal stillinger som kontraktansat for at være i overensstemmelse med de samlede ressourcer, der stilles til rådighed for agenturet; bemærker, at agenturet samtidig hermed fortsat lægger vægt på sine resterende stillinger som kontraktansat på sikkerhedsområdet og inden for rammerne af Galileosikkerhedsovervågningscentrets (GSMC's) driftsfunktioner; fremhæver, at agenturet i den forbindelse fortsat bemærker, at der er risici forbundet med reduktionen af antallet af stillinger som kontraktansat, og at dette rent faktisk nødvendiggør yderligere outsourcing, hvilket medfører øgede finansielle omkostninger og fører til udvikling af kompetencer og knowhow uden for den offentlige sektor;</w:t>
      </w:r>
    </w:p>
    <w:p w14:paraId="3679F4A9" w14:textId="77777777" w:rsidR="00C1635E" w:rsidRPr="00F87FB7" w:rsidRDefault="00C1635E" w:rsidP="00C1635E">
      <w:pPr>
        <w:pStyle w:val="Normal12Hanging"/>
        <w:rPr>
          <w:szCs w:val="24"/>
        </w:rPr>
      </w:pPr>
      <w:r w:rsidRPr="00F87FB7">
        <w:t>25.</w:t>
      </w:r>
      <w:r w:rsidRPr="00F87FB7">
        <w:tab/>
        <w:t>minder på baggrund af Revisionsrettens beretning om bemærkningen fra 2021 om de restriktioner, som agenturet pålagde en ledende medarbejder, der påbegyndte et nyt job et andet sted, men uden at det redegjorde for årsagerne til disse restriktioner; bemærker endvidere, at denne bemærkning er afsluttet, at agenturet har revideret sine procedurer for at afhjælpe den konstaterede mangel, og at der i 2022 ikke blev konstateret lignende tilfælde;</w:t>
      </w:r>
    </w:p>
    <w:p w14:paraId="7FABCE3C" w14:textId="77777777" w:rsidR="00C1635E" w:rsidRPr="00F87FB7" w:rsidRDefault="00C1635E" w:rsidP="00C1635E">
      <w:pPr>
        <w:pStyle w:val="Normal12Hanging"/>
        <w:rPr>
          <w:szCs w:val="24"/>
        </w:rPr>
      </w:pPr>
      <w:r w:rsidRPr="00F87FB7">
        <w:t>26.</w:t>
      </w:r>
      <w:r w:rsidRPr="00F87FB7">
        <w:tab/>
        <w:t>glæder sig over, at agenturet i 2022 fuldt ud har tilsluttet sig tidsstyringmodulet, herunder teleworking og flexitime, og har indgået en yderligere serviceleveranceaftale for rapporterings- og analysemodulet vedrørende menneskelige ressourcer, som skal indføres i 2023; bemærker, at agenturet har vedtaget Kommissionens afgørelse om arbejdstid og hybridarbejde C(2022)1778 og nøje overvåger resultaterne af denne afgørelse, som forventes at forbedre personalets trivsel på arbejdspladsen og fremme balancen mellem arbejdsliv og privatliv;</w:t>
      </w:r>
    </w:p>
    <w:p w14:paraId="7D13C1A3" w14:textId="77777777" w:rsidR="00C1635E" w:rsidRPr="00F87FB7" w:rsidRDefault="00C1635E" w:rsidP="00C1635E">
      <w:pPr>
        <w:pStyle w:val="Normal12Hanging"/>
        <w:rPr>
          <w:szCs w:val="24"/>
        </w:rPr>
      </w:pPr>
      <w:r w:rsidRPr="00F87FB7">
        <w:rPr>
          <w:b/>
          <w:i/>
        </w:rPr>
        <w:t>Udbud</w:t>
      </w:r>
    </w:p>
    <w:p w14:paraId="79F89581" w14:textId="77777777" w:rsidR="00C1635E" w:rsidRPr="00F87FB7" w:rsidRDefault="00C1635E" w:rsidP="00C1635E">
      <w:pPr>
        <w:pStyle w:val="Normal12Hanging"/>
        <w:rPr>
          <w:szCs w:val="24"/>
        </w:rPr>
      </w:pPr>
      <w:r w:rsidRPr="00F87FB7">
        <w:t>27.</w:t>
      </w:r>
      <w:r w:rsidRPr="00F87FB7">
        <w:tab/>
        <w:t>noterer sig på baggrund af Revisionsrettens beretning, at agenturet i september 2021 iværksatte et udbud med forhandling uden forudgående offentliggørelse af en udbudsbekendtgørelse med en national offentlig enhed om levering af forskellige tjenesteydelser i forbindelse med eftersøgnings- og redningsaktiviteter; fremhæver, at tilbudsgiveren allerede siden 2016 havde leveret lignende tjenester til agenturet, og at agenturet havde til hensigt at indgå en ny rammekontrakt med en udløbsdato fastsat til den 31. december 2032 og et maksimalt budget på 120 mio. EUR; bemærker, at den endelige rammeaftale blev underskrevet den 1. december 2022 og involverede adskillige underleverandører; bemærker, at der ifølge Revisionsretten på nogle punkter ikke var overensstemmelse mellem udbudsbetingelsernes krav og evalueringsudvalgets vurdering; bemærker f.eks., at kravet til kontrahenterne om at erklære fravær af interessekonflikter enten blev fraveget eller ikke analyseret korrekt i evalueringsfasen, og nævner som et andet eksempel herpå, at det modtagne tilbud anvendte 2022 som referenceår for fastsættelse af priserne i stedet for 2021, som de tekniske specifikationer krævede; noterer sig, at agenturet er af den opfattelse, at uoverensstemmelserne var berettigede på grund af hovedkontrahentens status som national offentlig enhed og på grund af de kontroller, som sidstnævnte udførte, og at agenturet for så vidt angår det referenceår, der blev anvendt til at fastsætte prisen i tilbuddet, accepterede afvigelsen på grund af varigheden af den procedure, der førte til indgåelsen af kontrakten ved udgangen af 2022;</w:t>
      </w:r>
    </w:p>
    <w:p w14:paraId="508C697A" w14:textId="77777777" w:rsidR="00C1635E" w:rsidRPr="00F87FB7" w:rsidRDefault="00C1635E" w:rsidP="00C1635E">
      <w:pPr>
        <w:pStyle w:val="Normal12Hanging"/>
        <w:rPr>
          <w:szCs w:val="24"/>
        </w:rPr>
      </w:pPr>
      <w:r w:rsidRPr="00F87FB7">
        <w:t>28.</w:t>
      </w:r>
      <w:r w:rsidRPr="00F87FB7">
        <w:tab/>
        <w:t>understreger, at reglerne for offentlige udbud skal sikre, at ordregivere kan indkøbe varer og tjenesteydelser til den bedste pris, at der er fair konkurrence mellem tilbudsgiverne, og at principperne om gennemsigtighed, proportionalitet, ligebehandling og ikkeforskelsbehandling overholdes; opfordrer agenturet til yderligere at forbedre sine offentlige udbudsprocedurer og sørge for, at de gældende regler overholdes fuldt ud, så der opnås mest mulig valuta for pengene;</w:t>
      </w:r>
    </w:p>
    <w:p w14:paraId="35B751A6" w14:textId="77777777" w:rsidR="00C1635E" w:rsidRPr="00F87FB7" w:rsidRDefault="00C1635E" w:rsidP="00C1635E">
      <w:pPr>
        <w:pStyle w:val="Normal12Hanging"/>
        <w:rPr>
          <w:b/>
          <w:i/>
          <w:szCs w:val="24"/>
        </w:rPr>
      </w:pPr>
      <w:r w:rsidRPr="00F87FB7">
        <w:rPr>
          <w:b/>
          <w:i/>
        </w:rPr>
        <w:t>Forebyggelse og håndtering af interessekonflikter samt gennemsigtighed</w:t>
      </w:r>
    </w:p>
    <w:p w14:paraId="54C42F76" w14:textId="77777777" w:rsidR="00C1635E" w:rsidRPr="00F87FB7" w:rsidRDefault="00C1635E" w:rsidP="00C1635E">
      <w:pPr>
        <w:pStyle w:val="Normal12Hanging"/>
        <w:rPr>
          <w:szCs w:val="24"/>
        </w:rPr>
      </w:pPr>
      <w:r w:rsidRPr="00F87FB7">
        <w:t>29.</w:t>
      </w:r>
      <w:r w:rsidRPr="00F87FB7">
        <w:tab/>
        <w:t>bemærker, at agenturet i 2020 foretog en bred vurdering af gennemførelsen af sin strategi for bekæmpelse af svig, og at agenturet derfor i 2022 kunne offentliggøre sin nye strategi for bekæmpelse af svig, som er blevet vedtaget af agenturets bestyrelse; bemærker, at agenturet nu er begyndt at gennemføre den med store og brede foranstaltninger, der navnlig berører dets personale; bemærker med tilfredshed, at interesseerklæringerne fra og CV'erne for bestyrelsesmedlemmerne og den øverste ledelse er blevet offentliggjort på agenturets websted;</w:t>
      </w:r>
    </w:p>
    <w:p w14:paraId="055D99C3" w14:textId="77777777" w:rsidR="00C1635E" w:rsidRPr="00F87FB7" w:rsidRDefault="00C1635E" w:rsidP="00C1635E">
      <w:pPr>
        <w:pStyle w:val="Normal12Hanging"/>
      </w:pPr>
      <w:r w:rsidRPr="00F87FB7">
        <w:t>30.</w:t>
      </w:r>
      <w:r w:rsidRPr="00F87FB7">
        <w:tab/>
        <w:t>bemærker, at agenturet havde én whistleblowersag i 2022, som gav anledning til adskillige undersøgelser, hvoraf visse stadig er verserende i 2023; opfordrer agenturet til at aflægge rapport til dechargemyndigheden om udviklingen i den henseende; noterer sig på baggrund af agenturets opfølgningsrapport fra 2021, at agenturet i forbindelse med whistleblowersagen fra 2021 har samarbejdet med OLAF efter behov og tilvejebragt alle tilgængelige oplysninger, som der blev anmodet om; noterer sig, at der i 2022 ikke blev undersøgt eller afsluttet sager vedrørende interessekonflikter;</w:t>
      </w:r>
    </w:p>
    <w:p w14:paraId="72E083C9" w14:textId="77777777" w:rsidR="00C1635E" w:rsidRPr="00F87FB7" w:rsidRDefault="00C1635E" w:rsidP="00C1635E">
      <w:pPr>
        <w:pStyle w:val="Normal12Hanging"/>
      </w:pPr>
      <w:r w:rsidRPr="00F87FB7">
        <w:t>31.</w:t>
      </w:r>
      <w:r w:rsidRPr="00F87FB7">
        <w:tab/>
        <w:t>noterer sig, at der føres et internt register over møder, som den øverste ledelse holder med industrien, men at det ikke offentliggøres på agenturets websted; understreger betydningen af gennemsigtighed og opfordrer agenturet til at offentliggøre disse møder hurtigst muligt;</w:t>
      </w:r>
    </w:p>
    <w:p w14:paraId="2A2CADD5" w14:textId="77777777" w:rsidR="00C1635E" w:rsidRPr="00F87FB7" w:rsidRDefault="00C1635E" w:rsidP="00C1635E">
      <w:pPr>
        <w:pStyle w:val="Normal12Hanging"/>
        <w:rPr>
          <w:szCs w:val="24"/>
        </w:rPr>
      </w:pPr>
      <w:r w:rsidRPr="00F87FB7">
        <w:t>32.</w:t>
      </w:r>
      <w:r w:rsidRPr="00F87FB7">
        <w:tab/>
        <w:t>insisterer på, at det er nødvendigt at fortsætte arbejdet med gennemsigtighed, uforenelighed, interessekonflikter, ulovlig lobbyvirksomhed og svingdørssituationer;</w:t>
      </w:r>
    </w:p>
    <w:p w14:paraId="0F1588F1" w14:textId="77777777" w:rsidR="00C1635E" w:rsidRPr="00F87FB7" w:rsidRDefault="00C1635E" w:rsidP="00C1635E">
      <w:pPr>
        <w:pStyle w:val="NormalHanging12a"/>
      </w:pPr>
      <w:r w:rsidRPr="00F87FB7">
        <w:t>33.</w:t>
      </w:r>
      <w:r w:rsidRPr="00F87FB7">
        <w:tab/>
        <w:t>minder om vigtigheden af, at agenturet udvikler større synlighed i medierne, på internettet og på de sociale medier for at gøre borgerne bekendt med dets arbejde;</w:t>
      </w:r>
    </w:p>
    <w:p w14:paraId="483340BE" w14:textId="77777777" w:rsidR="00C1635E" w:rsidRPr="00F87FB7" w:rsidRDefault="00C1635E" w:rsidP="00C1635E">
      <w:pPr>
        <w:pStyle w:val="Normal12Hanging"/>
        <w:rPr>
          <w:szCs w:val="24"/>
        </w:rPr>
      </w:pPr>
      <w:r w:rsidRPr="00F87FB7">
        <w:rPr>
          <w:b/>
          <w:i/>
        </w:rPr>
        <w:t>Øvrige bemærkninger</w:t>
      </w:r>
    </w:p>
    <w:p w14:paraId="7147A5E4" w14:textId="77777777" w:rsidR="00C1635E" w:rsidRPr="00F87FB7" w:rsidRDefault="00C1635E" w:rsidP="00C1635E">
      <w:pPr>
        <w:pStyle w:val="NormalCenter12a"/>
        <w:ind w:left="567" w:hanging="567"/>
        <w:jc w:val="left"/>
        <w:rPr>
          <w:szCs w:val="24"/>
        </w:rPr>
      </w:pPr>
      <w:r w:rsidRPr="00F87FB7">
        <w:t>34.</w:t>
      </w:r>
      <w:r w:rsidRPr="00F87FB7">
        <w:tab/>
        <w:t>roser agenturet for fortsat at være aktivt på de største sociale medieplatforme, for at have åbnet konti på europæiske sociale mediekanaler, der lægger vægt på privatlivets fred (Mastodon og Peertube), og for at have offentliggjort 107 nyhedshistorier på sit websted og 13 pressemeddelelser (hvoraf størstedelen forefindes på alle officielle EU-sprog) i den hensigt at nå ud til alle medlemsstaterne; bemærker endvidere, at agenturet organiserede arrangementer såsom EU's rumuge (med 3 000 besøgende (på stedet og virtuelt)), EUSPA Open Days, CASSINI Hackathons, informationsmøder under Horisont Europa og talrige webinarer om muligheder i forbindelse med offentlige udbud;</w:t>
      </w:r>
    </w:p>
    <w:p w14:paraId="64B4191B" w14:textId="77777777" w:rsidR="00C1635E" w:rsidRPr="00F87FB7" w:rsidRDefault="00C1635E" w:rsidP="00C1635E">
      <w:pPr>
        <w:pStyle w:val="NormalCenter12a"/>
      </w:pPr>
      <w:r w:rsidRPr="00F87FB7">
        <w:t>°</w:t>
      </w:r>
    </w:p>
    <w:p w14:paraId="6C34159F" w14:textId="77777777" w:rsidR="00C1635E" w:rsidRPr="00F87FB7" w:rsidRDefault="00C1635E" w:rsidP="00C1635E">
      <w:pPr>
        <w:pStyle w:val="NormalCenter12a"/>
      </w:pPr>
      <w:r w:rsidRPr="00F87FB7">
        <w:t>°</w:t>
      </w:r>
      <w:r w:rsidRPr="00F87FB7">
        <w:tab/>
        <w:t>°</w:t>
      </w:r>
    </w:p>
    <w:p w14:paraId="252E556C" w14:textId="2D7906C6" w:rsidR="00C1635E" w:rsidRPr="00F87FB7" w:rsidRDefault="00C1635E" w:rsidP="00C1635E">
      <w:pPr>
        <w:pStyle w:val="NormalHanging12a"/>
      </w:pPr>
      <w:r w:rsidRPr="00F87FB7">
        <w:t>35.</w:t>
      </w:r>
      <w:r w:rsidRPr="00F87FB7">
        <w:tab/>
        <w:t xml:space="preserve">henviser med hensyn til de øvrige bemærkninger, der ledsager dechargeafgørelsen, og som er af horisontal karakter, til sin beslutning af </w:t>
      </w:r>
      <w:r w:rsidR="006C560E" w:rsidRPr="00F87FB7">
        <w:t>11. april 2024</w:t>
      </w:r>
      <w:r w:rsidRPr="00F87FB7">
        <w:rPr>
          <w:rStyle w:val="FootnoteReference"/>
        </w:rPr>
        <w:footnoteReference w:id="12"/>
      </w:r>
      <w:bookmarkStart w:id="12" w:name="_GoBack"/>
      <w:bookmarkEnd w:id="12"/>
      <w:r w:rsidRPr="00F87FB7">
        <w:t xml:space="preserve"> om agenturernes resultater, økonomiske forvaltning og kontrol.</w:t>
      </w:r>
    </w:p>
    <w:sectPr w:rsidR="00C1635E" w:rsidRPr="00F87FB7" w:rsidSect="000C218B">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D26A3D" w14:textId="77777777" w:rsidR="006751B2" w:rsidRPr="000C218B" w:rsidRDefault="006751B2">
      <w:r w:rsidRPr="000C218B">
        <w:separator/>
      </w:r>
    </w:p>
  </w:endnote>
  <w:endnote w:type="continuationSeparator" w:id="0">
    <w:p w14:paraId="6237AF03" w14:textId="77777777" w:rsidR="006751B2" w:rsidRPr="000C218B" w:rsidRDefault="006751B2">
      <w:r w:rsidRPr="000C218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5DB1F1" w14:textId="77777777" w:rsidR="00C1635E" w:rsidRPr="000C218B" w:rsidRDefault="00C1635E" w:rsidP="006B0BDB">
    <w:pPr>
      <w:pStyle w:val="EPFooter"/>
    </w:pPr>
    <w:r w:rsidRPr="000C218B">
      <w:t>PE</w:t>
    </w:r>
    <w:r w:rsidRPr="000C218B">
      <w:rPr>
        <w:rStyle w:val="HideTWBExt"/>
      </w:rPr>
      <w:t>&lt;NoPE&gt;</w:t>
    </w:r>
    <w:r w:rsidRPr="000C218B">
      <w:t>753.541</w:t>
    </w:r>
    <w:r w:rsidRPr="000C218B">
      <w:rPr>
        <w:rStyle w:val="HideTWBExt"/>
      </w:rPr>
      <w:t>&lt;/NoPE&gt;&lt;Version&gt;</w:t>
    </w:r>
    <w:r w:rsidRPr="000C218B">
      <w:t>v03-00</w:t>
    </w:r>
    <w:r w:rsidRPr="000C218B">
      <w:rPr>
        <w:rStyle w:val="HideTWBExt"/>
      </w:rPr>
      <w:t>&lt;/Version&gt;</w:t>
    </w:r>
    <w:r w:rsidRPr="000C218B">
      <w:tab/>
    </w:r>
    <w:r w:rsidRPr="000C218B">
      <w:fldChar w:fldCharType="begin"/>
    </w:r>
    <w:r w:rsidRPr="000C218B">
      <w:instrText xml:space="preserve"> PAGE  \* MERGEFORMAT </w:instrText>
    </w:r>
    <w:r w:rsidRPr="000C218B">
      <w:fldChar w:fldCharType="separate"/>
    </w:r>
    <w:r w:rsidRPr="000C218B">
      <w:rPr>
        <w:noProof/>
      </w:rPr>
      <w:t>4</w:t>
    </w:r>
    <w:r w:rsidRPr="000C218B">
      <w:fldChar w:fldCharType="end"/>
    </w:r>
    <w:r w:rsidRPr="000C218B">
      <w:t>/</w:t>
    </w:r>
    <w:r w:rsidR="00CE7EB5">
      <w:fldChar w:fldCharType="begin"/>
    </w:r>
    <w:r w:rsidR="00CE7EB5">
      <w:instrText xml:space="preserve"> NUMPAGES  \* MERGEFORMAT </w:instrText>
    </w:r>
    <w:r w:rsidR="00CE7EB5">
      <w:fldChar w:fldCharType="separate"/>
    </w:r>
    <w:r w:rsidRPr="000C218B">
      <w:rPr>
        <w:noProof/>
      </w:rPr>
      <w:t>4</w:t>
    </w:r>
    <w:r w:rsidR="00CE7EB5">
      <w:rPr>
        <w:noProof/>
      </w:rPr>
      <w:fldChar w:fldCharType="end"/>
    </w:r>
    <w:r w:rsidRPr="000C218B">
      <w:tab/>
    </w:r>
    <w:r w:rsidRPr="000C218B">
      <w:rPr>
        <w:rStyle w:val="HideTWBExt"/>
      </w:rPr>
      <w:t>&lt;PathFdR&gt;</w:t>
    </w:r>
    <w:r w:rsidRPr="000C218B">
      <w:t>RR\1299048DA.docx</w:t>
    </w:r>
    <w:r w:rsidRPr="000C218B">
      <w:rPr>
        <w:rStyle w:val="HideTWBExt"/>
      </w:rPr>
      <w:t>&lt;/PathFdR&gt;</w:t>
    </w:r>
  </w:p>
  <w:p w14:paraId="09804598" w14:textId="77777777" w:rsidR="00C1635E" w:rsidRPr="000C218B" w:rsidRDefault="00C1635E" w:rsidP="006B0BDB">
    <w:pPr>
      <w:pStyle w:val="EPFooter2"/>
    </w:pPr>
    <w:r w:rsidRPr="000C218B">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0AB1A3" w14:textId="77777777" w:rsidR="00C1635E" w:rsidRPr="000C218B" w:rsidRDefault="00C1635E" w:rsidP="006B0BDB">
    <w:pPr>
      <w:pStyle w:val="EPFooter"/>
    </w:pPr>
    <w:r w:rsidRPr="000C218B">
      <w:rPr>
        <w:rStyle w:val="HideTWBExt"/>
      </w:rPr>
      <w:t>&lt;PathFdR&gt;</w:t>
    </w:r>
    <w:r w:rsidRPr="000C218B">
      <w:t>RR\1299048DA.docx</w:t>
    </w:r>
    <w:r w:rsidRPr="000C218B">
      <w:rPr>
        <w:rStyle w:val="HideTWBExt"/>
      </w:rPr>
      <w:t>&lt;/PathFdR&gt;</w:t>
    </w:r>
    <w:r w:rsidRPr="000C218B">
      <w:tab/>
    </w:r>
    <w:r w:rsidRPr="000C218B">
      <w:tab/>
      <w:t>PE</w:t>
    </w:r>
    <w:r w:rsidRPr="000C218B">
      <w:rPr>
        <w:rStyle w:val="HideTWBExt"/>
      </w:rPr>
      <w:t>&lt;NoPE&gt;</w:t>
    </w:r>
    <w:r w:rsidRPr="000C218B">
      <w:t>753.541</w:t>
    </w:r>
    <w:r w:rsidRPr="000C218B">
      <w:rPr>
        <w:rStyle w:val="HideTWBExt"/>
      </w:rPr>
      <w:t>&lt;/NoPE&gt;&lt;Version&gt;</w:t>
    </w:r>
    <w:r w:rsidRPr="000C218B">
      <w:t>v03-00</w:t>
    </w:r>
    <w:r w:rsidRPr="000C218B">
      <w:rPr>
        <w:rStyle w:val="HideTWBExt"/>
      </w:rPr>
      <w:t>&lt;/Version&gt;</w:t>
    </w:r>
  </w:p>
  <w:p w14:paraId="7E4DB4CB" w14:textId="77777777" w:rsidR="00C1635E" w:rsidRPr="000C218B" w:rsidRDefault="00C1635E" w:rsidP="006B0BDB">
    <w:pPr>
      <w:pStyle w:val="EPFooter2"/>
    </w:pPr>
    <w:r w:rsidRPr="000C218B">
      <w:t>DA</w:t>
    </w:r>
    <w:r w:rsidRPr="000C218B">
      <w:tab/>
    </w:r>
    <w:r w:rsidRPr="000C218B">
      <w:rPr>
        <w:b w:val="0"/>
        <w:i/>
        <w:color w:val="C0C0C0"/>
        <w:sz w:val="22"/>
      </w:rPr>
      <w:t>Forenet i mangfoldighed</w:t>
    </w:r>
    <w:r w:rsidRPr="000C218B">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04B87B" w14:textId="77777777" w:rsidR="00064002" w:rsidRPr="000C218B"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47B70A" w14:textId="77777777" w:rsidR="00064002" w:rsidRPr="000C218B"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19A200" w14:textId="77777777" w:rsidR="00064002" w:rsidRPr="000C218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DD5EC0" w14:textId="77777777" w:rsidR="006751B2" w:rsidRPr="000C218B" w:rsidRDefault="006751B2">
      <w:r w:rsidRPr="000C218B">
        <w:separator/>
      </w:r>
    </w:p>
  </w:footnote>
  <w:footnote w:type="continuationSeparator" w:id="0">
    <w:p w14:paraId="23001B53" w14:textId="77777777" w:rsidR="006751B2" w:rsidRPr="000C218B" w:rsidRDefault="006751B2">
      <w:r w:rsidRPr="000C218B">
        <w:continuationSeparator/>
      </w:r>
    </w:p>
  </w:footnote>
  <w:footnote w:id="1">
    <w:p w14:paraId="0FDD5426" w14:textId="77777777" w:rsidR="00C1635E" w:rsidRPr="00F87FB7" w:rsidRDefault="00C1635E" w:rsidP="000C218B">
      <w:pPr>
        <w:pStyle w:val="FootnoteText"/>
        <w:ind w:left="567" w:hanging="567"/>
        <w:rPr>
          <w:sz w:val="24"/>
        </w:rPr>
      </w:pPr>
      <w:r w:rsidRPr="000C218B">
        <w:rPr>
          <w:rStyle w:val="FootnoteReference"/>
          <w:sz w:val="24"/>
          <w:lang w:val="da-DK"/>
        </w:rPr>
        <w:footnoteRef/>
      </w:r>
      <w:r w:rsidR="000C218B" w:rsidRPr="00F87FB7">
        <w:rPr>
          <w:sz w:val="24"/>
        </w:rPr>
        <w:t xml:space="preserve"> </w:t>
      </w:r>
      <w:r w:rsidR="000C218B" w:rsidRPr="00F87FB7">
        <w:rPr>
          <w:sz w:val="24"/>
        </w:rPr>
        <w:tab/>
      </w:r>
      <w:r w:rsidRPr="00F87FB7">
        <w:rPr>
          <w:sz w:val="24"/>
        </w:rPr>
        <w:t>EUT C, C/2023/594, 27.10.2023.</w:t>
      </w:r>
    </w:p>
  </w:footnote>
  <w:footnote w:id="2">
    <w:p w14:paraId="38F1FFAF" w14:textId="77777777" w:rsidR="00C1635E" w:rsidRPr="00F87FB7" w:rsidRDefault="00C1635E" w:rsidP="000C218B">
      <w:pPr>
        <w:pStyle w:val="FootnoteText"/>
        <w:ind w:left="567" w:hanging="567"/>
        <w:rPr>
          <w:sz w:val="24"/>
        </w:rPr>
      </w:pPr>
      <w:r w:rsidRPr="000C218B">
        <w:rPr>
          <w:rStyle w:val="FootnoteReference"/>
          <w:sz w:val="24"/>
          <w:lang w:val="da-DK"/>
        </w:rPr>
        <w:footnoteRef/>
      </w:r>
      <w:r w:rsidR="000C218B" w:rsidRPr="00F87FB7">
        <w:rPr>
          <w:sz w:val="24"/>
        </w:rPr>
        <w:t xml:space="preserve"> </w:t>
      </w:r>
      <w:r w:rsidR="000C218B" w:rsidRPr="00F87FB7">
        <w:rPr>
          <w:sz w:val="24"/>
        </w:rPr>
        <w:tab/>
      </w:r>
      <w:r w:rsidRPr="00F87FB7">
        <w:rPr>
          <w:sz w:val="24"/>
        </w:rPr>
        <w:t>EUT C, C/2023/112, 12.10.2023.</w:t>
      </w:r>
    </w:p>
  </w:footnote>
  <w:footnote w:id="3">
    <w:p w14:paraId="36EABA29" w14:textId="77777777" w:rsidR="00C1635E" w:rsidRPr="000C218B" w:rsidRDefault="00C1635E" w:rsidP="000C218B">
      <w:pPr>
        <w:pStyle w:val="FootnoteText"/>
        <w:ind w:left="567" w:hanging="567"/>
        <w:rPr>
          <w:sz w:val="24"/>
          <w:lang w:val="da-DK"/>
        </w:rPr>
      </w:pPr>
      <w:r w:rsidRPr="000C218B">
        <w:rPr>
          <w:rStyle w:val="FootnoteReference"/>
          <w:sz w:val="24"/>
          <w:lang w:val="da-DK"/>
        </w:rPr>
        <w:footnoteRef/>
      </w:r>
      <w:r w:rsidR="000C218B" w:rsidRPr="000C218B">
        <w:rPr>
          <w:sz w:val="24"/>
          <w:lang w:val="da-DK"/>
        </w:rPr>
        <w:t xml:space="preserve"> </w:t>
      </w:r>
      <w:r w:rsidR="000C218B" w:rsidRPr="000C218B">
        <w:rPr>
          <w:sz w:val="24"/>
          <w:lang w:val="da-DK"/>
        </w:rPr>
        <w:tab/>
      </w:r>
      <w:r w:rsidRPr="000C218B">
        <w:rPr>
          <w:sz w:val="24"/>
          <w:lang w:val="da-DK"/>
        </w:rPr>
        <w:t>EUT L 193 af 30.7.2018, s. 1.</w:t>
      </w:r>
    </w:p>
  </w:footnote>
  <w:footnote w:id="4">
    <w:p w14:paraId="65F48BB6" w14:textId="77777777" w:rsidR="00C1635E" w:rsidRPr="000C218B" w:rsidRDefault="00C1635E" w:rsidP="000C218B">
      <w:pPr>
        <w:pStyle w:val="FootnoteText"/>
        <w:ind w:left="567" w:hanging="567"/>
        <w:rPr>
          <w:sz w:val="24"/>
          <w:lang w:val="da-DK"/>
        </w:rPr>
      </w:pPr>
      <w:r w:rsidRPr="000C218B">
        <w:rPr>
          <w:rStyle w:val="FootnoteReference"/>
          <w:sz w:val="24"/>
          <w:lang w:val="da-DK"/>
        </w:rPr>
        <w:footnoteRef/>
      </w:r>
      <w:r w:rsidR="000C218B" w:rsidRPr="000C218B">
        <w:rPr>
          <w:sz w:val="24"/>
          <w:lang w:val="da-DK"/>
        </w:rPr>
        <w:t xml:space="preserve"> </w:t>
      </w:r>
      <w:r w:rsidR="000C218B" w:rsidRPr="000C218B">
        <w:rPr>
          <w:sz w:val="24"/>
          <w:lang w:val="da-DK"/>
        </w:rPr>
        <w:tab/>
      </w:r>
      <w:r w:rsidRPr="000C218B">
        <w:rPr>
          <w:sz w:val="24"/>
          <w:lang w:val="da-DK"/>
        </w:rPr>
        <w:t>EUT L 170 af 12.5.2021, s. 69.</w:t>
      </w:r>
    </w:p>
  </w:footnote>
  <w:footnote w:id="5">
    <w:p w14:paraId="71A0B6A1" w14:textId="77777777" w:rsidR="00C1635E" w:rsidRPr="000C218B" w:rsidRDefault="00C1635E" w:rsidP="000C218B">
      <w:pPr>
        <w:pStyle w:val="FootnoteText"/>
        <w:ind w:left="567" w:hanging="567"/>
        <w:rPr>
          <w:sz w:val="24"/>
          <w:szCs w:val="24"/>
          <w:lang w:val="da-DK"/>
        </w:rPr>
      </w:pPr>
      <w:r w:rsidRPr="000C218B">
        <w:rPr>
          <w:rStyle w:val="FootnoteReference"/>
          <w:sz w:val="24"/>
          <w:lang w:val="da-DK"/>
        </w:rPr>
        <w:footnoteRef/>
      </w:r>
      <w:r w:rsidR="000C218B" w:rsidRPr="000C218B">
        <w:rPr>
          <w:sz w:val="24"/>
          <w:lang w:val="da-DK"/>
        </w:rPr>
        <w:t xml:space="preserve"> </w:t>
      </w:r>
      <w:r w:rsidR="000C218B" w:rsidRPr="000C218B">
        <w:rPr>
          <w:sz w:val="24"/>
          <w:lang w:val="da-DK"/>
        </w:rPr>
        <w:tab/>
      </w:r>
      <w:r w:rsidRPr="000C218B">
        <w:rPr>
          <w:sz w:val="24"/>
          <w:lang w:val="da-DK"/>
        </w:rPr>
        <w:t>EUT L 122 af 10.5.2019, s. 1.</w:t>
      </w:r>
    </w:p>
  </w:footnote>
  <w:footnote w:id="6">
    <w:p w14:paraId="3D8B45CF" w14:textId="77777777" w:rsidR="00C1635E" w:rsidRPr="000C218B" w:rsidRDefault="00C1635E" w:rsidP="000C218B">
      <w:pPr>
        <w:pStyle w:val="FootnoteText"/>
        <w:ind w:left="567" w:hanging="567"/>
        <w:rPr>
          <w:sz w:val="24"/>
          <w:lang w:val="da-DK"/>
        </w:rPr>
      </w:pPr>
      <w:r w:rsidRPr="000C218B">
        <w:rPr>
          <w:rStyle w:val="FootnoteReference"/>
          <w:sz w:val="24"/>
          <w:lang w:val="da-DK"/>
        </w:rPr>
        <w:footnoteRef/>
      </w:r>
      <w:r w:rsidR="000C218B" w:rsidRPr="000C218B">
        <w:rPr>
          <w:sz w:val="24"/>
          <w:lang w:val="da-DK"/>
        </w:rPr>
        <w:t xml:space="preserve"> </w:t>
      </w:r>
      <w:r w:rsidR="000C218B" w:rsidRPr="000C218B">
        <w:rPr>
          <w:sz w:val="24"/>
          <w:lang w:val="da-DK"/>
        </w:rPr>
        <w:tab/>
      </w:r>
      <w:r w:rsidRPr="000C218B">
        <w:rPr>
          <w:sz w:val="24"/>
          <w:lang w:val="da-DK"/>
        </w:rPr>
        <w:t>EUT C, C/2023/594, 27.10.2023.</w:t>
      </w:r>
    </w:p>
  </w:footnote>
  <w:footnote w:id="7">
    <w:p w14:paraId="2301F1D7" w14:textId="77777777" w:rsidR="00C1635E" w:rsidRPr="00F87FB7" w:rsidRDefault="00C1635E" w:rsidP="000C218B">
      <w:pPr>
        <w:pStyle w:val="FootnoteText"/>
        <w:ind w:left="567" w:hanging="567"/>
        <w:rPr>
          <w:sz w:val="24"/>
        </w:rPr>
      </w:pPr>
      <w:r w:rsidRPr="000C218B">
        <w:rPr>
          <w:rStyle w:val="FootnoteReference"/>
          <w:sz w:val="24"/>
          <w:lang w:val="da-DK"/>
        </w:rPr>
        <w:footnoteRef/>
      </w:r>
      <w:r w:rsidR="000C218B" w:rsidRPr="00F87FB7">
        <w:rPr>
          <w:sz w:val="24"/>
        </w:rPr>
        <w:t xml:space="preserve"> </w:t>
      </w:r>
      <w:r w:rsidR="000C218B" w:rsidRPr="00F87FB7">
        <w:rPr>
          <w:sz w:val="24"/>
        </w:rPr>
        <w:tab/>
      </w:r>
      <w:r w:rsidRPr="00F87FB7">
        <w:rPr>
          <w:sz w:val="24"/>
        </w:rPr>
        <w:t>EUT C, C/2023/112, 12.10.2023.</w:t>
      </w:r>
    </w:p>
  </w:footnote>
  <w:footnote w:id="8">
    <w:p w14:paraId="1CA77E34" w14:textId="77777777" w:rsidR="00C1635E" w:rsidRPr="00F87FB7" w:rsidRDefault="00C1635E" w:rsidP="000C218B">
      <w:pPr>
        <w:pStyle w:val="FootnoteText"/>
        <w:ind w:left="567" w:hanging="567"/>
        <w:rPr>
          <w:sz w:val="24"/>
        </w:rPr>
      </w:pPr>
      <w:r w:rsidRPr="000C218B">
        <w:rPr>
          <w:rStyle w:val="FootnoteReference"/>
          <w:sz w:val="24"/>
          <w:lang w:val="da-DK"/>
        </w:rPr>
        <w:footnoteRef/>
      </w:r>
      <w:r w:rsidR="000C218B" w:rsidRPr="00F87FB7">
        <w:rPr>
          <w:sz w:val="24"/>
        </w:rPr>
        <w:t xml:space="preserve"> </w:t>
      </w:r>
      <w:r w:rsidR="000C218B" w:rsidRPr="00F87FB7">
        <w:rPr>
          <w:sz w:val="24"/>
        </w:rPr>
        <w:tab/>
      </w:r>
      <w:r w:rsidRPr="00F87FB7">
        <w:rPr>
          <w:sz w:val="24"/>
        </w:rPr>
        <w:t>EUT L 193 af 30.7.2018, s. 1.</w:t>
      </w:r>
    </w:p>
  </w:footnote>
  <w:footnote w:id="9">
    <w:p w14:paraId="60A1541A" w14:textId="77777777" w:rsidR="00C1635E" w:rsidRPr="000C218B" w:rsidRDefault="00C1635E" w:rsidP="000C218B">
      <w:pPr>
        <w:pStyle w:val="FootnoteText"/>
        <w:ind w:left="567" w:hanging="567"/>
        <w:rPr>
          <w:sz w:val="24"/>
          <w:lang w:val="da-DK"/>
        </w:rPr>
      </w:pPr>
      <w:r w:rsidRPr="000C218B">
        <w:rPr>
          <w:rStyle w:val="FootnoteReference"/>
          <w:sz w:val="24"/>
          <w:lang w:val="da-DK"/>
        </w:rPr>
        <w:footnoteRef/>
      </w:r>
      <w:r w:rsidR="000C218B" w:rsidRPr="000C218B">
        <w:rPr>
          <w:sz w:val="24"/>
          <w:lang w:val="da-DK"/>
        </w:rPr>
        <w:t xml:space="preserve"> </w:t>
      </w:r>
      <w:r w:rsidR="000C218B" w:rsidRPr="000C218B">
        <w:rPr>
          <w:sz w:val="24"/>
          <w:lang w:val="da-DK"/>
        </w:rPr>
        <w:tab/>
      </w:r>
      <w:r w:rsidRPr="000C218B">
        <w:rPr>
          <w:sz w:val="24"/>
          <w:lang w:val="da-DK"/>
        </w:rPr>
        <w:t>EUT L 170 af 12.5.2021, s. 69.</w:t>
      </w:r>
    </w:p>
  </w:footnote>
  <w:footnote w:id="10">
    <w:p w14:paraId="282440AA" w14:textId="77777777" w:rsidR="00C1635E" w:rsidRPr="000C218B" w:rsidRDefault="00C1635E" w:rsidP="000C218B">
      <w:pPr>
        <w:pStyle w:val="FootnoteText"/>
        <w:ind w:left="567" w:hanging="567"/>
        <w:rPr>
          <w:sz w:val="24"/>
          <w:szCs w:val="24"/>
          <w:lang w:val="da-DK"/>
        </w:rPr>
      </w:pPr>
      <w:r w:rsidRPr="000C218B">
        <w:rPr>
          <w:rStyle w:val="FootnoteReference"/>
          <w:sz w:val="24"/>
          <w:lang w:val="da-DK"/>
        </w:rPr>
        <w:footnoteRef/>
      </w:r>
      <w:r w:rsidR="000C218B" w:rsidRPr="000C218B">
        <w:rPr>
          <w:sz w:val="24"/>
          <w:lang w:val="da-DK"/>
        </w:rPr>
        <w:t xml:space="preserve"> </w:t>
      </w:r>
      <w:r w:rsidR="000C218B" w:rsidRPr="000C218B">
        <w:rPr>
          <w:sz w:val="24"/>
          <w:lang w:val="da-DK"/>
        </w:rPr>
        <w:tab/>
      </w:r>
      <w:r w:rsidRPr="000C218B">
        <w:rPr>
          <w:sz w:val="24"/>
          <w:lang w:val="da-DK"/>
        </w:rPr>
        <w:t>EUT L 122 af 10.5.2019, s. 1.</w:t>
      </w:r>
    </w:p>
  </w:footnote>
  <w:footnote w:id="11">
    <w:p w14:paraId="11D17DB9" w14:textId="77777777" w:rsidR="00C1635E" w:rsidRPr="000C218B" w:rsidRDefault="00C1635E" w:rsidP="000C218B">
      <w:pPr>
        <w:pStyle w:val="FootnoteText"/>
        <w:ind w:left="567" w:hanging="567"/>
        <w:rPr>
          <w:sz w:val="24"/>
          <w:lang w:val="da-DK"/>
        </w:rPr>
      </w:pPr>
      <w:r w:rsidRPr="000C218B">
        <w:rPr>
          <w:rStyle w:val="FootnoteReference"/>
          <w:sz w:val="24"/>
          <w:lang w:val="da-DK"/>
        </w:rPr>
        <w:footnoteRef/>
      </w:r>
      <w:r w:rsidR="000C218B" w:rsidRPr="000C218B">
        <w:rPr>
          <w:sz w:val="24"/>
          <w:lang w:val="da-DK"/>
        </w:rPr>
        <w:t xml:space="preserve"> </w:t>
      </w:r>
      <w:r w:rsidR="000C218B" w:rsidRPr="000C218B">
        <w:rPr>
          <w:sz w:val="24"/>
          <w:lang w:val="da-DK"/>
        </w:rPr>
        <w:tab/>
      </w:r>
      <w:r w:rsidRPr="000C218B">
        <w:rPr>
          <w:sz w:val="24"/>
          <w:lang w:val="da-DK"/>
        </w:rPr>
        <w:t>EUT C 453/11 af 29.11.2022, s. 56.</w:t>
      </w:r>
    </w:p>
  </w:footnote>
  <w:footnote w:id="12">
    <w:p w14:paraId="2CD0CC05" w14:textId="5658AE82" w:rsidR="00C1635E" w:rsidRPr="000C218B" w:rsidRDefault="00C1635E" w:rsidP="000C218B">
      <w:pPr>
        <w:pStyle w:val="FootnoteText"/>
        <w:ind w:left="567" w:hanging="567"/>
        <w:rPr>
          <w:sz w:val="24"/>
          <w:lang w:val="da-DK"/>
        </w:rPr>
      </w:pPr>
      <w:r w:rsidRPr="000C218B">
        <w:rPr>
          <w:rStyle w:val="FootnoteReference"/>
          <w:sz w:val="24"/>
          <w:lang w:val="da-DK"/>
        </w:rPr>
        <w:footnoteRef/>
      </w:r>
      <w:r w:rsidR="000C218B" w:rsidRPr="000C218B">
        <w:rPr>
          <w:sz w:val="24"/>
          <w:lang w:val="da-DK"/>
        </w:rPr>
        <w:t xml:space="preserve"> </w:t>
      </w:r>
      <w:r w:rsidR="000C218B" w:rsidRPr="000C218B">
        <w:rPr>
          <w:sz w:val="24"/>
          <w:lang w:val="da-DK"/>
        </w:rPr>
        <w:tab/>
      </w:r>
      <w:r w:rsidRPr="000C218B">
        <w:rPr>
          <w:sz w:val="24"/>
          <w:lang w:val="da-DK"/>
        </w:rPr>
        <w:t>Vedtagne tekster, P9_TA(2024)</w:t>
      </w:r>
      <w:r w:rsidR="00CE7EB5">
        <w:rPr>
          <w:sz w:val="24"/>
          <w:lang w:val="da-DK"/>
        </w:rPr>
        <w:t>0280.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B0E429" w14:textId="77777777" w:rsidR="00064002" w:rsidRPr="000C218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D1DE46" w14:textId="77777777" w:rsidR="00064002" w:rsidRPr="000C218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522410" w14:textId="77777777" w:rsidR="00064002" w:rsidRPr="000C218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21/2024"/>
    <w:docVar w:name="dvlangue" w:val="DA"/>
    <w:docVar w:name="dvnumam" w:val="0"/>
    <w:docVar w:name="dvpe" w:val="753.541"/>
    <w:docVar w:name="dvrapporteur" w:val="Ordfører: "/>
    <w:docVar w:name="dvtitre" w:val="1. Europa-Parlamentets afgørelse af 11. april 2024 om decharge for gennemførelsen af budgettet for Den Europæiske Unions Agentur for Rumprogrammet for regnskabsåret 2022(2023/2170(DEC))"/>
  </w:docVars>
  <w:rsids>
    <w:rsidRoot w:val="006751B2"/>
    <w:rsid w:val="00002272"/>
    <w:rsid w:val="00064002"/>
    <w:rsid w:val="000677B9"/>
    <w:rsid w:val="000831BA"/>
    <w:rsid w:val="000A42CC"/>
    <w:rsid w:val="000C218B"/>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751B2"/>
    <w:rsid w:val="00680577"/>
    <w:rsid w:val="006C560E"/>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635E"/>
    <w:rsid w:val="00C23CD4"/>
    <w:rsid w:val="00C61C0C"/>
    <w:rsid w:val="00C941CB"/>
    <w:rsid w:val="00CC2357"/>
    <w:rsid w:val="00CE7EB5"/>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87FB7"/>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C386F0"/>
  <w15:chartTrackingRefBased/>
  <w15:docId w15:val="{0054E937-4AE4-4321-868E-AFDE9A0AF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1635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1635E"/>
    <w:pPr>
      <w:spacing w:before="480" w:after="240"/>
    </w:pPr>
  </w:style>
  <w:style w:type="paragraph" w:customStyle="1" w:styleId="PageHeading">
    <w:name w:val="PageHeading"/>
    <w:basedOn w:val="Normal"/>
    <w:rsid w:val="00C1635E"/>
    <w:pPr>
      <w:keepNext/>
      <w:spacing w:after="480"/>
      <w:jc w:val="center"/>
    </w:pPr>
    <w:rPr>
      <w:rFonts w:ascii="Arial" w:hAnsi="Arial" w:cs="Arial"/>
      <w:b/>
    </w:rPr>
  </w:style>
  <w:style w:type="paragraph" w:customStyle="1" w:styleId="NormalBold">
    <w:name w:val="NormalBold"/>
    <w:basedOn w:val="Normal"/>
    <w:rsid w:val="00C1635E"/>
    <w:rPr>
      <w:b/>
    </w:rPr>
  </w:style>
  <w:style w:type="paragraph" w:customStyle="1" w:styleId="NormalHanging12a">
    <w:name w:val="NormalHanging12a"/>
    <w:basedOn w:val="Normal"/>
    <w:link w:val="NormalHanging12aChar"/>
    <w:rsid w:val="00C1635E"/>
    <w:pPr>
      <w:spacing w:after="240"/>
      <w:ind w:left="567" w:hanging="567"/>
    </w:pPr>
  </w:style>
  <w:style w:type="paragraph" w:customStyle="1" w:styleId="NormalCenter12a">
    <w:name w:val="NormalCenter12a"/>
    <w:basedOn w:val="Normal"/>
    <w:rsid w:val="00C1635E"/>
    <w:pPr>
      <w:spacing w:after="240"/>
      <w:jc w:val="center"/>
    </w:pPr>
  </w:style>
  <w:style w:type="paragraph" w:styleId="Header">
    <w:name w:val="header"/>
    <w:basedOn w:val="Normal"/>
    <w:link w:val="HeaderChar"/>
    <w:rsid w:val="00C1635E"/>
    <w:pPr>
      <w:tabs>
        <w:tab w:val="center" w:pos="4513"/>
        <w:tab w:val="right" w:pos="9026"/>
      </w:tabs>
    </w:pPr>
  </w:style>
  <w:style w:type="character" w:customStyle="1" w:styleId="HeaderChar">
    <w:name w:val="Header Char"/>
    <w:basedOn w:val="DefaultParagraphFont"/>
    <w:link w:val="Header"/>
    <w:rsid w:val="00C1635E"/>
    <w:rPr>
      <w:sz w:val="24"/>
      <w:lang w:val="da-DK"/>
    </w:rPr>
  </w:style>
  <w:style w:type="paragraph" w:customStyle="1" w:styleId="EPFooter">
    <w:name w:val="EPFooter"/>
    <w:basedOn w:val="Normal"/>
    <w:rsid w:val="00C1635E"/>
    <w:pPr>
      <w:tabs>
        <w:tab w:val="center" w:pos="4535"/>
        <w:tab w:val="right" w:pos="9071"/>
      </w:tabs>
      <w:spacing w:before="240" w:after="240"/>
    </w:pPr>
    <w:rPr>
      <w:color w:val="010000"/>
      <w:sz w:val="22"/>
    </w:rPr>
  </w:style>
  <w:style w:type="paragraph" w:customStyle="1" w:styleId="Normal12Hanging">
    <w:name w:val="Normal12Hanging"/>
    <w:basedOn w:val="Normal"/>
    <w:rsid w:val="00C1635E"/>
    <w:pPr>
      <w:spacing w:after="240"/>
      <w:ind w:left="567" w:hanging="567"/>
    </w:pPr>
  </w:style>
  <w:style w:type="character" w:customStyle="1" w:styleId="NormalHanging12aChar">
    <w:name w:val="NormalHanging12a Char"/>
    <w:basedOn w:val="DefaultParagraphFont"/>
    <w:link w:val="NormalHanging12a"/>
    <w:rsid w:val="00C1635E"/>
    <w:rPr>
      <w:sz w:val="24"/>
      <w:lang w:val="da-DK"/>
    </w:rPr>
  </w:style>
  <w:style w:type="paragraph" w:styleId="Footer">
    <w:name w:val="footer"/>
    <w:basedOn w:val="Normal"/>
    <w:link w:val="FooterChar"/>
    <w:rsid w:val="006C560E"/>
    <w:pPr>
      <w:tabs>
        <w:tab w:val="center" w:pos="4513"/>
        <w:tab w:val="right" w:pos="9026"/>
      </w:tabs>
    </w:pPr>
  </w:style>
  <w:style w:type="character" w:customStyle="1" w:styleId="FooterChar">
    <w:name w:val="Footer Char"/>
    <w:basedOn w:val="DefaultParagraphFont"/>
    <w:link w:val="Footer"/>
    <w:rsid w:val="006C560E"/>
    <w:rPr>
      <w:sz w:val="24"/>
      <w:lang w:val="da-DK"/>
    </w:rPr>
  </w:style>
  <w:style w:type="character" w:styleId="CommentReference">
    <w:name w:val="annotation reference"/>
    <w:basedOn w:val="DefaultParagraphFont"/>
    <w:rsid w:val="006C560E"/>
    <w:rPr>
      <w:sz w:val="16"/>
      <w:szCs w:val="16"/>
    </w:rPr>
  </w:style>
  <w:style w:type="paragraph" w:styleId="CommentText">
    <w:name w:val="annotation text"/>
    <w:basedOn w:val="Normal"/>
    <w:link w:val="CommentTextChar"/>
    <w:rsid w:val="006C560E"/>
    <w:rPr>
      <w:sz w:val="20"/>
    </w:rPr>
  </w:style>
  <w:style w:type="character" w:customStyle="1" w:styleId="CommentTextChar">
    <w:name w:val="Comment Text Char"/>
    <w:basedOn w:val="DefaultParagraphFont"/>
    <w:link w:val="CommentText"/>
    <w:rsid w:val="006C560E"/>
    <w:rPr>
      <w:lang w:val="da-DK"/>
    </w:rPr>
  </w:style>
  <w:style w:type="paragraph" w:styleId="CommentSubject">
    <w:name w:val="annotation subject"/>
    <w:basedOn w:val="CommentText"/>
    <w:next w:val="CommentText"/>
    <w:link w:val="CommentSubjectChar"/>
    <w:rsid w:val="006C560E"/>
    <w:rPr>
      <w:b/>
      <w:bCs/>
    </w:rPr>
  </w:style>
  <w:style w:type="character" w:customStyle="1" w:styleId="CommentSubjectChar">
    <w:name w:val="Comment Subject Char"/>
    <w:basedOn w:val="CommentTextChar"/>
    <w:link w:val="CommentSubject"/>
    <w:rsid w:val="006C560E"/>
    <w:rPr>
      <w:b/>
      <w:bCs/>
      <w:lang w:val="da-DK"/>
    </w:rPr>
  </w:style>
  <w:style w:type="paragraph" w:styleId="BalloonText">
    <w:name w:val="Balloon Text"/>
    <w:basedOn w:val="Normal"/>
    <w:link w:val="BalloonTextChar"/>
    <w:rsid w:val="006C560E"/>
    <w:rPr>
      <w:rFonts w:ascii="Segoe UI" w:hAnsi="Segoe UI" w:cs="Segoe UI"/>
      <w:sz w:val="18"/>
      <w:szCs w:val="18"/>
    </w:rPr>
  </w:style>
  <w:style w:type="character" w:customStyle="1" w:styleId="BalloonTextChar">
    <w:name w:val="Balloon Text Char"/>
    <w:basedOn w:val="DefaultParagraphFont"/>
    <w:link w:val="BalloonText"/>
    <w:rsid w:val="006C560E"/>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2C55A5-39B5-485A-B714-0A72DE312B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3670</Words>
  <Characters>22939</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2024-04-11T12:08:00Z</dcterms:created>
  <dcterms:modified xsi:type="dcterms:W3CDTF">2024-04-11T12:08:00Z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A9-0121/2024</vt:lpwstr>
  </property>
  <property fmtid="{D5CDD505-2E9C-101B-9397-08002B2CF9AE}" pid="4" name="&lt;Type&gt;">
    <vt:lpwstr>RR</vt:lpwstr>
  </property>
</Properties>
</file>