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3642" w:rsidTr="0010095E">
        <w:trPr>
          <w:trHeight w:hRule="exact" w:val="1418"/>
        </w:trPr>
        <w:tc>
          <w:tcPr>
            <w:tcW w:w="6804" w:type="dxa"/>
            <w:shd w:val="clear" w:color="auto" w:fill="auto"/>
            <w:vAlign w:val="center"/>
          </w:tcPr>
          <w:p w:rsidR="00751A4A" w:rsidRPr="001A3642" w:rsidRDefault="00273814" w:rsidP="0010095E">
            <w:pPr>
              <w:pStyle w:val="EPName"/>
            </w:pPr>
            <w:r w:rsidRPr="001A3642">
              <w:t>Ευρωπαϊκό Κοινοβούλιο</w:t>
            </w:r>
          </w:p>
          <w:p w:rsidR="00751A4A" w:rsidRPr="001A3642" w:rsidRDefault="00817416" w:rsidP="00756632">
            <w:pPr>
              <w:pStyle w:val="EPTerm"/>
              <w:rPr>
                <w:rStyle w:val="HideTWBExt"/>
                <w:noProof w:val="0"/>
                <w:vanish w:val="0"/>
                <w:color w:val="auto"/>
              </w:rPr>
            </w:pPr>
            <w:r w:rsidRPr="001A3642">
              <w:t>2019-2024</w:t>
            </w:r>
          </w:p>
        </w:tc>
        <w:tc>
          <w:tcPr>
            <w:tcW w:w="2268" w:type="dxa"/>
            <w:shd w:val="clear" w:color="auto" w:fill="auto"/>
          </w:tcPr>
          <w:p w:rsidR="00751A4A" w:rsidRPr="001A3642" w:rsidRDefault="00187494" w:rsidP="0010095E">
            <w:pPr>
              <w:pStyle w:val="EPLogo"/>
            </w:pPr>
            <w:r w:rsidRPr="001A36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3642" w:rsidRDefault="00D058B8" w:rsidP="004C5D52">
      <w:pPr>
        <w:pStyle w:val="LineTop"/>
      </w:pPr>
    </w:p>
    <w:p w:rsidR="00680577" w:rsidRPr="001A3642" w:rsidRDefault="00273814" w:rsidP="00680577">
      <w:pPr>
        <w:pStyle w:val="EPBodyTA1"/>
      </w:pPr>
      <w:r w:rsidRPr="001A3642">
        <w:t>ΚΕΙΜΕΝΑ ΠΟΥ ΕΓΚΡΙΘΗΚΑΝ</w:t>
      </w:r>
    </w:p>
    <w:p w:rsidR="00D058B8" w:rsidRPr="001A3642" w:rsidRDefault="00D058B8" w:rsidP="00D058B8">
      <w:pPr>
        <w:pStyle w:val="LineBottom"/>
      </w:pPr>
    </w:p>
    <w:p w:rsidR="00273814" w:rsidRPr="001A3642" w:rsidRDefault="00273814" w:rsidP="00273814">
      <w:pPr>
        <w:pStyle w:val="ATHeading1"/>
      </w:pPr>
      <w:bookmarkStart w:id="0" w:name="TANumber"/>
      <w:r w:rsidRPr="001A3642">
        <w:t>P9_TA(2024)</w:t>
      </w:r>
      <w:bookmarkEnd w:id="0"/>
      <w:r w:rsidR="00EE10B1" w:rsidRPr="001A3642">
        <w:t>0</w:t>
      </w:r>
      <w:r w:rsidR="00EE10B1">
        <w:t>256</w:t>
      </w:r>
    </w:p>
    <w:p w:rsidR="00273814" w:rsidRPr="001A3642" w:rsidRDefault="00273814" w:rsidP="00273814">
      <w:pPr>
        <w:pStyle w:val="ATHeading2"/>
      </w:pPr>
      <w:bookmarkStart w:id="1" w:name="title"/>
      <w:r w:rsidRPr="001A3642">
        <w:t>Απαλλαγή 2022: Οργανισμός της Ευρωπαϊκής Ένωσης για το Διαστημικό Πρόγραμμα</w:t>
      </w:r>
      <w:bookmarkEnd w:id="1"/>
    </w:p>
    <w:p w:rsidR="00273814" w:rsidRPr="001A3642" w:rsidRDefault="00273814" w:rsidP="00273814">
      <w:pPr>
        <w:rPr>
          <w:i/>
          <w:vanish/>
        </w:rPr>
      </w:pPr>
      <w:r w:rsidRPr="001A3642">
        <w:rPr>
          <w:i/>
        </w:rPr>
        <w:fldChar w:fldCharType="begin"/>
      </w:r>
      <w:r w:rsidRPr="001A3642">
        <w:rPr>
          <w:i/>
        </w:rPr>
        <w:instrText xml:space="preserve"> TC"(</w:instrText>
      </w:r>
      <w:bookmarkStart w:id="2" w:name="DocNumber"/>
      <w:r w:rsidRPr="001A3642">
        <w:rPr>
          <w:i/>
        </w:rPr>
        <w:instrText>A9-0121/2024</w:instrText>
      </w:r>
      <w:bookmarkEnd w:id="2"/>
      <w:r w:rsidRPr="001A3642">
        <w:rPr>
          <w:i/>
        </w:rPr>
        <w:instrText xml:space="preserve"> - Εισηγητής: </w:instrText>
      </w:r>
      <w:proofErr w:type="spellStart"/>
      <w:r w:rsidRPr="001A3642">
        <w:rPr>
          <w:i/>
        </w:rPr>
        <w:instrText>Petri</w:instrText>
      </w:r>
      <w:proofErr w:type="spellEnd"/>
      <w:r w:rsidRPr="001A3642">
        <w:rPr>
          <w:i/>
        </w:rPr>
        <w:instrText xml:space="preserve"> </w:instrText>
      </w:r>
      <w:proofErr w:type="spellStart"/>
      <w:r w:rsidRPr="001A3642">
        <w:rPr>
          <w:i/>
        </w:rPr>
        <w:instrText>Sarvamaa</w:instrText>
      </w:r>
      <w:proofErr w:type="spellEnd"/>
      <w:r w:rsidRPr="001A3642">
        <w:rPr>
          <w:i/>
        </w:rPr>
        <w:instrText xml:space="preserve">)"\l3 \n&gt; \* MERGEFORMAT </w:instrText>
      </w:r>
      <w:r w:rsidRPr="001A3642">
        <w:rPr>
          <w:i/>
        </w:rPr>
        <w:fldChar w:fldCharType="end"/>
      </w:r>
    </w:p>
    <w:p w:rsidR="00273814" w:rsidRPr="001A3642" w:rsidRDefault="00273814" w:rsidP="00273814">
      <w:pPr>
        <w:rPr>
          <w:vanish/>
        </w:rPr>
      </w:pPr>
      <w:bookmarkStart w:id="3" w:name="Commission"/>
      <w:r w:rsidRPr="001A3642">
        <w:rPr>
          <w:vanish/>
        </w:rPr>
        <w:t>Επιτροπή Ελέγχου του Προϋπολογισμού</w:t>
      </w:r>
      <w:bookmarkEnd w:id="3"/>
    </w:p>
    <w:p w:rsidR="00273814" w:rsidRPr="001A3642" w:rsidRDefault="00273814" w:rsidP="00273814">
      <w:pPr>
        <w:rPr>
          <w:vanish/>
        </w:rPr>
      </w:pPr>
      <w:bookmarkStart w:id="4" w:name="PE"/>
      <w:r w:rsidRPr="001A3642">
        <w:rPr>
          <w:vanish/>
        </w:rPr>
        <w:t>PE753.541</w:t>
      </w:r>
      <w:bookmarkEnd w:id="4"/>
    </w:p>
    <w:p w:rsidR="00273814" w:rsidRPr="001A3642" w:rsidRDefault="001107B1" w:rsidP="00273814">
      <w:pPr>
        <w:pStyle w:val="ATHeading3"/>
      </w:pPr>
      <w:bookmarkStart w:id="5" w:name="Sujet"/>
      <w:r>
        <w:t xml:space="preserve">1. </w:t>
      </w:r>
      <w:r w:rsidR="00273814" w:rsidRPr="001A3642">
        <w:t xml:space="preserve">Απόφαση του Ευρωπαϊκού Κοινοβουλίου </w:t>
      </w:r>
      <w:r w:rsidR="003C61F1">
        <w:t xml:space="preserve">της 11ης Απριλίου 2024 </w:t>
      </w:r>
      <w:r w:rsidR="00273814" w:rsidRPr="001A3642">
        <w:t>σχετικά με την απαλλαγή όσον αφορά την εκτέλεση του προϋπολογισμού του Οργανισμού της Ευρωπαϊκής Ένωσης για το Διαστημικό Πρόγραμμα για το οικονομικό έτος 2022</w:t>
      </w:r>
      <w:bookmarkEnd w:id="5"/>
      <w:r w:rsidR="00273814" w:rsidRPr="001A3642">
        <w:t xml:space="preserve"> </w:t>
      </w:r>
      <w:bookmarkStart w:id="6" w:name="References"/>
      <w:r w:rsidR="00273814" w:rsidRPr="001A3642">
        <w:t>(2023/2170(DEC))</w:t>
      </w:r>
      <w:bookmarkEnd w:id="6"/>
    </w:p>
    <w:p w:rsidR="008268AF" w:rsidRPr="001A3642" w:rsidRDefault="008268AF" w:rsidP="008268AF">
      <w:pPr>
        <w:pStyle w:val="EPComma"/>
      </w:pPr>
      <w:bookmarkStart w:id="7" w:name="TextBodyBegin"/>
      <w:bookmarkEnd w:id="7"/>
      <w:r w:rsidRPr="001A3642">
        <w:t>Το Ευρωπαϊκό Κοινοβούλιο,</w:t>
      </w:r>
    </w:p>
    <w:p w:rsidR="008268AF" w:rsidRPr="001A3642" w:rsidRDefault="008268AF" w:rsidP="008268AF">
      <w:pPr>
        <w:pStyle w:val="NormalHanging12a"/>
      </w:pPr>
      <w:r w:rsidRPr="001A3642">
        <w:t>–</w:t>
      </w:r>
      <w:r w:rsidRPr="001A3642">
        <w:tab/>
        <w:t>έχοντας υπόψη τους οριστικούς ετήσιους λογαριασμούς του Οργανισμού της Ευρωπαϊκής Ένωσης για το Διαστημικό Πρόγραμμα για το οικονομικό έτος 2022,</w:t>
      </w:r>
    </w:p>
    <w:p w:rsidR="008268AF" w:rsidRPr="001A3642" w:rsidRDefault="008268AF" w:rsidP="008268AF">
      <w:pPr>
        <w:pStyle w:val="NormalHanging12a"/>
      </w:pPr>
      <w:r w:rsidRPr="001A3642">
        <w:t>–</w:t>
      </w:r>
      <w:r w:rsidRPr="001A3642">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1A3642">
        <w:rPr>
          <w:rStyle w:val="FootnoteReference"/>
        </w:rPr>
        <w:footnoteReference w:id="1"/>
      </w:r>
      <w:r w:rsidRPr="001A3642">
        <w:t>,</w:t>
      </w:r>
    </w:p>
    <w:p w:rsidR="008268AF" w:rsidRPr="001A3642" w:rsidRDefault="008268AF" w:rsidP="008268AF">
      <w:pPr>
        <w:pStyle w:val="NormalHanging12a"/>
      </w:pPr>
      <w:r w:rsidRPr="001A3642">
        <w:t>–</w:t>
      </w:r>
      <w:r w:rsidRPr="001A3642">
        <w:tab/>
        <w:t>έχοντας υπόψη τη δήλωση αξιοπιστίας</w:t>
      </w:r>
      <w:r w:rsidRPr="001A3642">
        <w:rPr>
          <w:rStyle w:val="FootnoteReference"/>
        </w:rPr>
        <w:footnoteReference w:id="2"/>
      </w:r>
      <w:r w:rsidRPr="001A3642">
        <w:t xml:space="preserve"> η οποία βεβαιώνει την ακρίβεια των λογαριασμών και τη νομιμότητα και κανονικότητα των σχετικών πράξεων, την οποία </w:t>
      </w:r>
      <w:proofErr w:type="spellStart"/>
      <w:r w:rsidRPr="001A3642">
        <w:t>ενεχείρισε</w:t>
      </w:r>
      <w:proofErr w:type="spellEnd"/>
      <w:r w:rsidRPr="001A3642">
        <w:t xml:space="preserve"> το Ελεγκτικό Συνέδριο για το οικονομικό έτος 2022, σύμφωνα με το άρθρο 287 της Συνθήκης για τη λειτουργία της Ευρωπαϊκής Ένωσης,</w:t>
      </w:r>
    </w:p>
    <w:p w:rsidR="008268AF" w:rsidRPr="001A3642" w:rsidRDefault="008268AF" w:rsidP="008268AF">
      <w:pPr>
        <w:pStyle w:val="NormalHanging12a"/>
      </w:pPr>
      <w:r w:rsidRPr="001A3642">
        <w:t>–</w:t>
      </w:r>
      <w:r w:rsidRPr="001A3642">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3C61F1" w:rsidRPr="001A3642">
        <w:t>0</w:t>
      </w:r>
      <w:r w:rsidR="003C61F1">
        <w:t>6180</w:t>
      </w:r>
      <w:r w:rsidRPr="001A3642">
        <w:t>/2024 – C9</w:t>
      </w:r>
      <w:r w:rsidR="003C61F1">
        <w:t>-</w:t>
      </w:r>
      <w:r w:rsidR="003C61F1" w:rsidRPr="001A3642">
        <w:t>0</w:t>
      </w:r>
      <w:r w:rsidR="003C61F1">
        <w:t>108</w:t>
      </w:r>
      <w:r w:rsidRPr="001A3642">
        <w:t>/2024),</w:t>
      </w:r>
    </w:p>
    <w:p w:rsidR="008268AF" w:rsidRPr="001A3642" w:rsidRDefault="008268AF" w:rsidP="008268AF">
      <w:pPr>
        <w:pStyle w:val="NormalHanging12a"/>
      </w:pPr>
      <w:r w:rsidRPr="001A3642">
        <w:t>–</w:t>
      </w:r>
      <w:r w:rsidRPr="001A3642">
        <w:tab/>
        <w:t>έχοντας υπόψη το άρθρο 319 της Συνθήκης για τη λειτουργία της Ευρωπαϊκής Ένωσης,</w:t>
      </w:r>
    </w:p>
    <w:p w:rsidR="008268AF" w:rsidRPr="001A3642" w:rsidRDefault="008268AF" w:rsidP="008268AF">
      <w:pPr>
        <w:pStyle w:val="NormalHanging12a"/>
      </w:pPr>
      <w:r w:rsidRPr="001A3642">
        <w:t>–</w:t>
      </w:r>
      <w:r w:rsidRPr="001A3642">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1A3642">
        <w:lastRenderedPageBreak/>
        <w:t>την κατάργηση του κανονισμού (ΕΕ, Ευρατόμ) αριθ. 966/2012</w:t>
      </w:r>
      <w:r w:rsidRPr="001A3642">
        <w:rPr>
          <w:rStyle w:val="FootnoteReference"/>
        </w:rPr>
        <w:footnoteReference w:id="3"/>
      </w:r>
      <w:r w:rsidRPr="001A3642">
        <w:t>, και ιδίως το άρθρο 70,</w:t>
      </w:r>
    </w:p>
    <w:p w:rsidR="008268AF" w:rsidRPr="001A3642" w:rsidRDefault="008268AF" w:rsidP="008268AF">
      <w:pPr>
        <w:pStyle w:val="NormalHanging12a"/>
      </w:pPr>
      <w:r w:rsidRPr="001A3642">
        <w:t>–</w:t>
      </w:r>
      <w:r w:rsidRPr="001A3642">
        <w:tab/>
        <w:t>έχοντας υπόψη τον κανονισμό (EE) 2021/696 του Ευρωπαϊκού Κοινοβουλίου και του Συμβουλίου, της 28ης Απριλίου 2021, για τη θέσπιση του ενωσιακού διαστημικού προγράμματος και του Οργανισμού της Ευρωπαϊκής Ένωσης για το διαστημικό πρόγραμμα, και για την κατάργηση των κανονισμών (ΕΕ) αριθ. 912/2010, (ΕΕ) αριθ. 1285/2013 και (ΕΕ) αριθ. 377/2014 και της απόφασης αριθ. 541/2014/ΕΕ</w:t>
      </w:r>
      <w:r w:rsidRPr="001A3642">
        <w:rPr>
          <w:rStyle w:val="FootnoteReference"/>
        </w:rPr>
        <w:footnoteReference w:id="4"/>
      </w:r>
      <w:r w:rsidRPr="001A3642">
        <w:t>, και ιδίως τα άρθρα 85 και 86,</w:t>
      </w:r>
    </w:p>
    <w:p w:rsidR="008268AF" w:rsidRPr="001A3642" w:rsidRDefault="008268AF" w:rsidP="008268AF">
      <w:pPr>
        <w:pStyle w:val="NormalHanging12a"/>
      </w:pPr>
      <w:r w:rsidRPr="001A3642">
        <w:t>–</w:t>
      </w:r>
      <w:r w:rsidRPr="001A3642">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1A3642">
        <w:rPr>
          <w:rStyle w:val="FootnoteReference"/>
        </w:rPr>
        <w:footnoteReference w:id="5"/>
      </w:r>
      <w:r w:rsidRPr="001A3642">
        <w:t>, και ιδίως το άρθρο 105,</w:t>
      </w:r>
    </w:p>
    <w:p w:rsidR="008268AF" w:rsidRPr="001A3642" w:rsidRDefault="008268AF" w:rsidP="008268AF">
      <w:pPr>
        <w:pStyle w:val="NormalHanging12a"/>
      </w:pPr>
      <w:r w:rsidRPr="001A3642">
        <w:t>–</w:t>
      </w:r>
      <w:r w:rsidRPr="001A3642">
        <w:tab/>
        <w:t>έχοντας υπόψη το άρθρο 100 και το παράρτημα V του Κανονισμού του,</w:t>
      </w:r>
    </w:p>
    <w:p w:rsidR="008268AF" w:rsidRPr="001A3642" w:rsidRDefault="008268AF" w:rsidP="008268AF">
      <w:pPr>
        <w:pStyle w:val="NormalHanging12a"/>
      </w:pPr>
      <w:r w:rsidRPr="001A3642">
        <w:t>–</w:t>
      </w:r>
      <w:r w:rsidRPr="001A3642">
        <w:tab/>
        <w:t>έχοντας υπόψη την έκθεση της Επιτροπής Ελέγχου του Προϋπολογισμού (A9-0121/2024),</w:t>
      </w:r>
    </w:p>
    <w:p w:rsidR="008268AF" w:rsidRPr="001A3642" w:rsidRDefault="008268AF" w:rsidP="008268AF">
      <w:pPr>
        <w:pStyle w:val="NormalHanging12a"/>
      </w:pPr>
      <w:r w:rsidRPr="001A3642">
        <w:t>1.</w:t>
      </w:r>
      <w:r w:rsidRPr="001A3642">
        <w:tab/>
        <w:t>χορηγεί απαλλαγή στον εκτελεστικό διευθυντή του Οργανισμού της Ευρωπαϊκής Ένωσης για το Διαστημικό Πρόγραμμα όσον αφορά την εκτέλεση του προϋπολογισμού του Οργανισμού για το οικονομικό έτος 2022·</w:t>
      </w:r>
    </w:p>
    <w:p w:rsidR="008268AF" w:rsidRPr="001A3642" w:rsidRDefault="008268AF" w:rsidP="008268AF">
      <w:pPr>
        <w:pStyle w:val="NormalHanging12a"/>
      </w:pPr>
      <w:r w:rsidRPr="001A3642">
        <w:t>2.</w:t>
      </w:r>
      <w:r w:rsidRPr="001A3642">
        <w:tab/>
        <w:t>εκθέτει τις παρατηρήσεις του στο ψήφισμα που ακολουθεί·</w:t>
      </w:r>
    </w:p>
    <w:p w:rsidR="008268AF" w:rsidRPr="001A3642" w:rsidRDefault="008268AF" w:rsidP="008268AF">
      <w:pPr>
        <w:pStyle w:val="NormalHanging12a"/>
      </w:pPr>
      <w:r w:rsidRPr="001A3642">
        <w:t>3.</w:t>
      </w:r>
      <w:r w:rsidRPr="001A3642">
        <w:tab/>
        <w:t>αναθέτει στην Πρόεδρό του να διαβιβάσει την παρούσα απόφαση και το ψήφισμα που αποτελεί αναπόσπαστο μέρος της στον εκτελεστικό διευθυντή του Οργανισμού της Ευρωπαϊκής Ένωσης για το Διαστημικό Πρόγραμμα, στο Συμβούλιο, στην Επιτροπή και στο Ελεγκτικό Συνέδριο, και να μεριμνήσει για τη δημοσίευσή τους στην Επίσημη Εφημερίδα της Ευρωπαϊκής Ένωσης (σειρά L).</w:t>
      </w:r>
    </w:p>
    <w:p w:rsidR="008268AF" w:rsidRPr="001A3642" w:rsidRDefault="008268AF" w:rsidP="008268AF"/>
    <w:p w:rsidR="008268AF" w:rsidRPr="001A3642" w:rsidRDefault="008268AF" w:rsidP="008268AF">
      <w:pPr>
        <w:widowControl/>
        <w:rPr>
          <w:rFonts w:ascii="Arial" w:hAnsi="Arial" w:cs="Arial"/>
          <w:b/>
        </w:rPr>
        <w:sectPr w:rsidR="008268AF" w:rsidRPr="001A3642" w:rsidSect="001A364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268AF" w:rsidRPr="001A3642" w:rsidRDefault="001107B1" w:rsidP="001107B1">
      <w:pPr>
        <w:pStyle w:val="ATHeading3"/>
      </w:pPr>
      <w:r>
        <w:lastRenderedPageBreak/>
        <w:t xml:space="preserve">2. Απόφαση του Ευρωπαϊκού Κοινοβουλίου </w:t>
      </w:r>
      <w:r w:rsidR="003C61F1">
        <w:t xml:space="preserve">της 11ης Απριλίου 2024 </w:t>
      </w:r>
      <w:r w:rsidR="008268AF" w:rsidRPr="001A3642">
        <w:t>σχετικά με το κλείσιμο των λογαριασμών του Οργανισμού της Ευρωπαϊκής Ένωσης για το Διαστημικό Πρόγραμμα για το οικονομικό έτος 2022</w:t>
      </w:r>
      <w:r w:rsidR="009E01EE">
        <w:t xml:space="preserve"> </w:t>
      </w:r>
      <w:r w:rsidR="008268AF" w:rsidRPr="001A3642">
        <w:t>(2023/2170(DEC))</w:t>
      </w:r>
    </w:p>
    <w:p w:rsidR="008268AF" w:rsidRPr="001A3642" w:rsidRDefault="008268AF" w:rsidP="008268AF">
      <w:pPr>
        <w:pStyle w:val="EPComma"/>
      </w:pPr>
      <w:r w:rsidRPr="001A3642">
        <w:t>Το Ευρωπαϊκό Κοινοβούλιο,</w:t>
      </w:r>
    </w:p>
    <w:p w:rsidR="008268AF" w:rsidRPr="001A3642" w:rsidRDefault="008268AF" w:rsidP="008268AF">
      <w:pPr>
        <w:pStyle w:val="NormalHanging12a"/>
      </w:pPr>
      <w:r w:rsidRPr="001A3642">
        <w:t>–</w:t>
      </w:r>
      <w:r w:rsidRPr="001A3642">
        <w:tab/>
        <w:t>έχοντας υπόψη τους οριστικούς ετήσιους λογαριασμούς του Οργανισμού της Ευρωπαϊκής Ένωσης για το Διαστημικό Πρόγραμμα για το οικονομικό έτος 2022,</w:t>
      </w:r>
    </w:p>
    <w:p w:rsidR="008268AF" w:rsidRPr="001A3642" w:rsidRDefault="008268AF" w:rsidP="008268AF">
      <w:pPr>
        <w:pStyle w:val="NormalHanging12a"/>
      </w:pPr>
      <w:r w:rsidRPr="001A3642">
        <w:t>–</w:t>
      </w:r>
      <w:r w:rsidRPr="001A3642">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1A3642">
        <w:rPr>
          <w:rStyle w:val="FootnoteReference"/>
        </w:rPr>
        <w:footnoteReference w:id="6"/>
      </w:r>
      <w:r w:rsidRPr="001A3642">
        <w:t>,</w:t>
      </w:r>
    </w:p>
    <w:p w:rsidR="008268AF" w:rsidRPr="001A3642" w:rsidRDefault="008268AF" w:rsidP="008268AF">
      <w:pPr>
        <w:pStyle w:val="NormalHanging12a"/>
      </w:pPr>
      <w:r w:rsidRPr="001A3642">
        <w:t>–</w:t>
      </w:r>
      <w:r w:rsidRPr="001A3642">
        <w:tab/>
        <w:t>έχοντας υπόψη τη δήλωση αξιοπιστίας</w:t>
      </w:r>
      <w:r w:rsidRPr="001A3642">
        <w:rPr>
          <w:rStyle w:val="FootnoteReference"/>
        </w:rPr>
        <w:footnoteReference w:id="7"/>
      </w:r>
      <w:r w:rsidRPr="001A3642">
        <w:t xml:space="preserve"> η οποία βεβαιώνει την ακρίβεια των λογαριασμών και τη νομιμότητα και κανονικότητα των σχετικών πράξεων, την οποία </w:t>
      </w:r>
      <w:proofErr w:type="spellStart"/>
      <w:r w:rsidRPr="001A3642">
        <w:t>ενεχείρισε</w:t>
      </w:r>
      <w:proofErr w:type="spellEnd"/>
      <w:r w:rsidRPr="001A3642">
        <w:t xml:space="preserve"> το Ελεγκτικό Συνέδριο για το οικονομικό έτος 2022, σύμφωνα με το άρθρο 287 της Συνθήκης για τη λειτουργία της Ευρωπαϊκής Ένωσης,</w:t>
      </w:r>
    </w:p>
    <w:p w:rsidR="008268AF" w:rsidRPr="001A3642" w:rsidRDefault="008268AF" w:rsidP="008268AF">
      <w:pPr>
        <w:pStyle w:val="NormalHanging12a"/>
      </w:pPr>
      <w:r w:rsidRPr="001A3642">
        <w:t>–</w:t>
      </w:r>
      <w:r w:rsidRPr="001A3642">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3C61F1" w:rsidRPr="001A3642">
        <w:t>0</w:t>
      </w:r>
      <w:r w:rsidR="003C61F1">
        <w:t>6180</w:t>
      </w:r>
      <w:r w:rsidRPr="001A3642">
        <w:t>/2024 – C9</w:t>
      </w:r>
      <w:r w:rsidR="003C61F1">
        <w:t>-</w:t>
      </w:r>
      <w:r w:rsidR="003C61F1" w:rsidRPr="001A3642">
        <w:t>0</w:t>
      </w:r>
      <w:r w:rsidR="003C61F1">
        <w:t>108</w:t>
      </w:r>
      <w:r w:rsidRPr="001A3642">
        <w:t>/2024),</w:t>
      </w:r>
    </w:p>
    <w:p w:rsidR="008268AF" w:rsidRPr="001A3642" w:rsidRDefault="008268AF" w:rsidP="008268AF">
      <w:pPr>
        <w:pStyle w:val="NormalHanging12a"/>
      </w:pPr>
      <w:r w:rsidRPr="001A3642">
        <w:t>–</w:t>
      </w:r>
      <w:r w:rsidRPr="001A3642">
        <w:tab/>
        <w:t>έχοντας υπόψη το άρθρο 319 της Συνθήκης για τη λειτουργία της Ευρωπαϊκής Ένωσης,</w:t>
      </w:r>
    </w:p>
    <w:p w:rsidR="008268AF" w:rsidRPr="001A3642" w:rsidRDefault="008268AF" w:rsidP="008268AF">
      <w:pPr>
        <w:pStyle w:val="NormalHanging12a"/>
      </w:pPr>
      <w:r w:rsidRPr="001A3642">
        <w:t>–</w:t>
      </w:r>
      <w:r w:rsidRPr="001A3642">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1A3642">
        <w:rPr>
          <w:rStyle w:val="FootnoteReference"/>
        </w:rPr>
        <w:footnoteReference w:id="8"/>
      </w:r>
      <w:r w:rsidRPr="001A3642">
        <w:t>, και ιδίως το άρθρο 70,</w:t>
      </w:r>
    </w:p>
    <w:p w:rsidR="008268AF" w:rsidRPr="001A3642" w:rsidRDefault="008268AF" w:rsidP="008268AF">
      <w:pPr>
        <w:pStyle w:val="NormalHanging12a"/>
      </w:pPr>
      <w:r w:rsidRPr="001A3642">
        <w:t>–</w:t>
      </w:r>
      <w:r w:rsidRPr="001A3642">
        <w:tab/>
        <w:t>έχοντας υπόψη τον κανονισμό (EE) 2021/696 του Ευρωπαϊκού Κοινοβουλίου και του Συμβουλίου, της 28ης Απριλίου 2021, για τη θέσπιση του ενωσιακού διαστημικού προγράμματος και του Οργανισμού της Ευρωπαϊκής Ένωσης για το διαστημικό πρόγραμμα, και για την κατάργηση των κανονισμών (ΕΕ) αριθ. 912/2010, (ΕΕ) αριθ. 1285/2013 και (ΕΕ) αριθ. 377/2014 και της απόφασης αριθ. 541/2014/ΕΕ</w:t>
      </w:r>
      <w:r w:rsidRPr="001A3642">
        <w:rPr>
          <w:rStyle w:val="FootnoteReference"/>
        </w:rPr>
        <w:footnoteReference w:id="9"/>
      </w:r>
      <w:r w:rsidRPr="001A3642">
        <w:t>, και ιδίως τα άρθρα 85 και 86,</w:t>
      </w:r>
    </w:p>
    <w:p w:rsidR="008268AF" w:rsidRPr="001A3642" w:rsidRDefault="008268AF" w:rsidP="008268AF">
      <w:pPr>
        <w:pStyle w:val="NormalHanging12a"/>
      </w:pPr>
      <w:r w:rsidRPr="001A3642">
        <w:t>–</w:t>
      </w:r>
      <w:r w:rsidRPr="001A3642">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1A3642">
        <w:rPr>
          <w:rStyle w:val="FootnoteReference"/>
        </w:rPr>
        <w:footnoteReference w:id="10"/>
      </w:r>
      <w:r w:rsidRPr="001A3642">
        <w:t>, και ιδίως το άρθρο 105,</w:t>
      </w:r>
    </w:p>
    <w:p w:rsidR="008268AF" w:rsidRPr="001A3642" w:rsidRDefault="008268AF" w:rsidP="008268AF">
      <w:pPr>
        <w:pStyle w:val="NormalHanging12a"/>
      </w:pPr>
      <w:r w:rsidRPr="001A3642">
        <w:t>–</w:t>
      </w:r>
      <w:r w:rsidRPr="001A3642">
        <w:tab/>
        <w:t>έχοντας υπόψη το άρθρο 100 και το παράρτημα V του Κανονισμού του,</w:t>
      </w:r>
    </w:p>
    <w:p w:rsidR="008268AF" w:rsidRPr="001A3642" w:rsidRDefault="008268AF" w:rsidP="008268AF">
      <w:pPr>
        <w:pStyle w:val="NormalHanging12a"/>
      </w:pPr>
      <w:r w:rsidRPr="001A3642">
        <w:t>–</w:t>
      </w:r>
      <w:r w:rsidRPr="001A3642">
        <w:tab/>
        <w:t>έχοντας υπόψη την έκθεση της Επιτροπής Ελέγχου του Προϋπολογισμού (A9-0121/2024),</w:t>
      </w:r>
    </w:p>
    <w:p w:rsidR="008268AF" w:rsidRPr="001A3642" w:rsidRDefault="008268AF" w:rsidP="008268AF">
      <w:pPr>
        <w:pStyle w:val="NormalHanging12a"/>
      </w:pPr>
      <w:r w:rsidRPr="001A3642">
        <w:t>1.</w:t>
      </w:r>
      <w:r w:rsidRPr="001A3642">
        <w:tab/>
        <w:t>εγκρίνει το κλείσιμο των λογαριασμών του Οργανισμού της Ευρωπαϊκής Ένωσης για το Διαστημικό Πρόγραμμα για το οικονομικό έτος 2022·</w:t>
      </w:r>
    </w:p>
    <w:p w:rsidR="008268AF" w:rsidRPr="001A3642" w:rsidRDefault="008268AF" w:rsidP="008268AF">
      <w:pPr>
        <w:pStyle w:val="NormalHanging12a"/>
      </w:pPr>
      <w:r w:rsidRPr="001A3642">
        <w:t>2.</w:t>
      </w:r>
      <w:r w:rsidRPr="001A3642">
        <w:tab/>
        <w:t>αναθέτει στην Πρόεδρό του να διαβιβάσει την παρούσα απόφαση στον εκτελεστικό διευθυντή του Οργανισμού της Ευρωπαϊκής Ένωσης για το Διαστημικό Πρόγραμμα,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rsidR="008268AF" w:rsidRPr="001A3642" w:rsidRDefault="008268AF" w:rsidP="008268AF"/>
    <w:p w:rsidR="008268AF" w:rsidRPr="001A3642" w:rsidRDefault="008268AF" w:rsidP="008268AF">
      <w:pPr>
        <w:widowControl/>
        <w:rPr>
          <w:rFonts w:ascii="Arial" w:hAnsi="Arial" w:cs="Arial"/>
          <w:b/>
        </w:rPr>
        <w:sectPr w:rsidR="008268AF" w:rsidRPr="001A3642" w:rsidSect="001A3642">
          <w:footnotePr>
            <w:numRestart w:val="eachPage"/>
          </w:footnotePr>
          <w:endnotePr>
            <w:numFmt w:val="decimal"/>
          </w:endnotePr>
          <w:pgSz w:w="11906" w:h="16838"/>
          <w:pgMar w:top="1134" w:right="1418" w:bottom="1418" w:left="1418" w:header="567" w:footer="567" w:gutter="0"/>
          <w:cols w:space="720"/>
          <w:docGrid w:linePitch="326"/>
        </w:sectPr>
      </w:pPr>
    </w:p>
    <w:p w:rsidR="008268AF" w:rsidRPr="001A3642" w:rsidRDefault="001107B1" w:rsidP="001107B1">
      <w:pPr>
        <w:pStyle w:val="ATHeading3"/>
      </w:pPr>
      <w:r>
        <w:t xml:space="preserve">3. Ψήφισμα του Ευρωπαϊκού Κοινοβουλίου </w:t>
      </w:r>
      <w:r w:rsidR="003C61F1">
        <w:t xml:space="preserve">της 11ης Απριλίου </w:t>
      </w:r>
      <w:r w:rsidR="00013E8A">
        <w:t xml:space="preserve">2024 </w:t>
      </w:r>
      <w:r w:rsidR="008268AF" w:rsidRPr="001A3642">
        <w:t>με τις παρατηρήσεις που αποτελούν αναπόσπαστο μέρος της απόφασης σχετικά με την απαλλαγή όσον αφορά την εκτέλεση του προϋπολογισμού του Οργανισμού της Ευρωπαϊκής Ένωσης για το Διαστημικό Πρόγραμμα για το οικονομικό έτος 2022</w:t>
      </w:r>
      <w:r w:rsidR="009E01EE">
        <w:t xml:space="preserve"> </w:t>
      </w:r>
      <w:r w:rsidR="008268AF" w:rsidRPr="001A3642">
        <w:t>(2023/2170(DEC))</w:t>
      </w:r>
    </w:p>
    <w:p w:rsidR="008268AF" w:rsidRPr="001A3642" w:rsidRDefault="008268AF" w:rsidP="008268AF">
      <w:pPr>
        <w:pStyle w:val="EPComma"/>
      </w:pPr>
      <w:r w:rsidRPr="001A3642">
        <w:t>Το Ευρωπαϊκό Κοινοβούλιο,</w:t>
      </w:r>
    </w:p>
    <w:p w:rsidR="008268AF" w:rsidRPr="001A3642" w:rsidRDefault="008268AF" w:rsidP="008268AF">
      <w:pPr>
        <w:pStyle w:val="NormalHanging12a"/>
      </w:pPr>
      <w:r w:rsidRPr="001A3642">
        <w:t>–</w:t>
      </w:r>
      <w:r w:rsidRPr="001A3642">
        <w:tab/>
        <w:t>έχοντας υπόψη την απόφασή του σχετικά με την απαλλαγή όσον αφορά την εκτέλεση του προϋπολογισμού του Οργανισμού της Ευρωπαϊκής Ένωσης για το Διαστημικό Πρόγραμμα (ο Οργανισμός) για το οικονομικό έτος 2022,</w:t>
      </w:r>
    </w:p>
    <w:p w:rsidR="008268AF" w:rsidRPr="001A3642" w:rsidRDefault="008268AF" w:rsidP="008268AF">
      <w:pPr>
        <w:pStyle w:val="NormalHanging12a"/>
      </w:pPr>
      <w:r w:rsidRPr="001A3642">
        <w:t>–</w:t>
      </w:r>
      <w:r w:rsidRPr="001A3642">
        <w:tab/>
        <w:t>έχοντας υπόψη το άρθρο 100 και το παράρτημα V του Κανονισμού του,</w:t>
      </w:r>
    </w:p>
    <w:p w:rsidR="008268AF" w:rsidRPr="001A3642" w:rsidRDefault="008268AF" w:rsidP="008268AF">
      <w:pPr>
        <w:pStyle w:val="NormalHanging12a"/>
      </w:pPr>
      <w:r w:rsidRPr="001A3642">
        <w:t>–</w:t>
      </w:r>
      <w:r w:rsidRPr="001A3642">
        <w:tab/>
        <w:t>έχοντας υπόψη την έκθεση της Επιτροπής Ελέγχου του Προϋπολογισμού (A9-0121/2024),</w:t>
      </w:r>
    </w:p>
    <w:p w:rsidR="008268AF" w:rsidRPr="001A3642" w:rsidRDefault="008268AF" w:rsidP="008268AF">
      <w:pPr>
        <w:pStyle w:val="Normal12Hanging"/>
        <w:rPr>
          <w:szCs w:val="24"/>
        </w:rPr>
      </w:pPr>
      <w:r w:rsidRPr="001A3642">
        <w:t>Α.</w:t>
      </w:r>
      <w:r w:rsidRPr="001A3642">
        <w:tab/>
        <w:t>λαμβάνοντας υπόψη ότι, σύμφωνα με την κατάσταση εσόδων και δαπανών του</w:t>
      </w:r>
      <w:r w:rsidRPr="001A3642">
        <w:rPr>
          <w:rStyle w:val="FootnoteReference"/>
          <w:szCs w:val="24"/>
        </w:rPr>
        <w:footnoteReference w:id="11"/>
      </w:r>
      <w:r w:rsidRPr="001A3642">
        <w:t>, ο οριστικός προϋπολογισμός του Οργανισμού για το οικονομικό έτος 2022 ανήλθε σε 70</w:t>
      </w:r>
      <w:r w:rsidR="003C61F1">
        <w:t> </w:t>
      </w:r>
      <w:r w:rsidRPr="001A3642">
        <w:t>032</w:t>
      </w:r>
      <w:r w:rsidR="003C61F1">
        <w:t> </w:t>
      </w:r>
      <w:r w:rsidRPr="001A3642">
        <w:t>491,77 EUR, ποσό που συνιστά αύξηση κατά 22,58% σε σύγκριση με το 2021· λαμβάνοντας υπόψη ότι τα πραγματικά έσοδα του Οργανισμού ανήλθαν σε 1,2 δισ</w:t>
      </w:r>
      <w:r w:rsidR="003C61F1">
        <w:t>εκατομμύρια</w:t>
      </w:r>
      <w:r w:rsidRPr="001A3642">
        <w:t> EUR, ποσό το οποίο αντιστοιχεί στη διαφορά με τον προαναφερόμενο προϋπολογισμό, εξηγείται δε από επιχειρησιακές δραστηριότητες χρηματοδοτούμενες από έσοδα για ειδικό προορισμό που περιλαμβάνονται στον εγκεκριμένο προϋπολογισμό ως εγγραφή προς υπόμνηση·</w:t>
      </w:r>
    </w:p>
    <w:p w:rsidR="008268AF" w:rsidRPr="001A3642" w:rsidRDefault="008268AF" w:rsidP="008268AF">
      <w:pPr>
        <w:pStyle w:val="Normal12Hanging"/>
        <w:rPr>
          <w:szCs w:val="24"/>
        </w:rPr>
      </w:pPr>
      <w:r w:rsidRPr="001A3642">
        <w:t>Β.</w:t>
      </w:r>
      <w:r w:rsidRPr="001A3642">
        <w:tab/>
        <w:t>λαμβάνοντας υπόψη ότι το Ελεγκτικό Συνέδριο, στην έκθεσή του για τους ετήσιους λογαριασμούς του Οργανισμού για το οικονομικό έτος 2022 («η έκθεση του Ελεγκτικού Συνεδρίου»), δηλώνει πως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 λαμβάνοντας υπόψη ότι στην έκθεση του Ελεγκτικού Συνεδρίου περιλαμβάνεται παράγραφος «επισήμανσης ειδικού θέματος» σχετικά με τον αντίκτυπο που είχε στις επιχειρήσεις του Οργανισμού ο επιθετικός πόλεμος της Ρωσίας κατά της Ουκρανίας·</w:t>
      </w:r>
    </w:p>
    <w:p w:rsidR="008268AF" w:rsidRPr="001A3642" w:rsidRDefault="008268AF" w:rsidP="008268AF">
      <w:pPr>
        <w:pStyle w:val="Normal12Hanging"/>
        <w:rPr>
          <w:szCs w:val="24"/>
        </w:rPr>
      </w:pPr>
      <w:r w:rsidRPr="001A3642">
        <w:t>Γ.</w:t>
      </w:r>
      <w:r w:rsidRPr="001A3642">
        <w:tab/>
        <w:t>λαμβάνοντας υπόψη ότι, όσον αφορά τα συστήματα εσωτερικού ελέγχου του Οργανισμού, δεν αναφέρθηκαν ζητήματα που να απαιτούν διορθωτικές ενέργειες για το 2022, ούτε υπάρχουν εν εξ</w:t>
      </w:r>
      <w:bookmarkStart w:id="8" w:name="_GoBack"/>
      <w:bookmarkEnd w:id="8"/>
      <w:r w:rsidRPr="001A3642">
        <w:t>ελίξει ή εκκρεμή διορθωτικά μέτρα από ελέγχους και αξιολογήσεις προηγούμενων ετών·</w:t>
      </w:r>
    </w:p>
    <w:p w:rsidR="008268AF" w:rsidRPr="001A3642" w:rsidRDefault="008268AF" w:rsidP="008268AF">
      <w:pPr>
        <w:pStyle w:val="Normal12Hanging"/>
        <w:rPr>
          <w:b/>
          <w:i/>
          <w:szCs w:val="24"/>
        </w:rPr>
      </w:pPr>
      <w:r w:rsidRPr="001A3642">
        <w:rPr>
          <w:b/>
          <w:i/>
        </w:rPr>
        <w:t>Δημοσιονομική και χρηματοοικονομική διαχείριση</w:t>
      </w:r>
    </w:p>
    <w:p w:rsidR="008268AF" w:rsidRPr="001A3642" w:rsidRDefault="008268AF" w:rsidP="008268AF">
      <w:pPr>
        <w:pStyle w:val="Normal12Hanging"/>
        <w:rPr>
          <w:szCs w:val="24"/>
        </w:rPr>
      </w:pPr>
      <w:r w:rsidRPr="001A3642">
        <w:t>1.</w:t>
      </w:r>
      <w:r w:rsidRPr="001A3642">
        <w:tab/>
        <w:t>σημειώνει με ικανοποίηση ότι οι προσπάθειες παρακολούθησης του προϋπολογισμού κατά τη διάρκεια του οικονομικού έτους 2022 είχαν ως αποτέλεσμα ποσοστό εκτέλεσης των πιστώσεων αναλήψεων υποχρεώσεων του τρέχοντος έτους 100%, που είναι ίδιο με τα προηγούμενα δύο έτη· εκφράζει, ωστόσο, τη λύπη του διότι το ποσοστό εκτέλεσης των πιστώσεων πληρωμών του τρέχοντος έτους ήταν 72,86%, που συνιστά μείωση κατά 1,92% σε σύγκριση με το 2021·</w:t>
      </w:r>
    </w:p>
    <w:p w:rsidR="008268AF" w:rsidRPr="001A3642" w:rsidRDefault="008268AF" w:rsidP="008268AF">
      <w:pPr>
        <w:pStyle w:val="Normal12Hanging"/>
        <w:rPr>
          <w:szCs w:val="24"/>
        </w:rPr>
      </w:pPr>
      <w:r w:rsidRPr="001A3642">
        <w:t>2.</w:t>
      </w:r>
      <w:r w:rsidRPr="001A3642">
        <w:tab/>
        <w:t>σημειώνει ότι το διοικητικό συμβούλιο του Οργανισμού ενέκρινε τρεις διορθωτικούς προϋπολογισμούς το 2022: με τον πρώτο, τον Ιανουάριο, αυξήθηκαν οι συνολικές πιστώσεις κατά 1</w:t>
      </w:r>
      <w:r w:rsidR="00721D60">
        <w:t> </w:t>
      </w:r>
      <w:r w:rsidRPr="001A3642">
        <w:t>687</w:t>
      </w:r>
      <w:r w:rsidR="00721D60">
        <w:t> </w:t>
      </w:r>
      <w:r w:rsidRPr="001A3642">
        <w:t>363,77 EUR, με τον δεύτερο το διοικητικό συμβούλιο του Οργανισμού ενέκρινε ανακατανομή συνολικά 2</w:t>
      </w:r>
      <w:r w:rsidR="00721D60">
        <w:t> </w:t>
      </w:r>
      <w:r w:rsidRPr="001A3642">
        <w:t>659</w:t>
      </w:r>
      <w:r w:rsidR="00721D60">
        <w:t> </w:t>
      </w:r>
      <w:r w:rsidRPr="001A3642">
        <w:t>300 EUR, κυρίως από τον επιχειρησιακό προϋπολογισμό στη γραμμή επεξεργασίας δεδομένων, και με τον τρίτο μειώθηκαν οι πιστώσεις πληρωμών κατά 4</w:t>
      </w:r>
      <w:r w:rsidR="00721D60">
        <w:t> </w:t>
      </w:r>
      <w:r w:rsidRPr="001A3642">
        <w:t>640</w:t>
      </w:r>
      <w:r w:rsidR="00721D60">
        <w:t> </w:t>
      </w:r>
      <w:r w:rsidRPr="001A3642">
        <w:t>000 EUR, με αποτέλεσμα το συνολικό ποσό των πιστώσεων πληρωμών να φθάσει τα 65</w:t>
      </w:r>
      <w:r w:rsidR="00721D60">
        <w:t> </w:t>
      </w:r>
      <w:r w:rsidRPr="001A3642">
        <w:t>392</w:t>
      </w:r>
      <w:r w:rsidR="00721D60">
        <w:t> </w:t>
      </w:r>
      <w:r w:rsidRPr="001A3642">
        <w:t>491,77 EUR·</w:t>
      </w:r>
    </w:p>
    <w:p w:rsidR="008268AF" w:rsidRPr="001A3642" w:rsidRDefault="008268AF" w:rsidP="008268AF">
      <w:pPr>
        <w:pStyle w:val="Normal12Hanging"/>
        <w:rPr>
          <w:szCs w:val="24"/>
        </w:rPr>
      </w:pPr>
      <w:r w:rsidRPr="001A3642">
        <w:t>3.</w:t>
      </w:r>
      <w:r w:rsidRPr="001A3642">
        <w:tab/>
        <w:t>σημειώνει ότι, επιπλέον του βασικού προϋπολογισμού του, ο Οργανισμός συνέχισε να διαχειρίζεται μεγάλο μέρος του κατ’ εξουσιοδότηση προϋπολογισμού (πιστώσεις για ειδικό προορισμό), δεσμεύθηκαν δε συνολικά 574,5 εκατ</w:t>
      </w:r>
      <w:r w:rsidR="003C61F1">
        <w:t>ομμύρια</w:t>
      </w:r>
      <w:r w:rsidR="003C61F1" w:rsidRPr="001A3642">
        <w:t> </w:t>
      </w:r>
      <w:r w:rsidRPr="001A3642">
        <w:t>EUR στο πλαίσιο του κατ’ εξουσιοδότηση προϋπολογισμού το 2022 και πραγματοποιήθηκαν πληρωμές ύψους 1,26 δισ</w:t>
      </w:r>
      <w:r w:rsidR="003C61F1">
        <w:t>εκατομμυρίων</w:t>
      </w:r>
      <w:r w:rsidRPr="001A3642">
        <w:t> EUR·</w:t>
      </w:r>
    </w:p>
    <w:p w:rsidR="008268AF" w:rsidRPr="001A3642" w:rsidRDefault="008268AF" w:rsidP="008268AF">
      <w:pPr>
        <w:pStyle w:val="Normal12Hanging"/>
        <w:rPr>
          <w:b/>
          <w:i/>
          <w:szCs w:val="24"/>
        </w:rPr>
      </w:pPr>
      <w:r w:rsidRPr="001A3642">
        <w:rPr>
          <w:b/>
          <w:i/>
        </w:rPr>
        <w:t>Επιδόσεις</w:t>
      </w:r>
    </w:p>
    <w:p w:rsidR="008268AF" w:rsidRPr="001A3642" w:rsidRDefault="008268AF" w:rsidP="008268AF">
      <w:pPr>
        <w:pStyle w:val="NormalHanging12a"/>
      </w:pPr>
      <w:r w:rsidRPr="001A3642">
        <w:t>4.</w:t>
      </w:r>
      <w:r w:rsidRPr="001A3642">
        <w:tab/>
        <w:t xml:space="preserve">επικροτεί το γεγονός ότι ο Οργανισμός χρησιμοποιεί κύριους δείκτες επιδόσεων (ΚΔΕ) για την αξιολόγηση των αποτελεσμάτων που σχετίζονται με τους στόχους του, στους οποίους συγκαταλέγονται, μεταξύ άλλων, η αποτελεσματική διοίκηση του Συμβουλίου Διαπίστευσης Ασφαλείας (SAB), ώστε να στηρίζει την έγκαιρη λήψη αποφάσεων, η ανάλυση απειλών και κινδύνων του </w:t>
      </w:r>
      <w:proofErr w:type="spellStart"/>
      <w:r w:rsidRPr="001A3642">
        <w:t>Galileo</w:t>
      </w:r>
      <w:proofErr w:type="spellEnd"/>
      <w:r w:rsidRPr="001A3642">
        <w:t>, η διαχείριση και η υποβολή εκθέσεων σχετικά με τον προϋπολογισμό του Οργανισμού, η αποδοτική διαχείριση όλων των νομικών ρυθμίσεων, η διασφάλιση της επιχειρησιακής ικανότητας των εγκαταστάσεων του Οργανισμού και η εκπλήρωση των υποχρεώσεων ελέγχου και υποχρεωτικού ελέγχου· σημειώνει ότι οι περισσότεροι στόχοι έχουν επιτευχθεί, αλλά συνιστά να αντιμετωπιστούν οι ΚΔΕ που παραμένουν ανεκπλήρωτοι ή προχωρούν με βραδύτερο ρυθμό από τον αναμενόμενο· συνιστά στον Οργανισμό να συντονίζει τους ΚΔΕ σε τακτική βάση, προκειμένου να βελτιστοποιήσει τις επιδόσεις του·</w:t>
      </w:r>
    </w:p>
    <w:p w:rsidR="008268AF" w:rsidRPr="001A3642" w:rsidRDefault="008268AF" w:rsidP="008268AF">
      <w:pPr>
        <w:pStyle w:val="Normal12Hanging"/>
        <w:rPr>
          <w:szCs w:val="24"/>
        </w:rPr>
      </w:pPr>
      <w:r w:rsidRPr="001A3642">
        <w:t>5.</w:t>
      </w:r>
      <w:r w:rsidRPr="001A3642">
        <w:tab/>
        <w:t xml:space="preserve">σημειώνει ότι ο Οργανισμός έχει αποκαλύψει δυνητικές επιπτώσεις του πολέμου στην Ουκρανία, συμπεριλαμβανομένης της διακοπής της χρήσης εκτοξευτών </w:t>
      </w:r>
      <w:proofErr w:type="spellStart"/>
      <w:r w:rsidRPr="001A3642">
        <w:t>Soyuz</w:t>
      </w:r>
      <w:proofErr w:type="spellEnd"/>
      <w:r w:rsidRPr="001A3642">
        <w:t xml:space="preserve"> για τους δορυφόρους του </w:t>
      </w:r>
      <w:proofErr w:type="spellStart"/>
      <w:r w:rsidRPr="001A3642">
        <w:t>Galileo</w:t>
      </w:r>
      <w:proofErr w:type="spellEnd"/>
      <w:r w:rsidRPr="001A3642">
        <w:t xml:space="preserve"> λόγω της μονομερούς αποχώρησης της ρωσικής ομάδας που ασχολείτο με τους εκτοξευτές </w:t>
      </w:r>
      <w:proofErr w:type="spellStart"/>
      <w:r w:rsidRPr="001A3642">
        <w:t>Soyuz</w:t>
      </w:r>
      <w:proofErr w:type="spellEnd"/>
      <w:r w:rsidRPr="001A3642">
        <w:t>· σημειώνει ότι ο Οργανισμός δεν προβλέπει να υπάρχει άμεσος αντίκτυπος στις οικονομικές επιδόσεις του, αλλά αναγνωρίζει ότι απαιτείται εντατική εργασία για την ελαχιστοποίηση των καθυστερήσεων στην εκτόξευση νέων δορυφόρων, γεγονός που θα μπορούσε στη συνέχεια να οδηγήσει σε καθυστερήσεις στην αναγνώριση των δαπανών και στην εκκαθάριση των εισπρακτέων περιουσιακών στοιχείων που καταβάλλονται με τη μορφή προχρηματοδότησης· σημειώνει με ανησυχία ότι το ποσό αυτό δεν μπορεί να εκτιμηθεί αξιόπιστα αυτή τη στιγμή·</w:t>
      </w:r>
    </w:p>
    <w:p w:rsidR="008268AF" w:rsidRPr="001A3642" w:rsidRDefault="008268AF" w:rsidP="008268AF">
      <w:pPr>
        <w:pStyle w:val="NormalHanging12a"/>
      </w:pPr>
      <w:r w:rsidRPr="001A3642">
        <w:t>6.</w:t>
      </w:r>
      <w:r w:rsidRPr="001A3642">
        <w:tab/>
        <w:t xml:space="preserve">σημειώνει ακόμη ότι οι εργασίες στους επίγειους σταθμούς του </w:t>
      </w:r>
      <w:proofErr w:type="spellStart"/>
      <w:r w:rsidRPr="001A3642">
        <w:t>Galileo</w:t>
      </w:r>
      <w:proofErr w:type="spellEnd"/>
      <w:r w:rsidRPr="001A3642">
        <w:t xml:space="preserve"> και της Ευρωπαϊκής Υπηρεσίας Υπέρθεσης για τη Γεωστατική Πλοήγηση (EGNOS) στην Ουκρανία έχουν σταματήσει λόγω της σύγκρουσης, αλλά αυτό δεν έχει άμεσο αντίκτυπο στη λειτουργικότητα του συστήματος EGNOS· επισημαίνει ότι ο Οργανισμός έχει λάβει όλα τα μέτρα που μπορούσε ώστε να προστατεύσει όσο το δυνατόν περισσότερο τον ήδη εγκατεστημένο εξοπλισμό, αλλά η ακριβής κατάστασή του δεν είναι ακόμα γνωστή· σημειώνει ότι εγείρεται ζήτημα ανωτέρας βίας από την οντότητα υποδοχής και ότι, μόλις αυτό πάψει να υφίσταται, αναμένεται να </w:t>
      </w:r>
      <w:proofErr w:type="spellStart"/>
      <w:r w:rsidRPr="001A3642">
        <w:t>επανενεργοποιηθεί</w:t>
      </w:r>
      <w:proofErr w:type="spellEnd"/>
      <w:r w:rsidRPr="001A3642">
        <w:t xml:space="preserve"> η ισχύουσα σύμβαση· ζητεί από τον Οργανισμό να υποβάλει έκθεση στην αρμόδια για την απαλλαγή αρχή σχετικά με την κατάσταση του εγκατεστημένου εξοπλισμού, μόλις το επιτρέψει ο πόλεμος·</w:t>
      </w:r>
    </w:p>
    <w:p w:rsidR="008268AF" w:rsidRPr="001A3642" w:rsidRDefault="008268AF" w:rsidP="008268AF">
      <w:pPr>
        <w:pStyle w:val="Normal12Hanging"/>
        <w:rPr>
          <w:szCs w:val="24"/>
        </w:rPr>
      </w:pPr>
      <w:r w:rsidRPr="001A3642">
        <w:t>7.</w:t>
      </w:r>
      <w:r w:rsidRPr="001A3642">
        <w:tab/>
        <w:t xml:space="preserve">παρατηρεί ότι ο Οργανισμός έχει εφαρμόσει μέτρα για την παρακολούθηση των δεσμών με ρωσικούς και </w:t>
      </w:r>
      <w:proofErr w:type="spellStart"/>
      <w:r w:rsidRPr="001A3642">
        <w:t>λευκορωσικούς</w:t>
      </w:r>
      <w:proofErr w:type="spellEnd"/>
      <w:r w:rsidRPr="001A3642">
        <w:t xml:space="preserve"> θεσμικούς φορείς, και ότι δεν αναμένεται οι αλλαγές στην κατάσταση της αγοράς λόγω των κυρώσεων να επηρεάσουν σημαντικά τις δραστηριότητες του Οργανισμού·</w:t>
      </w:r>
    </w:p>
    <w:p w:rsidR="008268AF" w:rsidRPr="001A3642" w:rsidRDefault="008268AF" w:rsidP="008268AF">
      <w:pPr>
        <w:pStyle w:val="Normal12Hanging"/>
        <w:rPr>
          <w:szCs w:val="24"/>
        </w:rPr>
      </w:pPr>
      <w:r w:rsidRPr="001A3642">
        <w:t>8.</w:t>
      </w:r>
      <w:r w:rsidRPr="001A3642">
        <w:tab/>
        <w:t xml:space="preserve">σημειώνει ότι, το 2022, λήφθηκε μια σειρά σημαντικών αποφάσεων διαπίστευσης για το </w:t>
      </w:r>
      <w:proofErr w:type="spellStart"/>
      <w:r w:rsidRPr="001A3642">
        <w:t>Galileo</w:t>
      </w:r>
      <w:proofErr w:type="spellEnd"/>
      <w:r w:rsidRPr="001A3642">
        <w:t xml:space="preserve"> και την EGNOS και, όσον αφορά την EGNOS, μεταξύ άλλων, υπογράφηκαν η επόμενη σύμβαση παροχής υπηρεσιών EGNOS και μια νέα σύμβαση υπηρεσιών έρευνας και διάσωσης, όπως και η σύμβαση συντήρησης για την EGNOS v2, εκτοξεύθηκε δε το ωφέλιμο φορτίο της EGNOS GEO4, και συγκεκριμένα εντοπίστηκε και διορθώθηκε ένα σφάλμα κοινής αιτίας στην EGNOS· σημειώνει με εκτίμηση τον παγκόσμιο αντίκτυπο του </w:t>
      </w:r>
      <w:proofErr w:type="spellStart"/>
      <w:r w:rsidRPr="001A3642">
        <w:t>Galileo</w:t>
      </w:r>
      <w:proofErr w:type="spellEnd"/>
      <w:r w:rsidRPr="001A3642">
        <w:t>, καθώς τροφοδοτεί με δεδομένα 3,5 δισ</w:t>
      </w:r>
      <w:r w:rsidR="003C61F1">
        <w:t>εκατομμύρια</w:t>
      </w:r>
      <w:r w:rsidRPr="001A3642">
        <w:t xml:space="preserve"> συσκευές σε παγκόσμιο επίπεδο· παρατηρεί ότι τέθηκαν σε ισχύ δύο νέοι δορυφόροι </w:t>
      </w:r>
      <w:proofErr w:type="spellStart"/>
      <w:r w:rsidRPr="001A3642">
        <w:t>Galileo</w:t>
      </w:r>
      <w:proofErr w:type="spellEnd"/>
      <w:r w:rsidRPr="001A3642">
        <w:t xml:space="preserve">· σημειώνει με εκτίμηση ότι οι υπηρεσίες </w:t>
      </w:r>
      <w:proofErr w:type="spellStart"/>
      <w:r w:rsidRPr="001A3642">
        <w:t>Galileo</w:t>
      </w:r>
      <w:proofErr w:type="spellEnd"/>
      <w:r w:rsidRPr="001A3642">
        <w:t>, συμπεριλαμβανομένων της παρακολούθησης της ασφάλειας και της κυβερνητικής υπηρεσίας, είχαν εξαιρετικές επιδόσεις παρά τις προκλήσεις της COVID-19·</w:t>
      </w:r>
    </w:p>
    <w:p w:rsidR="008268AF" w:rsidRPr="001A3642" w:rsidRDefault="008268AF" w:rsidP="008268AF">
      <w:pPr>
        <w:pStyle w:val="Normal12Hanging"/>
        <w:rPr>
          <w:szCs w:val="24"/>
        </w:rPr>
      </w:pPr>
      <w:r w:rsidRPr="001A3642">
        <w:t>9.</w:t>
      </w:r>
      <w:r w:rsidRPr="001A3642">
        <w:tab/>
        <w:t xml:space="preserve">σημειώνει ότι άλλα επιτεύγματα του Οργανισμού το 2022 περιλαμβάνουν τη διοργάνωση της Εβδομάδας Διαστήματος 2022 της ΕΕ στην Πράγα, σε συνεργασία με την Επιτροπή και με την υποστήριξη της τσεχικής Προεδρίας του Συμβουλίου της ΕΕ, τη δημιουργία του δικτύου του Οργανισμού με 1.000 νεοφυείς επιχειρήσεις και 28 επενδυτές και την πρώτη ημέρα διαστημικής επιχειρηματικότητας CASSINI, τη θέση σε λειτουργία 2 νέων δορυφόρων </w:t>
      </w:r>
      <w:proofErr w:type="spellStart"/>
      <w:r w:rsidRPr="001A3642">
        <w:t>Galileo</w:t>
      </w:r>
      <w:proofErr w:type="spellEnd"/>
      <w:r w:rsidRPr="001A3642">
        <w:t xml:space="preserve">, και τη δημοσίευση της πρώτης έκθεσης αγοράς που καλύπτει τόσο τη </w:t>
      </w:r>
      <w:proofErr w:type="spellStart"/>
      <w:r w:rsidRPr="001A3642">
        <w:t>γεωσκόπηση</w:t>
      </w:r>
      <w:proofErr w:type="spellEnd"/>
      <w:r w:rsidRPr="001A3642">
        <w:t xml:space="preserve"> όσο και το GNSS·</w:t>
      </w:r>
    </w:p>
    <w:p w:rsidR="008268AF" w:rsidRPr="001A3642" w:rsidRDefault="008268AF" w:rsidP="008268AF">
      <w:pPr>
        <w:pStyle w:val="NormalHanging12a"/>
      </w:pPr>
      <w:r w:rsidRPr="001A3642">
        <w:t>10.</w:t>
      </w:r>
      <w:r w:rsidRPr="001A3642">
        <w:tab/>
        <w:t xml:space="preserve">τονίζει ότι ο Οργανισμός θα πρέπει να καταστεί ο κύριος εκτελεστικός οργανισμός όλων των συνιστωσών του διαστημικού προγράμματος της ΕΕ, διασφαλίζοντας την παροχή ασφαλών υπηρεσιών και τη διαπίστευση όλων των συνιστωσών του διαστημικού προγράμματος </w:t>
      </w:r>
      <w:proofErr w:type="spellStart"/>
      <w:r w:rsidRPr="001A3642">
        <w:t>Galileo</w:t>
      </w:r>
      <w:proofErr w:type="spellEnd"/>
      <w:r w:rsidRPr="001A3642">
        <w:t>, EGNOS, γεωσκόπησης, διαχείρισης της διαστημικής κυκλοφορίας και κυβερνητικών τηλεπικοινωνιών και συνδεσιμότητας, προσφέροντας αξιόπιστες υπηρεσίες που εξελίσσονται συνεχώς με βάση τις ανάγκες των υφιστάμενων και των μελλοντικών χρηστών, μεταξύ άλλων και των κυβερνητικών χρηστών με ανάγκες για ανθεκτικότητα, άμυνα και ασφάλεια·</w:t>
      </w:r>
    </w:p>
    <w:p w:rsidR="008268AF" w:rsidRPr="001A3642" w:rsidRDefault="008268AF" w:rsidP="008268AF">
      <w:pPr>
        <w:pStyle w:val="NormalHanging12a"/>
      </w:pPr>
      <w:r w:rsidRPr="001A3642">
        <w:t>11.</w:t>
      </w:r>
      <w:r w:rsidRPr="001A3642">
        <w:tab/>
        <w:t>καλεί τον Οργανισμό να αξιοποιήσει την προστιθέμενη αξία του για την εφαρμογή του μελλοντικού διαστημικού δικαίου της ΕΕ, ως ακρογωνιαίου λίθου για την κατοχύρωση της ασφάλειας, της προστασίας και της βιωσιμότητας της Ένωσης στο διάστημα, συνεκτιμώντας την οικονομική ασφάλεια της ΕΕ στις διαστημικές δραστηριότητες και την επιτάχυνση της ανάπτυξης του «νέου διαστήματος»·</w:t>
      </w:r>
    </w:p>
    <w:p w:rsidR="008268AF" w:rsidRPr="001A3642" w:rsidRDefault="008268AF" w:rsidP="008268AF">
      <w:pPr>
        <w:pStyle w:val="Normal12Hanging"/>
        <w:rPr>
          <w:b/>
          <w:i/>
          <w:szCs w:val="24"/>
        </w:rPr>
      </w:pPr>
      <w:r w:rsidRPr="001A3642">
        <w:rPr>
          <w:b/>
          <w:i/>
        </w:rPr>
        <w:t>Αποδοτικότητα και οφέλη</w:t>
      </w:r>
    </w:p>
    <w:p w:rsidR="008268AF" w:rsidRPr="001A3642" w:rsidRDefault="008268AF" w:rsidP="008268AF">
      <w:pPr>
        <w:pStyle w:val="Normal12Hanging"/>
        <w:rPr>
          <w:szCs w:val="24"/>
        </w:rPr>
      </w:pPr>
      <w:r w:rsidRPr="001A3642">
        <w:t>12.</w:t>
      </w:r>
      <w:r w:rsidRPr="001A3642">
        <w:tab/>
        <w:t xml:space="preserve">σημειώνει ότι ο Οργανισμός κατέβαλε σημαντικές προσπάθειες για τον περαιτέρω εξορθολογισμό και την αυτοματοποίηση των διαδικασιών διαχείρισης των ανθρώπινων πόρων, ώστε να βελτιωθεί η αποδοτικότητα· παρατηρεί ότι, στο πλαίσιο αυτό, ο Οργανισμός συνέχισε να αναπτύσσει διάφορες ενότητες του </w:t>
      </w:r>
      <w:proofErr w:type="spellStart"/>
      <w:r w:rsidRPr="001A3642">
        <w:t>Sysper</w:t>
      </w:r>
      <w:proofErr w:type="spellEnd"/>
      <w:r w:rsidRPr="001A3642">
        <w:t xml:space="preserve"> (π.χ. TIM, FLEX, TELEWORK), διασυνδέοντάς τις με τις υφιστάμενες εσωτερικές υποστηρικτικές εφαρμογές (π.χ. εργαλείο καταγραφής του χρόνου εργασίας μέσω του </w:t>
      </w:r>
      <w:proofErr w:type="spellStart"/>
      <w:r w:rsidRPr="001A3642">
        <w:t>ενδοδικτύου</w:t>
      </w:r>
      <w:proofErr w:type="spellEnd"/>
      <w:r w:rsidRPr="001A3642">
        <w:t xml:space="preserve">)· σημειώνει ότι το τμήμα ανθρώπινων πόρων έχει θεσπίσει σύστημα ηλεκτρονικής έκδοσης εισιτηρίων για τον εξορθολογισμό της διεκπεραίωσης των διαφόρων αιτημάτων του προσωπικού του· καλεί τον Οργανισμό να βρει περισσότερες εσωτερικές διαδικασίες που θα μπορούσαν να </w:t>
      </w:r>
      <w:proofErr w:type="spellStart"/>
      <w:r w:rsidRPr="001A3642">
        <w:t>εξορθολογιστούν</w:t>
      </w:r>
      <w:proofErr w:type="spellEnd"/>
      <w:r w:rsidRPr="001A3642">
        <w:t xml:space="preserve"> μέσω νέων εργαλείων ΤΠ·</w:t>
      </w:r>
    </w:p>
    <w:p w:rsidR="008268AF" w:rsidRPr="001A3642" w:rsidRDefault="008268AF" w:rsidP="008268AF">
      <w:pPr>
        <w:pStyle w:val="Normal12Hanging"/>
        <w:rPr>
          <w:szCs w:val="24"/>
        </w:rPr>
      </w:pPr>
      <w:r w:rsidRPr="001A3642">
        <w:t>13.</w:t>
      </w:r>
      <w:r w:rsidRPr="001A3642">
        <w:tab/>
        <w:t>σημειώνει ότι, βάσει της χρηματοδοτικής συμφωνίας-πλαισίου εταιρικής σχέσης (FFPA), ο Οργανισμός υποχρεούται να συνεργάζεται με την Επιτροπή και τον Ευρωπαϊκό Οργανισμό Διαστήματος (ΕΟΔ) για τον από κοινού καθορισμό των διευθετήσεων με γνώμονα την επίτευξη των στόχων της Ευρωπαϊκής Ένωσης για το κλίμα και να συνεργάζεται σε δραστηριότητες που συμβάλλουν στην επίτευξη των στόχων αυτών· σημειώνει ακόμη ότι, σύμφωνα με το άρθρο 30 της FFPA, ο Οργανισμός υποχρεούται να εφαρμόσει το σύστημα οικολογικής διαχείρισης και οικολογικού ελέγχου (EMAS) έως το τέλος του 2023·</w:t>
      </w:r>
    </w:p>
    <w:p w:rsidR="008268AF" w:rsidRPr="001A3642" w:rsidRDefault="008268AF" w:rsidP="008268AF">
      <w:pPr>
        <w:pStyle w:val="Normal12Hanging"/>
        <w:rPr>
          <w:szCs w:val="24"/>
        </w:rPr>
      </w:pPr>
      <w:r w:rsidRPr="001A3642">
        <w:t>14.</w:t>
      </w:r>
      <w:r w:rsidRPr="001A3642">
        <w:tab/>
        <w:t>σημειώνει ότι, όσον αφορά τις οικολογικές δημόσιες συμβάσεις (ΟΔΣ), το 2022 σημειώθηκε κάποια πρόοδος στον εντοπισμό περιπτώσεων διαδικασιών υποβολής προσφορών με οικολογικές πτυχές και στην εξέταση της εφαρμογής οικολογικών κριτηρίων· σημειώνει ακόμη ότι, το 2023, ο Οργανισμός αναπτύσσει σταδιακά μια πιο εύρωστη προσέγγιση ώστε να εφαρμόζει πραγματικά τις ΟΔΣ σε μόνιμη βάση, να εκπαιδεύει το προσωπικό του και σταδιακά να εισαγάγει οικολογικά κριτήρια στις δημόσιες συμβάσεις του σύμφωνα με την περιβαλλοντική πολιτική του και την εν εξελίξει πιστοποίηση EMAS·</w:t>
      </w:r>
    </w:p>
    <w:p w:rsidR="008268AF" w:rsidRPr="001A3642" w:rsidRDefault="008268AF" w:rsidP="008268AF">
      <w:pPr>
        <w:pStyle w:val="Normal12Hanging"/>
        <w:rPr>
          <w:szCs w:val="24"/>
        </w:rPr>
      </w:pPr>
      <w:r w:rsidRPr="001A3642">
        <w:t>15.</w:t>
      </w:r>
      <w:r w:rsidRPr="001A3642">
        <w:tab/>
        <w:t>επαινεί τον Οργανισμό για την προσήλωσή του στη διαδικασία μείωσης των περιβαλλοντικών του επιπτώσεων, βελτιστοποίησης της κατανάλωσης πόρων και μείωσης του αποτυπώματος άνθρακα, καθώς και για το πρώτο βήμα προς την κατεύθυνση αυτή, με την έγκριση και δημοσίευση της περιβαλλοντικής πολιτικής του στις 16 Δεκεμβρίου 2022·</w:t>
      </w:r>
    </w:p>
    <w:p w:rsidR="008268AF" w:rsidRPr="001A3642" w:rsidRDefault="008268AF" w:rsidP="008268AF">
      <w:pPr>
        <w:pStyle w:val="NormalHanging12a"/>
      </w:pPr>
      <w:r w:rsidRPr="001A3642">
        <w:t>16.</w:t>
      </w:r>
      <w:r w:rsidRPr="001A3642">
        <w:tab/>
        <w:t xml:space="preserve">υπενθυμίζει τη σημασία να αυξηθεί η ψηφιοποίηση της Αρχής όσον αφορά την εσωτερική λειτουργία και διαχείριση, αλλά και προκειμένου να επιταχυνθεί η ψηφιοποίηση των διαδικασιών· τονίζει την ανάγκη να συνεχίσει ο Οργανισμός να είναι προορατικός εν προκειμένω, προκειμένου να αποφευχθεί το ψηφιακό χάσμα μεταξύ των οργανισμών· </w:t>
      </w:r>
      <w:proofErr w:type="spellStart"/>
      <w:r w:rsidRPr="001A3642">
        <w:t>εφιστά</w:t>
      </w:r>
      <w:proofErr w:type="spellEnd"/>
      <w:r w:rsidRPr="001A3642">
        <w:t>, ωστόσο, την προσοχή στην ανάγκη να ληφθούν όλα τα αναγκαία μέτρα ασφαλείας ώστε να αποφευχθεί κάθε κίνδυνος για τη διαδικτυακή ασφάλεια των πληροφοριών που υποβάλλονται σε επεξεργασία, επιμένει δε ότι είναι αναγκαίο να ενισχυθεί η αντιμετώπιση κυβερνοεπιθέσεων ή αποπειρών διείσδυσης που προέρχονται ιδιαίτερα από τη Ρωσία ή την Κίνα·</w:t>
      </w:r>
    </w:p>
    <w:p w:rsidR="008268AF" w:rsidRPr="001A3642" w:rsidRDefault="008268AF" w:rsidP="008268AF">
      <w:pPr>
        <w:pStyle w:val="NormalHanging12a"/>
      </w:pPr>
      <w:r w:rsidRPr="001A3642">
        <w:t>17.</w:t>
      </w:r>
      <w:r w:rsidRPr="001A3642">
        <w:tab/>
        <w:t xml:space="preserve">καλεί τον Οργανισμό να προσδιορίσει και να ενθαρρύνει περαιτέρω τη </w:t>
      </w:r>
      <w:proofErr w:type="spellStart"/>
      <w:r w:rsidRPr="001A3642">
        <w:t>συνεργειακή</w:t>
      </w:r>
      <w:proofErr w:type="spellEnd"/>
      <w:r w:rsidRPr="001A3642">
        <w:t xml:space="preserve"> χρήση των συνιστωσών του διαστημικού προγράμματος της ΕΕ και του IRIS</w:t>
      </w:r>
      <w:r w:rsidRPr="001A3642">
        <w:rPr>
          <w:vertAlign w:val="superscript"/>
        </w:rPr>
        <w:t>2</w:t>
      </w:r>
      <w:r w:rsidRPr="001A3642">
        <w:t>, μεταξύ άλλων για την εφαρμογή της διαστημικής στρατηγικής της ΕΕ για την ασφάλεια και την άμυνα, προκειμένου να εξασφαλιστεί ότι μακροπρόθεσμα μπορούν να συγχωνευθούν όλα τα καθήκοντα σε ένα ενοποιημένο διαστημικό πρόγραμμα που θα επιτρέπει καλύτερη συνέργεια μεταξύ των διαφόρων συνιστωσών·</w:t>
      </w:r>
    </w:p>
    <w:p w:rsidR="008268AF" w:rsidRPr="001A3642" w:rsidRDefault="008268AF" w:rsidP="008268AF">
      <w:pPr>
        <w:pStyle w:val="NormalHanging12a"/>
      </w:pPr>
      <w:r w:rsidRPr="001A3642">
        <w:t>18.</w:t>
      </w:r>
      <w:r w:rsidRPr="001A3642">
        <w:tab/>
        <w:t>καλεί τον Οργανισμό να συνεχίσει το έργο του σε συνεργασία με την Επιτροπή για τους κόμβους GOVSATCOM, και προσβλέπει στις συνέργειες που θα υλοποιηθούν με το σύστημα IRIS</w:t>
      </w:r>
      <w:r w:rsidRPr="001A3642">
        <w:rPr>
          <w:vertAlign w:val="superscript"/>
        </w:rPr>
        <w:t>2</w:t>
      </w:r>
      <w:r w:rsidRPr="001A3642">
        <w:t>· επισημαίνει τον ρόλο του EUSPA στην ανάπτυξη, την εγκατάσταση και τις επιχειρήσεις του IRIS</w:t>
      </w:r>
      <w:r w:rsidRPr="001A3642">
        <w:rPr>
          <w:vertAlign w:val="superscript"/>
        </w:rPr>
        <w:t>2</w:t>
      </w:r>
      <w:r w:rsidRPr="001A3642">
        <w:t xml:space="preserve"> ώστε να διασφαλίζεται η πρόσβαση σε άκρως ασφαλείς, κυρίαρχες και παγκόσμιες υπηρεσίες συνδεσιμότητας που βασίζονται σε προηγμένες τεχνολογίες κρυπτογράφησης·</w:t>
      </w:r>
    </w:p>
    <w:p w:rsidR="008268AF" w:rsidRPr="001A3642" w:rsidRDefault="008268AF" w:rsidP="008268AF">
      <w:pPr>
        <w:pStyle w:val="NormalHanging12a"/>
      </w:pPr>
      <w:r w:rsidRPr="001A3642">
        <w:t>19.</w:t>
      </w:r>
      <w:r w:rsidRPr="001A3642">
        <w:tab/>
        <w:t xml:space="preserve">επισημαίνει τον ρόλο του Οργανισμού στην εξέλιξη του </w:t>
      </w:r>
      <w:proofErr w:type="spellStart"/>
      <w:r w:rsidRPr="001A3642">
        <w:t>Copernicus</w:t>
      </w:r>
      <w:proofErr w:type="spellEnd"/>
      <w:r w:rsidRPr="001A3642">
        <w:t>, ιδίως όσον αφορά την κυβερνητική χρήση της γεωσκόπησης, δεδομένης της γεωπολιτικής κατάστασης, και υπενθυμίζει την ανάγκη να αξιοποιηθεί η εμπειρογνωσία του Οργανισμού όσον αφορά τη διαπίστευση ασφαλείας, την παρακολούθηση και την εκτέλεση συμβάσεων εν προκειμένω, ώστε να ενισχυθεί η επιχειρησιακή ικανότητα της Ένωσης να αναλαμβάνει δράση σε όλα τα στάδια της διαχείρισης του κινδύνου καταστροφών (τόσο φυσικές όσο και ανθρωπογενείς καταστροφές)·</w:t>
      </w:r>
    </w:p>
    <w:p w:rsidR="008268AF" w:rsidRPr="001A3642" w:rsidRDefault="008268AF" w:rsidP="008268AF">
      <w:pPr>
        <w:pStyle w:val="Normal12Hanging"/>
        <w:rPr>
          <w:b/>
          <w:i/>
          <w:szCs w:val="24"/>
        </w:rPr>
      </w:pPr>
      <w:r w:rsidRPr="001A3642">
        <w:rPr>
          <w:b/>
          <w:i/>
        </w:rPr>
        <w:t>Πολιτική προσωπικού</w:t>
      </w:r>
    </w:p>
    <w:p w:rsidR="008268AF" w:rsidRPr="001A3642" w:rsidRDefault="008268AF" w:rsidP="008268AF">
      <w:pPr>
        <w:pStyle w:val="Normal12Hanging"/>
        <w:rPr>
          <w:szCs w:val="24"/>
        </w:rPr>
      </w:pPr>
      <w:r w:rsidRPr="001A3642">
        <w:t>20.</w:t>
      </w:r>
      <w:r w:rsidRPr="001A3642">
        <w:tab/>
        <w:t>επαινεί τον Οργανισμό για το γεγονός ότι, στις 31 Δεκεμβρίου 2022, το ποσοστό εκτέλεσης του πίνακα προσωπικού ήταν 100 %, και ότι καλύπτονταν οι 231 από τις 231 θέσεις έκτακτων υπαλλήλων που είχαν εγκριθεί στο πλαίσιο του προϋπολογισμού της Ένωσης (σε σύγκριση με 191 εγκεκριμένες θέσεις το 2021)· σημειώνει ότι, επιπλέον, 46 συμβασιούχοι υπάλληλοι και 9 αποσπασμένοι εθνικοί εμπειρογνώμονες εργάστηκαν για τον Οργανισμό το 2022, με αποτέλεσμα ο συνολικός αριθμός του προσωπικού να ανέρχεται σε 286·</w:t>
      </w:r>
    </w:p>
    <w:p w:rsidR="008268AF" w:rsidRPr="001A3642" w:rsidRDefault="008268AF" w:rsidP="008268AF">
      <w:pPr>
        <w:pStyle w:val="Normal12Hanging"/>
        <w:rPr>
          <w:szCs w:val="24"/>
        </w:rPr>
      </w:pPr>
      <w:r w:rsidRPr="001A3642">
        <w:t>21.</w:t>
      </w:r>
      <w:r w:rsidRPr="001A3642">
        <w:tab/>
        <w:t>σημειώνει με ανησυχία την έλλειψη ισόρροπης εκπροσώπησης των φύλων στις ανώτερες και μεσαίες διοικητικές θέσεις του Οργανισμού, και οι 3 εκ των οποίων καταλαμβάνονται από άνδρες· εκφράζει τη δυσαρέσκειά του για την έλλειψη ισόρροπης εκπροσώπησης των φύλων στα μέλη του διοικητικού συμβουλίου του Οργανισμού, καθώς 22 από τα 28 μέλη είναι άνδρες· σημειώνει ακόμη την ισόρροπη εκπροσώπηση των φύλων στο συνολικό προσωπικό του Οργανισμού, όπου 153 από τα 232 μέλη του προσωπικού είναι άνδρες· σημειώνει ότι, σύμφωνα με την έκθεση του Οργανισμού σχετικά με τα μέτρα παρακολούθησης που ελήφθησαν στο πλαίσιο της απαλλαγής όσον αφορά την εκτέλεση του προϋπολογισμού του Οργανισμού για το οικονομικό έτος 2021 («η έκθεση παρακολούθησης του Οργανισμού»), το 2023 ο Οργανισμός ενέκρινε στρατηγική για τη διαφορετικότητα και την ένταξη, συνοδευόμενη από σχέδιο δράσης που περιλαμβάνει συγκεκριμένα μέτρα για τον τρόπο συμβολής στη διαφορετικότητα και την ένταξη, συμπεριλαμβανομένης της διάστασης του φύλου· σημειώνει ότι η ισόρροπη εκπροσώπηση των φύλων στις ανώτερες και μεσαίες διοικητικές θέσεις του Οργανισμού και η αντιμετώπιση των αναγκών αναφορικά με το διοικητικό συμβούλιο πρέπει να βελτιωθούν· υπενθυμίζει τη σημασία να διασφαλιστεί η ισόρροπη εκπροσώπηση των φύλων, και καλεί την Υπηρεσία να λαμβάνει υπόψη την πτυχή αυτή όσον αφορά τις μελλοντικές προσλήψεις προσωπικού και τους διορισμούς, ιδίως σε ανώτερες και μεσαίες διευθυντικές θέσεις· επιμένει, η Επιτροπή και τα κράτη μέλη να λαμβάνουν υπόψη τη σημασία που έχει η εξασφάλιση της ισόρροπης εκπροσώπησης των φύλων όταν υποβάλλουν τις προτάσεις τους για τον διορισμό των μελών του διοικητικού συμβουλίου του Οργανισμού·</w:t>
      </w:r>
    </w:p>
    <w:p w:rsidR="008268AF" w:rsidRPr="001A3642" w:rsidRDefault="008268AF" w:rsidP="008268AF">
      <w:pPr>
        <w:pStyle w:val="NormalHanging12a"/>
      </w:pPr>
      <w:r w:rsidRPr="001A3642">
        <w:t>22.</w:t>
      </w:r>
      <w:r w:rsidRPr="001A3642">
        <w:tab/>
        <w:t>σημειώνει ότι ο Οργανισμός εφαρμόζει πολιτική για την προστασία της αξιοπρέπειας του ατόμου και την πρόληψη της ψυχολογικής και σεξουαλικής παρενόχλησης, ενώ συμμετέχει και στη διυπηρεσιακή ειδική ομάδα εμπιστευτικών συμβούλων· προσβλέπει στην παραλαβή της έκθεσης και των συστάσεών τους· σημειώνει ότι δεν υπήρξαν αναφορές περιστατικών παρενόχλησης το 2022, και ενθαρρύνει τον Οργανισμό να συνεχίσει τις καλές επιδόσεις του εν προκειμένω και να λάβει μέτρα για την πρόληψη τέτοιων περιστατικών και στο μέλλον·</w:t>
      </w:r>
    </w:p>
    <w:p w:rsidR="008268AF" w:rsidRPr="001A3642" w:rsidRDefault="008268AF" w:rsidP="008268AF">
      <w:pPr>
        <w:pStyle w:val="Normal12Hanging"/>
        <w:rPr>
          <w:szCs w:val="24"/>
        </w:rPr>
      </w:pPr>
      <w:r w:rsidRPr="001A3642">
        <w:t>23.</w:t>
      </w:r>
      <w:r w:rsidRPr="001A3642">
        <w:tab/>
        <w:t>υπενθυμίζει την παρατήρηση του Ελεγκτικού Συνεδρίου του 2021 όσον αφορά τις διαδικαστικές ελλείψεις σε δύο ελεγχθείσες διαδικασίες πρόσληψης, ότι ο Οργανισμός εφάρμοσε περαιτέρω αλλαγές στις διαδικασίες επιλογής του, και ότι τα υποδείγματα και οι οδηγίες που παρασχέθηκαν στα μέλη της εξεταστικής επιτροπής τροποποιήθηκαν, παρέχεται δε περισσότερη καθοδήγηση στα μέλη της εξεταστικής επιτροπής κατά τον καθορισμό των κριτηρίων για την προκήρυξη κενής θέσης· σημειώνει ακόμη ότι το Ελεγκτικό Συνέδριο έχει διαπιστώσει πως οι βελτιώσεις αυτές είναι ικανοποιητικές και, ως εκ τούτου, η παρατήρηση έχει κλείσει·</w:t>
      </w:r>
    </w:p>
    <w:p w:rsidR="008268AF" w:rsidRPr="001A3642" w:rsidRDefault="008268AF" w:rsidP="008268AF">
      <w:pPr>
        <w:pStyle w:val="Normal12Hanging"/>
        <w:rPr>
          <w:szCs w:val="24"/>
        </w:rPr>
      </w:pPr>
      <w:r w:rsidRPr="001A3642">
        <w:t>24.</w:t>
      </w:r>
      <w:r w:rsidRPr="001A3642">
        <w:tab/>
        <w:t xml:space="preserve">υπενθυμίζει ότι ο Οργανισμός εξακολουθεί να εφαρμόζει τη σταδιακή και βαθμιαία μείωση του συνολικού αριθμού των θέσεων συμβασιούχων υπαλλήλων, ώστε να ευθυγραμμίζεται με τους συνολικούς πόρους που παρέχονται στον Οργανισμό· σημειώνει ότι, ταυτόχρονα, ο Οργανισμός εξακολουθεί να εστιάζει περαιτέρω τις εναπομένουσες θέσεις συμβασιούχων υπαλλήλων στις λειτουργίες του κέντρου παρακολούθησης της ασφάλειας του </w:t>
      </w:r>
      <w:proofErr w:type="spellStart"/>
      <w:r w:rsidRPr="001A3642">
        <w:t>Galileo</w:t>
      </w:r>
      <w:proofErr w:type="spellEnd"/>
      <w:r w:rsidRPr="001A3642">
        <w:t xml:space="preserve"> (GSMC)· επισημαίνει ότι, εν προκειμένω, ο Οργανισμός εξακολουθεί να σημειώνει πως υπάρχουν κίνδυνοι οι οποίοι συνδέονται με τη μείωση των θέσεων συμβασιούχων υπαλλήλων, πράγμα που καθιστά αναγκαία την πρόσθετη εξωτερική ανάθεση, η οποία συνεπάγεται αυξημένο οικονομικό κόστος και έχει ως αποτέλεσμα την ανάπτυξη ικανοτήτων και τεχνογνωσίας εκτός του δημόσιου τομέα·</w:t>
      </w:r>
    </w:p>
    <w:p w:rsidR="008268AF" w:rsidRPr="001A3642" w:rsidRDefault="008268AF" w:rsidP="008268AF">
      <w:pPr>
        <w:pStyle w:val="Normal12Hanging"/>
        <w:rPr>
          <w:szCs w:val="24"/>
        </w:rPr>
      </w:pPr>
      <w:r w:rsidRPr="001A3642">
        <w:t>25.</w:t>
      </w:r>
      <w:r w:rsidRPr="001A3642">
        <w:tab/>
        <w:t>υπενθυμίζει, σύμφωνα με την έκθεση του Ελεγκτικού Συνεδρίου, την παρατήρηση του 2021 όσον αφορά τους περιορισμούς τους οποίους επέβαλε ο Οργανισμός σε ανώτερο υπάλληλο που ανέλαβε νέα θέση εργασίας αλλού, χωρίς ωστόσο να αιτιολογεί τους περιορισμούς αυτούς· σημειώνει ακόμη ότι η παρατήρηση αυτή έχει κλείσει, ο Οργανισμός έχει αναθεωρήσει τις διαδικασίες του για την αντιμετώπιση των ελλείψεων που εντοπίστηκαν, και δεν παρατηρήθηκαν παρόμοιες περιπτώσεις το 2022·</w:t>
      </w:r>
    </w:p>
    <w:p w:rsidR="008268AF" w:rsidRPr="001A3642" w:rsidRDefault="008268AF" w:rsidP="008268AF">
      <w:pPr>
        <w:pStyle w:val="Normal12Hanging"/>
        <w:rPr>
          <w:szCs w:val="24"/>
        </w:rPr>
      </w:pPr>
      <w:r w:rsidRPr="001A3642">
        <w:t>26.</w:t>
      </w:r>
      <w:r w:rsidRPr="001A3642">
        <w:tab/>
        <w:t>επικροτεί το γεγονός ότι, το 2022, ο Οργανισμός συμμετείχε πλήρως στην ενότητα διαχείρισης χρόνου, συμπεριλαμβανομένων της τηλεργασίας και του ελαστικού ωραρίου, και υπέγραψε πρόσθετη συμφωνία επιπέδου υπηρεσιών για την ενότητα υποβολής εκθέσεων και ανάλυσης ανθρώπινων πόρων, η οποία πρόκειται να αναπτυχθεί το 2023· σημειώνει ότι ο Οργανισμός έχει εγκρίνει την απόφαση C(2022)1778 της Επιτροπής σχετικά με τον χρόνο εργασίας και την υβριδική εργασία και παρακολουθεί στενά τα αποτελέσματα της απόφασης αυτής, η οποία αναμένεται να βελτιώσει την ευεξία του προσωπικού στην εργασία και να διευκολύνει την εξισορρόπηση επαγγελματικής και προσωπικής ζωής·</w:t>
      </w:r>
    </w:p>
    <w:p w:rsidR="008268AF" w:rsidRPr="001A3642" w:rsidRDefault="008268AF" w:rsidP="008268AF">
      <w:pPr>
        <w:pStyle w:val="Normal12Hanging"/>
        <w:rPr>
          <w:szCs w:val="24"/>
        </w:rPr>
      </w:pPr>
      <w:r w:rsidRPr="001A3642">
        <w:rPr>
          <w:b/>
          <w:i/>
        </w:rPr>
        <w:t>Σύναψη συμβάσεων</w:t>
      </w:r>
    </w:p>
    <w:p w:rsidR="008268AF" w:rsidRPr="001A3642" w:rsidRDefault="008268AF" w:rsidP="008268AF">
      <w:pPr>
        <w:pStyle w:val="Normal12Hanging"/>
        <w:rPr>
          <w:szCs w:val="24"/>
        </w:rPr>
      </w:pPr>
      <w:r w:rsidRPr="001A3642">
        <w:t>27.</w:t>
      </w:r>
      <w:r w:rsidRPr="001A3642">
        <w:tab/>
        <w:t>σημειώνει ότι, σύμφωνα με την έκθεση του Ελεγκτικού Συνεδρίου, τον Σεπτέμβριο του 2021 ο Οργανισμός κίνησε διαδικασία με διαπραγμάτευση χωρίς προηγούμενη δημοσίευση προκήρυξης διαγωνισμού με εθνική δημόσια οντότητα για την παροχή διαφόρων υπηρεσιών σε σχέση με δραστηριότητες έρευνας και διάσωσης· επισημαίνει ότι ο προσφέρων παρείχε ήδη παρόμοιες υπηρεσίες στον Οργανισμό από το 2016, και ότι ο Οργανισμός σκόπευε να συνάψει νέα σύμβαση-πλαίσιο με ημερομηνία λήξης την 31η Δεκεμβρίου 2032 και μέγιστο προϋπολογισμό 120 εκατ</w:t>
      </w:r>
      <w:r w:rsidR="003C61F1">
        <w:t>ομμύρια</w:t>
      </w:r>
      <w:r w:rsidRPr="001A3642">
        <w:t> EUR· σημειώνει ότι η τελική σύμβαση-πλαίσιο υπεγράφη την 1η Δεκεμβρίου 2022, με τη συμμετοχή διαφόρων υπεργολάβων· παρατηρεί ότι το Ελεγκτικό Συνέδριο επισήμανε ορισμένες αποκλίσεις μεταξύ των απαιτήσεων που προβλέπονται στη συγγραφή υποχρεώσεων και την αξιολόγηση από μέρους της αρμόδιας επιτροπής· σημειώνει ότι, για παράδειγμα, η απαίτηση να δηλώνεται η απουσία σύγκρουσης συμφερόντων από τους αναδόχους κατά το στάδιο της αξιολόγησης είτε καταργήθηκε είτε δεν αναλύθηκε καταλλήλως, ένα άλλο παράδειγμα δε είναι ότι η προσφορά που ελήφθη, αντί να χρησιμοποιεί το 2021 ως έτος αναφοράς για τον καθορισμό των τιμών, σύμφωνα με τις τεχνικές προδιαγραφές, χρησιμοποίησε το 2022 ως έτος αναφοράς· σημειώνει τις εκτιμήσεις του Οργανισμού, ότι οι αποκλίσεις αιτιολογήθηκαν από το καθεστώς του κύριου αναδόχου που είναι εθνικός δημόσιος φορέας και από τους ελέγχους που διενήργησε ο τελευταίος και ότι, όσον αφορά το έτος αναφοράς που χρησιμοποιήθηκε για τον καθορισμό της τιμής στην προσφορά, ο Οργανισμός αποδέχθηκε την απόκλιση λόγω της διάρκειας της διαδικασίας που οδήγησε στη σύναψη της σύμβασης στο τέλος του 2022·</w:t>
      </w:r>
    </w:p>
    <w:p w:rsidR="008268AF" w:rsidRPr="001A3642" w:rsidRDefault="008268AF" w:rsidP="008268AF">
      <w:pPr>
        <w:pStyle w:val="Normal12Hanging"/>
        <w:rPr>
          <w:szCs w:val="24"/>
        </w:rPr>
      </w:pPr>
      <w:r w:rsidRPr="001A3642">
        <w:t>28.</w:t>
      </w:r>
      <w:r w:rsidRPr="001A3642">
        <w:tab/>
        <w:t>επισημαίνει ότι στόχος των κανόνων για τις δημόσιες συμβάσεις είναι να δίνεται στους αναθέτοντες φορείς η δυνατότητα να αποκτούν τα αγαθά και τις υπηρεσίες που χρειάζονται στη βέλτιστη τιμή, και παράλληλα να διασφαλίζονται ο θεμιτός ανταγωνισμός μεταξύ των προσφερόντων και η συμμόρφωση με τις αρχές της διαφάνειας, της αναλογικότητας, της ίσης μεταχείρισης και της απαγόρευσης των διακρίσεων· καλεί τον Οργανισμό να βελτιώσει περαιτέρω τις διαδικασίες του για τις δημόσιες συμβάσεις, διασφαλίζοντας την πλήρη συμμόρφωση με τους ισχύοντες κανόνες, ώστε να επιτυγχάνεται η καλύτερη δυνατή σχέση ποιότητας/τιμής·</w:t>
      </w:r>
    </w:p>
    <w:p w:rsidR="008268AF" w:rsidRPr="001A3642" w:rsidRDefault="008268AF" w:rsidP="008268AF">
      <w:pPr>
        <w:pStyle w:val="Normal12Hanging"/>
        <w:rPr>
          <w:b/>
          <w:i/>
          <w:szCs w:val="24"/>
        </w:rPr>
      </w:pPr>
      <w:r w:rsidRPr="001A3642">
        <w:rPr>
          <w:b/>
          <w:i/>
        </w:rPr>
        <w:t>Πρόληψη και διαχείριση συγκρούσεων συμφερόντων και διαφάνεια</w:t>
      </w:r>
    </w:p>
    <w:p w:rsidR="008268AF" w:rsidRPr="001A3642" w:rsidRDefault="008268AF" w:rsidP="008268AF">
      <w:pPr>
        <w:pStyle w:val="Normal12Hanging"/>
        <w:rPr>
          <w:szCs w:val="24"/>
        </w:rPr>
      </w:pPr>
      <w:r w:rsidRPr="001A3642">
        <w:t>29.</w:t>
      </w:r>
      <w:r w:rsidRPr="001A3642">
        <w:tab/>
        <w:t>σημειώνει ότι ο Οργανισμός διενήργησε ευρεία αξιολόγηση της εφαρμογής της στρατηγικής του για την καταπολέμηση της απάτης το 2020 και συνεπώς, το 2022, ο Οργανισμός δημοσιοποίησε τη νέα στρατηγική του για την καταπολέμηση της απάτης, η οποία εγκρίθηκε από το διοικητικό συμβούλιο του Οργανισμού· παρατηρεί ότι ο Οργανισμός αρχίζει τώρα να την εφαρμόζει με σημαντικά και ευρείας εμβέλειας μέτρα που αφορούν ιδίως το προσωπικό του· σημειώνει με ικανοποίηση ότι οι δηλώσεις συμφερόντων και τα βιογραφικά σημειώματα των μελών του διοικητικού συμβουλίου και των ανώτερων διοικητικών στελεχών έχουν δημοσιευθεί στον ιστότοπο του Οργανισμού·</w:t>
      </w:r>
    </w:p>
    <w:p w:rsidR="008268AF" w:rsidRPr="001A3642" w:rsidRDefault="008268AF" w:rsidP="008268AF">
      <w:pPr>
        <w:pStyle w:val="Normal12Hanging"/>
      </w:pPr>
      <w:r w:rsidRPr="001A3642">
        <w:t>30.</w:t>
      </w:r>
      <w:r w:rsidRPr="001A3642">
        <w:tab/>
        <w:t>σημειώνει ότι ο Οργανισμός είχε μία υπόθεση καταγγελίας δυσλειτουργιών κατά τη διάρκεια του 2022, η οποία προκάλεσε αρκετές έρευνες, ορισμένες από τις οποίες βρίσκονταν ακόμη σε εξέλιξη το 2023· ζητεί από τον Οργανισμό να τηρεί ενήμερη την αρμόδια για την απαλλαγή αρχή όσον αφορά τις σχετικές εξελίξεις· σημειώνει ότι, σύμφωνα με την έκθεση παρακολούθησης του Οργανισμού του 2021, όσον αφορά την υπόθεση καταγγελίας δυσλειτουργιών από το 2021, ο Οργανισμός συνεργάστηκε όπως απαιτείται με την OLAF παρέχοντας όλες τις διαθέσιμες πληροφορίες, όπως απαιτείται· σημειώνει ότι, το 2022, δεν διερευνήθηκαν ούτε περατώθηκαν υποθέσεις σύγκρουσης συμφερόντων·</w:t>
      </w:r>
    </w:p>
    <w:p w:rsidR="008268AF" w:rsidRPr="001A3642" w:rsidRDefault="008268AF" w:rsidP="008268AF">
      <w:pPr>
        <w:pStyle w:val="Normal12Hanging"/>
      </w:pPr>
      <w:r w:rsidRPr="001A3642">
        <w:t>31.</w:t>
      </w:r>
      <w:r w:rsidRPr="001A3642">
        <w:tab/>
        <w:t>σημειώνει το γεγονός ότι τηρείται εσωτερικό μητρώο για τις συνεδριάσεις ανώτερων διοικητικών στελεχών με μέλη του κλάδου, αλλά δεν δημοσιεύεται στην ιστοσελίδα του Οργανισμού· τονίζει τη σημασία της διαφάνειας, και καλεί τον Οργανισμό να το δημοσιεύσει χωρίς καθυστέρηση·</w:t>
      </w:r>
    </w:p>
    <w:p w:rsidR="008268AF" w:rsidRPr="001A3642" w:rsidRDefault="008268AF" w:rsidP="008268AF">
      <w:pPr>
        <w:pStyle w:val="Normal12Hanging"/>
        <w:rPr>
          <w:szCs w:val="24"/>
        </w:rPr>
      </w:pPr>
      <w:r w:rsidRPr="001A3642">
        <w:t>32.</w:t>
      </w:r>
      <w:r w:rsidRPr="001A3642">
        <w:tab/>
        <w:t xml:space="preserve">εμμένει στην ανάγκη να συνεχιστούν οι εργασίες για τη διαφάνεια, το ασυμβίβαστο, τις συγκρούσεις συμφερόντων, το παράνομο </w:t>
      </w:r>
      <w:proofErr w:type="spellStart"/>
      <w:r w:rsidRPr="001A3642">
        <w:t>λόμπινγκ</w:t>
      </w:r>
      <w:proofErr w:type="spellEnd"/>
      <w:r w:rsidRPr="001A3642">
        <w:t xml:space="preserve"> και τη μεταπήδηση από τον δημόσιο στον ιδιωτικό τομέα·</w:t>
      </w:r>
    </w:p>
    <w:p w:rsidR="008268AF" w:rsidRPr="001A3642" w:rsidRDefault="008268AF" w:rsidP="008268AF">
      <w:pPr>
        <w:pStyle w:val="NormalHanging12a"/>
      </w:pPr>
      <w:r w:rsidRPr="001A3642">
        <w:t>33.</w:t>
      </w:r>
      <w:r w:rsidRPr="001A3642">
        <w:tab/>
        <w:t>υπενθυμίζει τη σημασία να αναπτύξει ο Οργανισμός μεγαλύτερη προβολή στα μέσα ενημέρωσης, στο διαδίκτυο και στα μέσα κοινωνικής δικτύωσης, προκειμένου να προβάλει το έργο του στους πολίτες·</w:t>
      </w:r>
    </w:p>
    <w:p w:rsidR="008268AF" w:rsidRPr="001A3642" w:rsidRDefault="008268AF" w:rsidP="008268AF">
      <w:pPr>
        <w:pStyle w:val="Normal12Hanging"/>
        <w:rPr>
          <w:szCs w:val="24"/>
        </w:rPr>
      </w:pPr>
      <w:r w:rsidRPr="001A3642">
        <w:rPr>
          <w:b/>
          <w:i/>
        </w:rPr>
        <w:t>Λοι</w:t>
      </w:r>
      <w:r w:rsidR="00EE10B1">
        <w:rPr>
          <w:b/>
          <w:i/>
        </w:rPr>
        <w:t>πές παρατηρήσεις</w:t>
      </w:r>
    </w:p>
    <w:p w:rsidR="008268AF" w:rsidRPr="001A3642" w:rsidRDefault="008268AF" w:rsidP="008268AF">
      <w:pPr>
        <w:pStyle w:val="NormalCenter12a"/>
        <w:ind w:left="567" w:hanging="567"/>
        <w:jc w:val="left"/>
        <w:rPr>
          <w:szCs w:val="24"/>
        </w:rPr>
      </w:pPr>
      <w:r w:rsidRPr="001A3642">
        <w:t>34.</w:t>
      </w:r>
      <w:r w:rsidRPr="001A3642">
        <w:tab/>
        <w:t xml:space="preserve">επαινεί τον Οργανισμό διότι συνέχισε να δραστηριοποιείται στις μεγαλύτερες πλατφόρμες μέσων κοινωνικής δικτύωσης, άνοιξε λογαριασμό στα ευαισθητοποιημένα ως προς την </w:t>
      </w:r>
      <w:proofErr w:type="spellStart"/>
      <w:r w:rsidRPr="001A3642">
        <w:t>ιδιωτικότητα</w:t>
      </w:r>
      <w:proofErr w:type="spellEnd"/>
      <w:r w:rsidRPr="001A3642">
        <w:t xml:space="preserve"> </w:t>
      </w:r>
      <w:proofErr w:type="spellStart"/>
      <w:r w:rsidRPr="001A3642">
        <w:t>ενωσιακά</w:t>
      </w:r>
      <w:proofErr w:type="spellEnd"/>
      <w:r w:rsidRPr="001A3642">
        <w:t xml:space="preserve"> μέσα κοινωνικής δικτύωσης </w:t>
      </w:r>
      <w:proofErr w:type="spellStart"/>
      <w:r w:rsidRPr="001A3642">
        <w:t>Mastodon</w:t>
      </w:r>
      <w:proofErr w:type="spellEnd"/>
      <w:r w:rsidRPr="001A3642">
        <w:t xml:space="preserve"> και </w:t>
      </w:r>
      <w:proofErr w:type="spellStart"/>
      <w:r w:rsidRPr="001A3642">
        <w:t>Peertube</w:t>
      </w:r>
      <w:proofErr w:type="spellEnd"/>
      <w:r w:rsidRPr="001A3642">
        <w:t>, και δημοσίευσε 107 ειδησεογραφικά άρθρα στον ιστότοπό του και 13 δελτία Τύπου (τα περισσότερα σε όλες τις επίσημες γλώσσες της ΕΕ), με στόχο να προσεγγίσει όλα τα κράτη μέλη· σημειώνει ακόμη ότι ο Οργανισμός διοργάνωσε εκδηλώσεις στο πλαίσιο της Εβδομάδας Διαστήματος της ΕΕ (3.000 επισκέπτες επιτόπου/διαδικτυακά), ημέρες ελεύθερης προσέλευσης του EUSPA, μαραθώνιους ανάπτυξης εφαρμογών CASSINI, ενημερωτικές συνεδρίες του προγράμματος «</w:t>
      </w:r>
      <w:proofErr w:type="spellStart"/>
      <w:r w:rsidRPr="001A3642">
        <w:t>Ορίζων</w:t>
      </w:r>
      <w:proofErr w:type="spellEnd"/>
      <w:r w:rsidRPr="001A3642">
        <w:t xml:space="preserve"> Ευρώπη» και πολυάριθμα διαδικτυακά σεμινάρια σχετικά με τις ευκαιρίες σύναψης δημόσιων συμβάσεων·</w:t>
      </w:r>
    </w:p>
    <w:p w:rsidR="008268AF" w:rsidRPr="001A3642" w:rsidRDefault="008268AF" w:rsidP="008268AF">
      <w:pPr>
        <w:pStyle w:val="NormalCenter12a"/>
      </w:pPr>
      <w:r w:rsidRPr="001A3642">
        <w:t>°</w:t>
      </w:r>
    </w:p>
    <w:p w:rsidR="008268AF" w:rsidRPr="001A3642" w:rsidRDefault="008268AF" w:rsidP="008268AF">
      <w:pPr>
        <w:pStyle w:val="NormalCenter12a"/>
      </w:pPr>
      <w:r w:rsidRPr="001A3642">
        <w:t>°</w:t>
      </w:r>
      <w:r w:rsidRPr="001A3642">
        <w:tab/>
        <w:t>°</w:t>
      </w:r>
    </w:p>
    <w:p w:rsidR="008268AF" w:rsidRPr="001A3642" w:rsidRDefault="008268AF" w:rsidP="008268AF">
      <w:pPr>
        <w:pStyle w:val="NormalHanging12a"/>
      </w:pPr>
      <w:r w:rsidRPr="001A3642">
        <w:t>35.</w:t>
      </w:r>
      <w:r w:rsidRPr="001A3642">
        <w:tab/>
        <w:t xml:space="preserve">παραπέμπει, όσον αφορά άλλες παρατηρήσεις οριζόντιου χαρακτήρα που συνοδεύουν την απόφαση απαλλαγής, στο ψήφισμά του της </w:t>
      </w:r>
      <w:r w:rsidR="006260B7">
        <w:t>11ης Απριλίου 2024</w:t>
      </w:r>
      <w:r w:rsidRPr="001A3642">
        <w:rPr>
          <w:rStyle w:val="FootnoteReference"/>
        </w:rPr>
        <w:footnoteReference w:id="12"/>
      </w:r>
      <w:r w:rsidRPr="001A3642">
        <w:t xml:space="preserve"> σχετικά με τις επιδόσεις, τη χρηματοοικονομική διαχείριση και τον έλεγχο των οργανισμών.</w:t>
      </w:r>
    </w:p>
    <w:p w:rsidR="008268AF" w:rsidRPr="001A3642" w:rsidRDefault="008268AF" w:rsidP="008268AF">
      <w:pPr>
        <w:widowControl/>
      </w:pPr>
    </w:p>
    <w:p w:rsidR="00E365E1" w:rsidRPr="001A3642" w:rsidRDefault="00E365E1" w:rsidP="00273814">
      <w:bookmarkStart w:id="9" w:name="TextBodyEnd"/>
      <w:bookmarkEnd w:id="9"/>
    </w:p>
    <w:sectPr w:rsidR="00E365E1" w:rsidRPr="001A3642" w:rsidSect="001A364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814" w:rsidRPr="001A3642" w:rsidRDefault="00273814">
      <w:r w:rsidRPr="001A3642">
        <w:separator/>
      </w:r>
    </w:p>
  </w:endnote>
  <w:endnote w:type="continuationSeparator" w:id="0">
    <w:p w:rsidR="00273814" w:rsidRPr="001A3642" w:rsidRDefault="00273814">
      <w:r w:rsidRPr="001A36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8AF" w:rsidRPr="001A3642" w:rsidRDefault="008268AF" w:rsidP="00DB7D07">
    <w:pPr>
      <w:pStyle w:val="EPFooter"/>
    </w:pPr>
    <w:r w:rsidRPr="001A3642">
      <w:t>PE</w:t>
    </w:r>
    <w:r w:rsidRPr="001A3642">
      <w:rPr>
        <w:rStyle w:val="HideTWBExt"/>
      </w:rPr>
      <w:t>&lt;</w:t>
    </w:r>
    <w:proofErr w:type="spellStart"/>
    <w:r w:rsidRPr="001A3642">
      <w:rPr>
        <w:rStyle w:val="HideTWBExt"/>
      </w:rPr>
      <w:t>NoPE</w:t>
    </w:r>
    <w:proofErr w:type="spellEnd"/>
    <w:r w:rsidRPr="001A3642">
      <w:rPr>
        <w:rStyle w:val="HideTWBExt"/>
      </w:rPr>
      <w:t>&gt;</w:t>
    </w:r>
    <w:r w:rsidRPr="001A3642">
      <w:t>753.541</w:t>
    </w:r>
    <w:r w:rsidRPr="001A3642">
      <w:rPr>
        <w:rStyle w:val="HideTWBExt"/>
      </w:rPr>
      <w:t>&lt;/</w:t>
    </w:r>
    <w:proofErr w:type="spellStart"/>
    <w:r w:rsidRPr="001A3642">
      <w:rPr>
        <w:rStyle w:val="HideTWBExt"/>
      </w:rPr>
      <w:t>NoPE</w:t>
    </w:r>
    <w:proofErr w:type="spellEnd"/>
    <w:r w:rsidRPr="001A3642">
      <w:rPr>
        <w:rStyle w:val="HideTWBExt"/>
      </w:rPr>
      <w:t>&gt;&lt;Version&gt;</w:t>
    </w:r>
    <w:r w:rsidRPr="001A3642">
      <w:t>v03-00</w:t>
    </w:r>
    <w:r w:rsidRPr="001A3642">
      <w:rPr>
        <w:rStyle w:val="HideTWBExt"/>
      </w:rPr>
      <w:t>&lt;/</w:t>
    </w:r>
    <w:proofErr w:type="spellStart"/>
    <w:r w:rsidRPr="001A3642">
      <w:rPr>
        <w:rStyle w:val="HideTWBExt"/>
      </w:rPr>
      <w:t>Version</w:t>
    </w:r>
    <w:proofErr w:type="spellEnd"/>
    <w:r w:rsidRPr="001A3642">
      <w:rPr>
        <w:rStyle w:val="HideTWBExt"/>
      </w:rPr>
      <w:t>&gt;</w:t>
    </w:r>
    <w:r w:rsidRPr="001A3642">
      <w:tab/>
    </w:r>
    <w:r w:rsidRPr="001A3642">
      <w:fldChar w:fldCharType="begin"/>
    </w:r>
    <w:r w:rsidRPr="001A3642">
      <w:instrText xml:space="preserve"> PAGE  \* MERGEFORMAT </w:instrText>
    </w:r>
    <w:r w:rsidRPr="001A3642">
      <w:fldChar w:fldCharType="separate"/>
    </w:r>
    <w:r w:rsidRPr="001A3642">
      <w:rPr>
        <w:noProof/>
      </w:rPr>
      <w:t>4</w:t>
    </w:r>
    <w:r w:rsidRPr="001A3642">
      <w:fldChar w:fldCharType="end"/>
    </w:r>
    <w:r w:rsidRPr="001A3642">
      <w:t>/</w:t>
    </w:r>
    <w:r w:rsidR="00E24BA9">
      <w:fldChar w:fldCharType="begin"/>
    </w:r>
    <w:r w:rsidR="00E24BA9">
      <w:instrText xml:space="preserve"> NUMPAGES  \* MERGEFORMAT </w:instrText>
    </w:r>
    <w:r w:rsidR="00E24BA9">
      <w:fldChar w:fldCharType="separate"/>
    </w:r>
    <w:r w:rsidRPr="001A3642">
      <w:rPr>
        <w:noProof/>
      </w:rPr>
      <w:t>4</w:t>
    </w:r>
    <w:r w:rsidR="00E24BA9">
      <w:rPr>
        <w:noProof/>
      </w:rPr>
      <w:fldChar w:fldCharType="end"/>
    </w:r>
    <w:r w:rsidRPr="001A3642">
      <w:tab/>
    </w:r>
    <w:r w:rsidRPr="001A3642">
      <w:rPr>
        <w:rStyle w:val="HideTWBExt"/>
      </w:rPr>
      <w:t>&lt;PathFdR&gt;</w:t>
    </w:r>
    <w:r w:rsidRPr="001A3642">
      <w:t>RR\1299048EL.docx</w:t>
    </w:r>
    <w:r w:rsidRPr="001A3642">
      <w:rPr>
        <w:rStyle w:val="HideTWBExt"/>
      </w:rPr>
      <w:t>&lt;/</w:t>
    </w:r>
    <w:proofErr w:type="spellStart"/>
    <w:r w:rsidRPr="001A3642">
      <w:rPr>
        <w:rStyle w:val="HideTWBExt"/>
      </w:rPr>
      <w:t>PathFdR</w:t>
    </w:r>
    <w:proofErr w:type="spellEnd"/>
    <w:r w:rsidRPr="001A3642">
      <w:rPr>
        <w:rStyle w:val="HideTWBExt"/>
      </w:rPr>
      <w:t>&gt;</w:t>
    </w:r>
  </w:p>
  <w:p w:rsidR="008268AF" w:rsidRPr="001A3642" w:rsidRDefault="008268AF" w:rsidP="00DB7D07">
    <w:pPr>
      <w:pStyle w:val="EPFooter2"/>
    </w:pPr>
    <w:r w:rsidRPr="001A3642">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8AF" w:rsidRPr="001A3642" w:rsidRDefault="008268AF" w:rsidP="00DB7D07">
    <w:pPr>
      <w:pStyle w:val="EPFooter"/>
    </w:pPr>
    <w:r w:rsidRPr="001A3642">
      <w:rPr>
        <w:rStyle w:val="HideTWBExt"/>
      </w:rPr>
      <w:t>&lt;PathFdR&gt;</w:t>
    </w:r>
    <w:r w:rsidRPr="001A3642">
      <w:t>RR\1299048EL.docx</w:t>
    </w:r>
    <w:r w:rsidRPr="001A3642">
      <w:rPr>
        <w:rStyle w:val="HideTWBExt"/>
      </w:rPr>
      <w:t>&lt;/</w:t>
    </w:r>
    <w:proofErr w:type="spellStart"/>
    <w:r w:rsidRPr="001A3642">
      <w:rPr>
        <w:rStyle w:val="HideTWBExt"/>
      </w:rPr>
      <w:t>PathFdR</w:t>
    </w:r>
    <w:proofErr w:type="spellEnd"/>
    <w:r w:rsidRPr="001A3642">
      <w:rPr>
        <w:rStyle w:val="HideTWBExt"/>
      </w:rPr>
      <w:t>&gt;</w:t>
    </w:r>
    <w:r w:rsidRPr="001A3642">
      <w:tab/>
    </w:r>
    <w:r w:rsidRPr="001A3642">
      <w:tab/>
      <w:t>PE</w:t>
    </w:r>
    <w:r w:rsidRPr="001A3642">
      <w:rPr>
        <w:rStyle w:val="HideTWBExt"/>
      </w:rPr>
      <w:t>&lt;</w:t>
    </w:r>
    <w:proofErr w:type="spellStart"/>
    <w:r w:rsidRPr="001A3642">
      <w:rPr>
        <w:rStyle w:val="HideTWBExt"/>
      </w:rPr>
      <w:t>NoPE</w:t>
    </w:r>
    <w:proofErr w:type="spellEnd"/>
    <w:r w:rsidRPr="001A3642">
      <w:rPr>
        <w:rStyle w:val="HideTWBExt"/>
      </w:rPr>
      <w:t>&gt;</w:t>
    </w:r>
    <w:r w:rsidRPr="001A3642">
      <w:t>753.541</w:t>
    </w:r>
    <w:r w:rsidRPr="001A3642">
      <w:rPr>
        <w:rStyle w:val="HideTWBExt"/>
      </w:rPr>
      <w:t>&lt;/</w:t>
    </w:r>
    <w:proofErr w:type="spellStart"/>
    <w:r w:rsidRPr="001A3642">
      <w:rPr>
        <w:rStyle w:val="HideTWBExt"/>
      </w:rPr>
      <w:t>NoPE</w:t>
    </w:r>
    <w:proofErr w:type="spellEnd"/>
    <w:r w:rsidRPr="001A3642">
      <w:rPr>
        <w:rStyle w:val="HideTWBExt"/>
      </w:rPr>
      <w:t>&gt;&lt;Version&gt;</w:t>
    </w:r>
    <w:r w:rsidRPr="001A3642">
      <w:t>v03-00</w:t>
    </w:r>
    <w:r w:rsidRPr="001A3642">
      <w:rPr>
        <w:rStyle w:val="HideTWBExt"/>
      </w:rPr>
      <w:t>&lt;/</w:t>
    </w:r>
    <w:proofErr w:type="spellStart"/>
    <w:r w:rsidRPr="001A3642">
      <w:rPr>
        <w:rStyle w:val="HideTWBExt"/>
      </w:rPr>
      <w:t>Version</w:t>
    </w:r>
    <w:proofErr w:type="spellEnd"/>
    <w:r w:rsidRPr="001A3642">
      <w:rPr>
        <w:rStyle w:val="HideTWBExt"/>
      </w:rPr>
      <w:t>&gt;</w:t>
    </w:r>
  </w:p>
  <w:p w:rsidR="008268AF" w:rsidRPr="001A3642" w:rsidRDefault="008268AF" w:rsidP="00DB7D07">
    <w:pPr>
      <w:pStyle w:val="EPFooter2"/>
    </w:pPr>
    <w:r w:rsidRPr="001A3642">
      <w:t>EL</w:t>
    </w:r>
    <w:r w:rsidRPr="001A3642">
      <w:tab/>
    </w:r>
    <w:r w:rsidRPr="001A3642">
      <w:rPr>
        <w:b w:val="0"/>
        <w:i/>
        <w:color w:val="C0C0C0"/>
        <w:sz w:val="22"/>
      </w:rPr>
      <w:t>Ενωμένη στην πολυμορφία</w:t>
    </w:r>
    <w:r w:rsidRPr="001A3642">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64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64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6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814" w:rsidRPr="001A3642" w:rsidRDefault="00273814">
      <w:r w:rsidRPr="001A3642">
        <w:separator/>
      </w:r>
    </w:p>
  </w:footnote>
  <w:footnote w:type="continuationSeparator" w:id="0">
    <w:p w:rsidR="00273814" w:rsidRPr="001A3642" w:rsidRDefault="00273814">
      <w:r w:rsidRPr="001A3642">
        <w:continuationSeparator/>
      </w:r>
    </w:p>
  </w:footnote>
  <w:footnote w:id="1">
    <w:p w:rsidR="008268AF" w:rsidRPr="001A3642" w:rsidRDefault="008268AF" w:rsidP="001A3642">
      <w:pPr>
        <w:pStyle w:val="FootnoteText"/>
        <w:ind w:left="567" w:hanging="567"/>
        <w:rPr>
          <w:sz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ΕΕ C, C/2023/594 της 27.10.2023.</w:t>
      </w:r>
    </w:p>
  </w:footnote>
  <w:footnote w:id="2">
    <w:p w:rsidR="008268AF" w:rsidRPr="001A3642" w:rsidRDefault="008268AF" w:rsidP="001A3642">
      <w:pPr>
        <w:pStyle w:val="FootnoteText"/>
        <w:ind w:left="567" w:hanging="567"/>
        <w:rPr>
          <w:sz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ΕΕ C, C/2023/112 της 12.10.2023.</w:t>
      </w:r>
    </w:p>
  </w:footnote>
  <w:footnote w:id="3">
    <w:p w:rsidR="008268AF" w:rsidRPr="001A3642" w:rsidRDefault="008268AF" w:rsidP="001A3642">
      <w:pPr>
        <w:pStyle w:val="FootnoteText"/>
        <w:ind w:left="567" w:hanging="567"/>
        <w:rPr>
          <w:sz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ΕΕ L 193 της 30.7.2018, σ. 1.</w:t>
      </w:r>
    </w:p>
  </w:footnote>
  <w:footnote w:id="4">
    <w:p w:rsidR="008268AF" w:rsidRPr="001A3642" w:rsidRDefault="008268AF" w:rsidP="001A3642">
      <w:pPr>
        <w:pStyle w:val="FootnoteText"/>
        <w:ind w:left="567" w:hanging="567"/>
        <w:rPr>
          <w:sz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ΕΕ L 170 της 12.5.2021, σ. 69.</w:t>
      </w:r>
    </w:p>
  </w:footnote>
  <w:footnote w:id="5">
    <w:p w:rsidR="008268AF" w:rsidRPr="001A3642" w:rsidRDefault="008268AF" w:rsidP="001A3642">
      <w:pPr>
        <w:pStyle w:val="FootnoteText"/>
        <w:ind w:left="567" w:hanging="567"/>
        <w:rPr>
          <w:sz w:val="24"/>
          <w:szCs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EE L 122 της 10.5.2019, σ. 1.</w:t>
      </w:r>
    </w:p>
  </w:footnote>
  <w:footnote w:id="6">
    <w:p w:rsidR="008268AF" w:rsidRPr="001A3642" w:rsidRDefault="008268AF" w:rsidP="001A3642">
      <w:pPr>
        <w:pStyle w:val="FootnoteText"/>
        <w:ind w:left="567" w:hanging="567"/>
        <w:rPr>
          <w:sz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ΕΕ C, C/2023/594 της 27.10.2023.</w:t>
      </w:r>
    </w:p>
  </w:footnote>
  <w:footnote w:id="7">
    <w:p w:rsidR="008268AF" w:rsidRPr="001A3642" w:rsidRDefault="008268AF" w:rsidP="001A3642">
      <w:pPr>
        <w:pStyle w:val="FootnoteText"/>
        <w:ind w:left="567" w:hanging="567"/>
        <w:rPr>
          <w:sz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ΕΕ C, C/2023/112 της 12.10.2023.</w:t>
      </w:r>
    </w:p>
  </w:footnote>
  <w:footnote w:id="8">
    <w:p w:rsidR="008268AF" w:rsidRPr="001A3642" w:rsidRDefault="008268AF" w:rsidP="001A3642">
      <w:pPr>
        <w:pStyle w:val="FootnoteText"/>
        <w:ind w:left="567" w:hanging="567"/>
        <w:rPr>
          <w:sz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ΕΕ L 193 της 30.7.2018, σ. 1.</w:t>
      </w:r>
    </w:p>
  </w:footnote>
  <w:footnote w:id="9">
    <w:p w:rsidR="008268AF" w:rsidRPr="001A3642" w:rsidRDefault="008268AF" w:rsidP="001A3642">
      <w:pPr>
        <w:pStyle w:val="FootnoteText"/>
        <w:ind w:left="567" w:hanging="567"/>
        <w:rPr>
          <w:sz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ΕΕ L 170 της 12.5.2021, σ. 69.</w:t>
      </w:r>
    </w:p>
  </w:footnote>
  <w:footnote w:id="10">
    <w:p w:rsidR="008268AF" w:rsidRPr="001A3642" w:rsidRDefault="008268AF" w:rsidP="001A3642">
      <w:pPr>
        <w:pStyle w:val="FootnoteText"/>
        <w:ind w:left="567" w:hanging="567"/>
        <w:rPr>
          <w:sz w:val="24"/>
          <w:szCs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EE L 122 της 10.5.2019, σ. 1.</w:t>
      </w:r>
    </w:p>
  </w:footnote>
  <w:footnote w:id="11">
    <w:p w:rsidR="008268AF" w:rsidRPr="001A3642" w:rsidRDefault="008268AF" w:rsidP="001A3642">
      <w:pPr>
        <w:pStyle w:val="FootnoteText"/>
        <w:ind w:left="567" w:hanging="567"/>
        <w:rPr>
          <w:sz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ΕΕ C 453 της 29.11.2022, σ. 56.</w:t>
      </w:r>
    </w:p>
  </w:footnote>
  <w:footnote w:id="12">
    <w:p w:rsidR="008268AF" w:rsidRPr="001A3642" w:rsidRDefault="008268AF" w:rsidP="001A3642">
      <w:pPr>
        <w:pStyle w:val="FootnoteText"/>
        <w:ind w:left="567" w:hanging="567"/>
        <w:rPr>
          <w:sz w:val="24"/>
          <w:lang w:val="el-GR"/>
        </w:rPr>
      </w:pPr>
      <w:r w:rsidRPr="001A3642">
        <w:rPr>
          <w:rStyle w:val="FootnoteReference"/>
          <w:sz w:val="24"/>
          <w:lang w:val="el-GR"/>
        </w:rPr>
        <w:footnoteRef/>
      </w:r>
      <w:r w:rsidR="001A3642" w:rsidRPr="001A3642">
        <w:rPr>
          <w:sz w:val="24"/>
          <w:lang w:val="el-GR"/>
        </w:rPr>
        <w:t xml:space="preserve"> </w:t>
      </w:r>
      <w:r w:rsidR="001A3642" w:rsidRPr="001A3642">
        <w:rPr>
          <w:sz w:val="24"/>
          <w:lang w:val="el-GR"/>
        </w:rPr>
        <w:tab/>
      </w:r>
      <w:r w:rsidRPr="001A3642">
        <w:rPr>
          <w:sz w:val="24"/>
          <w:lang w:val="el-GR"/>
        </w:rPr>
        <w:t>Κείμενα που εγκρίθηκαν, P9_TA(2024)</w:t>
      </w:r>
      <w:r w:rsidR="00EE10B1" w:rsidRPr="001A3642">
        <w:rPr>
          <w:sz w:val="24"/>
          <w:lang w:val="el-GR"/>
        </w:rPr>
        <w:t>0</w:t>
      </w:r>
      <w:r w:rsidR="00EE10B1">
        <w:rPr>
          <w:sz w:val="24"/>
          <w:lang w:val="el-GR"/>
        </w:rPr>
        <w:t>280</w:t>
      </w:r>
      <w:r w:rsidRPr="001A3642">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6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6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36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EL"/>
    <w:docVar w:name="dvnumam" w:val="0"/>
    <w:docVar w:name="dvpe" w:val="753.541"/>
    <w:docVar w:name="dvrapporteur" w:val="Εισηγητής: "/>
    <w:docVar w:name="dvtitre" w:val="Απόφαση του Ευρωπαϊκού Κοινοβουλίου σχετικά με την απαλλαγή όσον αφορά την εκτέλεση του προϋπολογισμού του Οργανισμού της Ευρωπαϊκής Ένωσης για το Διαστημικό Πρόγραμμα για το οικονομικό έτος 2022(2023/2170(DEC))"/>
  </w:docVars>
  <w:rsids>
    <w:rsidRoot w:val="00273814"/>
    <w:rsid w:val="00002272"/>
    <w:rsid w:val="00013E8A"/>
    <w:rsid w:val="00064002"/>
    <w:rsid w:val="000677B9"/>
    <w:rsid w:val="000831BA"/>
    <w:rsid w:val="000A42CC"/>
    <w:rsid w:val="000E7DD9"/>
    <w:rsid w:val="0010095E"/>
    <w:rsid w:val="001107B1"/>
    <w:rsid w:val="00125B37"/>
    <w:rsid w:val="00187494"/>
    <w:rsid w:val="001A3642"/>
    <w:rsid w:val="001F32AE"/>
    <w:rsid w:val="00273814"/>
    <w:rsid w:val="002767FF"/>
    <w:rsid w:val="002B18FE"/>
    <w:rsid w:val="002B5493"/>
    <w:rsid w:val="00343214"/>
    <w:rsid w:val="00361C00"/>
    <w:rsid w:val="00395FA1"/>
    <w:rsid w:val="003C61F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60B7"/>
    <w:rsid w:val="006631B6"/>
    <w:rsid w:val="00680577"/>
    <w:rsid w:val="006F74FA"/>
    <w:rsid w:val="00721D60"/>
    <w:rsid w:val="00731ADD"/>
    <w:rsid w:val="00734777"/>
    <w:rsid w:val="00747932"/>
    <w:rsid w:val="00751A4A"/>
    <w:rsid w:val="00756632"/>
    <w:rsid w:val="00762C74"/>
    <w:rsid w:val="00786EC0"/>
    <w:rsid w:val="007D1690"/>
    <w:rsid w:val="007E22AD"/>
    <w:rsid w:val="00817416"/>
    <w:rsid w:val="008268AF"/>
    <w:rsid w:val="00842779"/>
    <w:rsid w:val="00865F67"/>
    <w:rsid w:val="00881A7B"/>
    <w:rsid w:val="008840E5"/>
    <w:rsid w:val="00887B3E"/>
    <w:rsid w:val="008C2AC6"/>
    <w:rsid w:val="00930C23"/>
    <w:rsid w:val="0093193B"/>
    <w:rsid w:val="009509D8"/>
    <w:rsid w:val="00950B64"/>
    <w:rsid w:val="00981893"/>
    <w:rsid w:val="009E01E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BA9"/>
    <w:rsid w:val="00E365E1"/>
    <w:rsid w:val="00E820A4"/>
    <w:rsid w:val="00EB006A"/>
    <w:rsid w:val="00EB4772"/>
    <w:rsid w:val="00ED169E"/>
    <w:rsid w:val="00ED4235"/>
    <w:rsid w:val="00EE10B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0A464CF-853C-47DA-A732-AD69AE43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68A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268AF"/>
    <w:pPr>
      <w:spacing w:before="480" w:after="240"/>
    </w:pPr>
  </w:style>
  <w:style w:type="paragraph" w:customStyle="1" w:styleId="PageHeading">
    <w:name w:val="PageHeading"/>
    <w:basedOn w:val="Normal"/>
    <w:rsid w:val="008268AF"/>
    <w:pPr>
      <w:keepNext/>
      <w:spacing w:after="480"/>
      <w:jc w:val="center"/>
    </w:pPr>
    <w:rPr>
      <w:rFonts w:ascii="Arial" w:hAnsi="Arial" w:cs="Arial"/>
      <w:b/>
    </w:rPr>
  </w:style>
  <w:style w:type="paragraph" w:customStyle="1" w:styleId="NormalBold">
    <w:name w:val="NormalBold"/>
    <w:basedOn w:val="Normal"/>
    <w:rsid w:val="008268AF"/>
    <w:rPr>
      <w:b/>
    </w:rPr>
  </w:style>
  <w:style w:type="paragraph" w:customStyle="1" w:styleId="NormalHanging12a">
    <w:name w:val="NormalHanging12a"/>
    <w:basedOn w:val="Normal"/>
    <w:link w:val="NormalHanging12aChar"/>
    <w:rsid w:val="008268AF"/>
    <w:pPr>
      <w:spacing w:after="240"/>
      <w:ind w:left="567" w:hanging="567"/>
    </w:pPr>
  </w:style>
  <w:style w:type="paragraph" w:customStyle="1" w:styleId="NormalCenter12a">
    <w:name w:val="NormalCenter12a"/>
    <w:basedOn w:val="Normal"/>
    <w:rsid w:val="008268AF"/>
    <w:pPr>
      <w:spacing w:after="240"/>
      <w:jc w:val="center"/>
    </w:pPr>
  </w:style>
  <w:style w:type="paragraph" w:styleId="Header">
    <w:name w:val="header"/>
    <w:basedOn w:val="Normal"/>
    <w:link w:val="HeaderChar"/>
    <w:rsid w:val="008268AF"/>
    <w:pPr>
      <w:tabs>
        <w:tab w:val="center" w:pos="4513"/>
        <w:tab w:val="right" w:pos="9026"/>
      </w:tabs>
    </w:pPr>
  </w:style>
  <w:style w:type="character" w:customStyle="1" w:styleId="HeaderChar">
    <w:name w:val="Header Char"/>
    <w:basedOn w:val="DefaultParagraphFont"/>
    <w:link w:val="Header"/>
    <w:rsid w:val="008268AF"/>
    <w:rPr>
      <w:sz w:val="24"/>
      <w:lang w:val="el-GR"/>
    </w:rPr>
  </w:style>
  <w:style w:type="paragraph" w:customStyle="1" w:styleId="EPFooter">
    <w:name w:val="EPFooter"/>
    <w:basedOn w:val="Normal"/>
    <w:rsid w:val="008268AF"/>
    <w:pPr>
      <w:tabs>
        <w:tab w:val="center" w:pos="4535"/>
        <w:tab w:val="right" w:pos="9071"/>
      </w:tabs>
      <w:spacing w:before="240" w:after="240"/>
    </w:pPr>
    <w:rPr>
      <w:color w:val="010000"/>
      <w:sz w:val="22"/>
    </w:rPr>
  </w:style>
  <w:style w:type="paragraph" w:customStyle="1" w:styleId="Normal12Hanging">
    <w:name w:val="Normal12Hanging"/>
    <w:basedOn w:val="Normal"/>
    <w:rsid w:val="008268AF"/>
    <w:pPr>
      <w:spacing w:after="240"/>
      <w:ind w:left="567" w:hanging="567"/>
    </w:pPr>
  </w:style>
  <w:style w:type="character" w:customStyle="1" w:styleId="NormalHanging12aChar">
    <w:name w:val="NormalHanging12a Char"/>
    <w:basedOn w:val="DefaultParagraphFont"/>
    <w:link w:val="NormalHanging12a"/>
    <w:rsid w:val="008268AF"/>
    <w:rPr>
      <w:sz w:val="24"/>
      <w:lang w:val="el-GR"/>
    </w:rPr>
  </w:style>
  <w:style w:type="paragraph" w:styleId="Footer">
    <w:name w:val="footer"/>
    <w:basedOn w:val="Normal"/>
    <w:link w:val="FooterChar"/>
    <w:rsid w:val="009E01EE"/>
    <w:pPr>
      <w:tabs>
        <w:tab w:val="center" w:pos="4513"/>
        <w:tab w:val="right" w:pos="9026"/>
      </w:tabs>
    </w:pPr>
  </w:style>
  <w:style w:type="character" w:customStyle="1" w:styleId="FooterChar">
    <w:name w:val="Footer Char"/>
    <w:basedOn w:val="DefaultParagraphFont"/>
    <w:link w:val="Footer"/>
    <w:rsid w:val="009E01E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4E796-6F24-489A-9825-DAEAB351A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4265</Words>
  <Characters>25897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 C</cp:lastModifiedBy>
  <cp:revision>2</cp:revision>
  <cp:lastPrinted>2004-11-19T15:42:00Z</cp:lastPrinted>
  <dcterms:created xsi:type="dcterms:W3CDTF">2024-05-22T13:34:00Z</dcterms:created>
  <dcterms:modified xsi:type="dcterms:W3CDTF">2024-05-22T13:34:00Z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P9_TA(2024)0256_</vt:lpwstr>
  </property>
  <property fmtid="{D5CDD505-2E9C-101B-9397-08002B2CF9AE}" pid="4" name="&lt;Type&gt;">
    <vt:lpwstr>RR</vt:lpwstr>
  </property>
</Properties>
</file>