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59284C" w:rsidTr="0010095E">
        <w:trPr>
          <w:trHeight w:hRule="exact" w:val="1418"/>
        </w:trPr>
        <w:tc>
          <w:tcPr>
            <w:tcW w:w="6804" w:type="dxa"/>
            <w:shd w:val="clear" w:color="auto" w:fill="auto"/>
            <w:vAlign w:val="center"/>
          </w:tcPr>
          <w:p w:rsidR="00751A4A" w:rsidRPr="0059284C" w:rsidRDefault="00CF3458" w:rsidP="0010095E">
            <w:pPr>
              <w:pStyle w:val="EPName"/>
            </w:pPr>
            <w:r w:rsidRPr="0059284C">
              <w:t>Europos Parlamentas</w:t>
            </w:r>
          </w:p>
          <w:p w:rsidR="00751A4A" w:rsidRPr="0059284C" w:rsidRDefault="00817416" w:rsidP="00756632">
            <w:pPr>
              <w:pStyle w:val="EPTerm"/>
              <w:rPr>
                <w:rStyle w:val="HideTWBExt"/>
                <w:noProof w:val="0"/>
                <w:vanish w:val="0"/>
                <w:color w:val="auto"/>
              </w:rPr>
            </w:pPr>
            <w:r w:rsidRPr="0059284C">
              <w:t>2019-2024</w:t>
            </w:r>
          </w:p>
        </w:tc>
        <w:tc>
          <w:tcPr>
            <w:tcW w:w="2268" w:type="dxa"/>
            <w:shd w:val="clear" w:color="auto" w:fill="auto"/>
          </w:tcPr>
          <w:p w:rsidR="00751A4A" w:rsidRPr="0059284C" w:rsidRDefault="00187494" w:rsidP="0010095E">
            <w:pPr>
              <w:pStyle w:val="EPLogo"/>
            </w:pPr>
            <w:r w:rsidRPr="0059284C">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59284C" w:rsidRDefault="00D058B8" w:rsidP="004C5D52">
      <w:pPr>
        <w:pStyle w:val="LineTop"/>
      </w:pPr>
    </w:p>
    <w:p w:rsidR="00680577" w:rsidRPr="0059284C" w:rsidRDefault="00CF3458" w:rsidP="00680577">
      <w:pPr>
        <w:pStyle w:val="EPBodyTA1"/>
      </w:pPr>
      <w:r w:rsidRPr="0059284C">
        <w:t>PRIIMTI TEKSTAI</w:t>
      </w:r>
    </w:p>
    <w:p w:rsidR="00D058B8" w:rsidRPr="0059284C" w:rsidRDefault="00D058B8" w:rsidP="00D058B8">
      <w:pPr>
        <w:pStyle w:val="LineBottom"/>
      </w:pPr>
    </w:p>
    <w:p w:rsidR="00CF3458" w:rsidRPr="0059284C" w:rsidRDefault="00CF3458" w:rsidP="00CF3458">
      <w:pPr>
        <w:pStyle w:val="ATHeading1"/>
      </w:pPr>
      <w:bookmarkStart w:id="0" w:name="TANumber"/>
      <w:r w:rsidRPr="0059284C">
        <w:t>P9_TA(2024)0</w:t>
      </w:r>
      <w:r w:rsidR="0036068B" w:rsidRPr="0059284C">
        <w:t>256</w:t>
      </w:r>
      <w:bookmarkEnd w:id="0"/>
    </w:p>
    <w:p w:rsidR="00CF3458" w:rsidRPr="0059284C" w:rsidRDefault="00CF3458" w:rsidP="00CF3458">
      <w:pPr>
        <w:pStyle w:val="ATHeading2"/>
      </w:pPr>
      <w:bookmarkStart w:id="1" w:name="title"/>
      <w:r w:rsidRPr="0059284C">
        <w:t>2022 m. biudžeto įvykdymo patvirtinimas: Europos Sąjungos kosmoso programos agentūra</w:t>
      </w:r>
      <w:bookmarkEnd w:id="1"/>
    </w:p>
    <w:p w:rsidR="00CF3458" w:rsidRPr="0059284C" w:rsidRDefault="00CF3458" w:rsidP="00CF3458">
      <w:pPr>
        <w:rPr>
          <w:i/>
          <w:vanish/>
        </w:rPr>
      </w:pPr>
      <w:r w:rsidRPr="0059284C">
        <w:rPr>
          <w:i/>
        </w:rPr>
        <w:fldChar w:fldCharType="begin"/>
      </w:r>
      <w:r w:rsidRPr="0059284C">
        <w:rPr>
          <w:i/>
        </w:rPr>
        <w:instrText xml:space="preserve"> TC"(</w:instrText>
      </w:r>
      <w:bookmarkStart w:id="2" w:name="DocNumber"/>
      <w:r w:rsidRPr="0059284C">
        <w:rPr>
          <w:i/>
        </w:rPr>
        <w:instrText>A9-0121/2024</w:instrText>
      </w:r>
      <w:bookmarkEnd w:id="2"/>
      <w:r w:rsidRPr="0059284C">
        <w:rPr>
          <w:i/>
        </w:rPr>
        <w:instrText xml:space="preserve"> - Pranešėjas: Petri Sarvamaa)"\l3 \n&gt; \* MERGEFORMAT </w:instrText>
      </w:r>
      <w:r w:rsidRPr="0059284C">
        <w:rPr>
          <w:i/>
        </w:rPr>
        <w:fldChar w:fldCharType="end"/>
      </w:r>
    </w:p>
    <w:p w:rsidR="00CF3458" w:rsidRPr="0059284C" w:rsidRDefault="00CF3458" w:rsidP="00CF3458">
      <w:pPr>
        <w:rPr>
          <w:vanish/>
        </w:rPr>
      </w:pPr>
      <w:bookmarkStart w:id="3" w:name="Commission"/>
      <w:r w:rsidRPr="0059284C">
        <w:rPr>
          <w:vanish/>
        </w:rPr>
        <w:t>Biudžeto kontrolės komitetas</w:t>
      </w:r>
      <w:bookmarkEnd w:id="3"/>
    </w:p>
    <w:p w:rsidR="00CF3458" w:rsidRPr="0059284C" w:rsidRDefault="00CF3458" w:rsidP="00CF3458">
      <w:pPr>
        <w:rPr>
          <w:vanish/>
        </w:rPr>
      </w:pPr>
      <w:bookmarkStart w:id="4" w:name="PE"/>
      <w:r w:rsidRPr="0059284C">
        <w:rPr>
          <w:vanish/>
        </w:rPr>
        <w:t>PE753.541</w:t>
      </w:r>
      <w:bookmarkEnd w:id="4"/>
    </w:p>
    <w:p w:rsidR="00CF3458" w:rsidRPr="0059284C" w:rsidRDefault="00CF3458" w:rsidP="00FE1DDB">
      <w:pPr>
        <w:pStyle w:val="ATHeading3"/>
      </w:pPr>
      <w:bookmarkStart w:id="5" w:name="Sujet"/>
      <w:r w:rsidRPr="0059284C">
        <w:t xml:space="preserve">1. 2024 m. </w:t>
      </w:r>
      <w:r w:rsidR="00732084" w:rsidRPr="0059284C">
        <w:t>balandžio</w:t>
      </w:r>
      <w:r w:rsidRPr="0059284C">
        <w:t xml:space="preserve"> 11 d. Europos Parlamento sprendimas dėl Europos Sąjungos kosmoso programos agentūros 2022 finansinių metų biudžeto įvykdymo patvirtinimo</w:t>
      </w:r>
      <w:bookmarkEnd w:id="5"/>
      <w:r w:rsidRPr="0059284C">
        <w:t xml:space="preserve"> </w:t>
      </w:r>
      <w:bookmarkStart w:id="6" w:name="References"/>
      <w:r w:rsidRPr="0059284C">
        <w:t>(2023/2170(DEC))</w:t>
      </w:r>
      <w:bookmarkEnd w:id="6"/>
    </w:p>
    <w:p w:rsidR="0085397D" w:rsidRPr="0059284C" w:rsidRDefault="0085397D" w:rsidP="0085397D">
      <w:pPr>
        <w:pStyle w:val="EPComma"/>
      </w:pPr>
      <w:bookmarkStart w:id="7" w:name="TextBodyBegin"/>
      <w:bookmarkEnd w:id="7"/>
      <w:r w:rsidRPr="0059284C">
        <w:rPr>
          <w:i/>
        </w:rPr>
        <w:t>Europos Parlamentas</w:t>
      </w:r>
      <w:r w:rsidRPr="0059284C">
        <w:t>,</w:t>
      </w:r>
    </w:p>
    <w:p w:rsidR="0085397D" w:rsidRPr="0059284C" w:rsidRDefault="0085397D" w:rsidP="0085397D">
      <w:pPr>
        <w:pStyle w:val="NormalHanging12a"/>
      </w:pPr>
      <w:r w:rsidRPr="0059284C">
        <w:t>–</w:t>
      </w:r>
      <w:r w:rsidRPr="0059284C">
        <w:tab/>
        <w:t>atsižvelgdamas į Europos Sąjungos kosmoso programos agentūros 2022 finansinių metų galutines metines ataskaitas,</w:t>
      </w:r>
    </w:p>
    <w:p w:rsidR="0085397D" w:rsidRPr="0059284C" w:rsidRDefault="0085397D" w:rsidP="0085397D">
      <w:pPr>
        <w:pStyle w:val="NormalHanging12a"/>
      </w:pPr>
      <w:r w:rsidRPr="0059284C">
        <w:t>–</w:t>
      </w:r>
      <w:r w:rsidRPr="0059284C">
        <w:tab/>
        <w:t>atsižvelgdamas į Audito Rūmų 2022 finansinių metų metinę ataskaitą dėl ES agentūrų kartu su agentūrų atsakymais</w:t>
      </w:r>
      <w:r w:rsidRPr="0059284C">
        <w:rPr>
          <w:rStyle w:val="FootnoteReference"/>
        </w:rPr>
        <w:footnoteReference w:id="1"/>
      </w:r>
      <w:r w:rsidRPr="0059284C">
        <w:t>,</w:t>
      </w:r>
    </w:p>
    <w:p w:rsidR="0085397D" w:rsidRPr="0059284C" w:rsidRDefault="0085397D" w:rsidP="0085397D">
      <w:pPr>
        <w:pStyle w:val="NormalHanging12a"/>
      </w:pPr>
      <w:r w:rsidRPr="0059284C">
        <w:t>–</w:t>
      </w:r>
      <w:r w:rsidRPr="0059284C">
        <w:tab/>
        <w:t>atsižvelgdamas į Audito Rūmų pagal Sutarties dėl Europos Sąjungos veikimo 287 straipsnį pateiktą sąskaitų patikimumo</w:t>
      </w:r>
      <w:r w:rsidRPr="0059284C">
        <w:rPr>
          <w:rStyle w:val="FootnoteReference"/>
        </w:rPr>
        <w:footnoteReference w:id="2"/>
      </w:r>
      <w:r w:rsidRPr="0059284C">
        <w:t xml:space="preserve"> ir pagal jas atliktų operacijų teisėtumo ir tvarkingumo patikinimo pareiškimą,</w:t>
      </w:r>
    </w:p>
    <w:p w:rsidR="0085397D" w:rsidRPr="0059284C" w:rsidRDefault="0085397D" w:rsidP="0085397D">
      <w:pPr>
        <w:pStyle w:val="NormalHanging12a"/>
      </w:pPr>
      <w:r w:rsidRPr="0059284C">
        <w:t>–</w:t>
      </w:r>
      <w:r w:rsidRPr="0059284C">
        <w:tab/>
        <w:t>atsižvelgdamas į 2024 m. vasario 22 d. Tarybos rekomendaciją dėl patvirtinimo, kad Centras įvykdė 2022 finansinių metų biudžetą (</w:t>
      </w:r>
      <w:r w:rsidR="00732084" w:rsidRPr="0059284C">
        <w:t>06180</w:t>
      </w:r>
      <w:r w:rsidRPr="0059284C">
        <w:t>/2024 – C9</w:t>
      </w:r>
      <w:r w:rsidRPr="0059284C">
        <w:noBreakHyphen/>
      </w:r>
      <w:r w:rsidR="00732084" w:rsidRPr="0059284C">
        <w:t>0108</w:t>
      </w:r>
      <w:r w:rsidRPr="0059284C">
        <w:t>/2024),</w:t>
      </w:r>
    </w:p>
    <w:p w:rsidR="0085397D" w:rsidRPr="0059284C" w:rsidRDefault="0085397D" w:rsidP="0085397D">
      <w:pPr>
        <w:pStyle w:val="NormalHanging12a"/>
      </w:pPr>
      <w:r w:rsidRPr="0059284C">
        <w:t>–</w:t>
      </w:r>
      <w:r w:rsidRPr="0059284C">
        <w:tab/>
        <w:t>atsižvelgdamas į Sutarties dėl Europos Sąjungos veikimo 319 straipsnį,</w:t>
      </w:r>
    </w:p>
    <w:p w:rsidR="0085397D" w:rsidRPr="0059284C" w:rsidRDefault="0085397D" w:rsidP="0085397D">
      <w:pPr>
        <w:pStyle w:val="NormalHanging12a"/>
      </w:pPr>
      <w:r w:rsidRPr="0059284C">
        <w:t>–</w:t>
      </w:r>
      <w:r w:rsidRPr="0059284C">
        <w:tab/>
        <w:t>atsižvelgdamas į 2018 m. liepos 18 d. Europos Parlamento ir Tarybos reglamentą (ES, Euratomas) 2018/1046 dėl Sąjungos bendrajam biudžetui taikomų finansinių taisyklių, kuriuo iš dalies keičiami reglamentai (ES) Nr. 1296/2013, (ES) Nr. 1301/2013, (ES) Nr. 1303/2013, (ES) Nr. 1304/2013, (ES) Nr. 1309/2013, (ES) Nr. 1316/2013, (ES) Nr. 223/2014, (ES) Nr. 283/2014 ir Sprendimas Nr. 541/2014/ES, bei panaikinamas Reglamentas (ES, Euratomas) Nr. 966/2012</w:t>
      </w:r>
      <w:r w:rsidRPr="0059284C">
        <w:rPr>
          <w:rStyle w:val="FootnoteReference"/>
        </w:rPr>
        <w:footnoteReference w:id="3"/>
      </w:r>
      <w:r w:rsidRPr="0059284C">
        <w:t>, ypač į jo 70 straipsnį,</w:t>
      </w:r>
    </w:p>
    <w:p w:rsidR="0085397D" w:rsidRPr="0059284C" w:rsidRDefault="0085397D" w:rsidP="0085397D">
      <w:pPr>
        <w:pStyle w:val="NormalHanging12a"/>
      </w:pPr>
      <w:r w:rsidRPr="0059284C">
        <w:t>–</w:t>
      </w:r>
      <w:r w:rsidRPr="0059284C">
        <w:tab/>
        <w:t>atsižvelgdamas į 2021 m. balandžio 28 d. Europos Parlamento ir Tarybos reglamentą (ES) 2021/696, kuriuo sudaroma Sąjungos kosmoso programa, įsteigiama Europos Sąjungos kosmoso programos agentūra ir panaikinami reglamentai (ES) Nr. 912/2010, (ES) Nr. 1285/2013 bei (ES) Nr. 377/2014 ir Sprendimas Nr. 541/2014/ES</w:t>
      </w:r>
      <w:r w:rsidRPr="0059284C">
        <w:rPr>
          <w:rStyle w:val="FootnoteReference"/>
        </w:rPr>
        <w:footnoteReference w:id="4"/>
      </w:r>
      <w:r w:rsidRPr="0059284C">
        <w:t xml:space="preserve">, ypač į jo </w:t>
      </w:r>
      <w:r w:rsidRPr="0059284C">
        <w:lastRenderedPageBreak/>
        <w:t>85 ir 86 straipsnius,</w:t>
      </w:r>
    </w:p>
    <w:p w:rsidR="0085397D" w:rsidRPr="0059284C" w:rsidRDefault="0085397D" w:rsidP="0085397D">
      <w:pPr>
        <w:pStyle w:val="NormalHanging12a"/>
      </w:pPr>
      <w:r w:rsidRPr="0059284C">
        <w:t>–</w:t>
      </w:r>
      <w:r w:rsidRPr="0059284C">
        <w:tab/>
        <w:t>atsižvelgdamas į 2018 m. gruodžio 18 d. Komisijos deleguotąjį reglamentą (ES) 2019/715 dėl finansinio pagrindų reglamento, taikomo organams, įsteigtiems pagal SESV ir Euratomo sutartį ir nurodytiems Europos Parlamento ir Tarybos reglamento (ES, Euratomas)</w:t>
      </w:r>
      <w:r w:rsidRPr="0059284C">
        <w:rPr>
          <w:rStyle w:val="FootnoteReference"/>
        </w:rPr>
        <w:footnoteReference w:id="5"/>
      </w:r>
      <w:r w:rsidRPr="0059284C">
        <w:t xml:space="preserve"> 2018/1046 70 straipsnyje, ypač į jo 105 straipsnį,</w:t>
      </w:r>
    </w:p>
    <w:p w:rsidR="0085397D" w:rsidRPr="0059284C" w:rsidRDefault="0085397D" w:rsidP="0085397D">
      <w:pPr>
        <w:pStyle w:val="NormalHanging12a"/>
      </w:pPr>
      <w:r w:rsidRPr="0059284C">
        <w:t>–</w:t>
      </w:r>
      <w:r w:rsidRPr="0059284C">
        <w:tab/>
        <w:t>atsižvelgdamas į Darbo tvarkos taisyklių 100 straipsnį ir V priedą,</w:t>
      </w:r>
    </w:p>
    <w:p w:rsidR="0085397D" w:rsidRPr="0059284C" w:rsidRDefault="0085397D" w:rsidP="0085397D">
      <w:pPr>
        <w:pStyle w:val="NormalHanging12a"/>
      </w:pPr>
      <w:r w:rsidRPr="0059284C">
        <w:t>–</w:t>
      </w:r>
      <w:r w:rsidRPr="0059284C">
        <w:tab/>
        <w:t>atsižvelgdamas į Biudžeto kontrolės komiteto pranešimą (A9</w:t>
      </w:r>
      <w:r w:rsidRPr="0059284C">
        <w:noBreakHyphen/>
        <w:t>0121/2024),</w:t>
      </w:r>
    </w:p>
    <w:p w:rsidR="0085397D" w:rsidRPr="0059284C" w:rsidRDefault="0085397D" w:rsidP="0085397D">
      <w:pPr>
        <w:pStyle w:val="NormalHanging12a"/>
      </w:pPr>
      <w:r w:rsidRPr="0059284C">
        <w:t>1.</w:t>
      </w:r>
      <w:r w:rsidRPr="0059284C">
        <w:tab/>
        <w:t>patvirtina Europos Sąjungos kosmoso programos agentūros vykdomajam direktoriui, kad Agentūros 2022 finansinių metų biudžetas įvykdytas;</w:t>
      </w:r>
    </w:p>
    <w:p w:rsidR="0085397D" w:rsidRPr="0059284C" w:rsidRDefault="0085397D" w:rsidP="0085397D">
      <w:pPr>
        <w:pStyle w:val="NormalHanging12a"/>
      </w:pPr>
      <w:r w:rsidRPr="0059284C">
        <w:t>2.</w:t>
      </w:r>
      <w:r w:rsidRPr="0059284C">
        <w:tab/>
        <w:t>išdėsto savo pastabas toliau pateikiamoje rezoliucijoje;</w:t>
      </w:r>
    </w:p>
    <w:p w:rsidR="0085397D" w:rsidRPr="0059284C" w:rsidRDefault="0085397D" w:rsidP="0085397D">
      <w:pPr>
        <w:pStyle w:val="NormalHanging12a"/>
      </w:pPr>
      <w:r w:rsidRPr="0059284C">
        <w:t>3.</w:t>
      </w:r>
      <w:r w:rsidRPr="0059284C">
        <w:tab/>
        <w:t>paveda Pirmininkei perduoti šį sprendimą ir rezoliuciją, kuri yra neatskiriama jo dalis, Europos Sąjungos kosmoso programos agentūros vykdomajam direktoriui, Tarybai, Komisijai ir Audito Rūmams ir pasirūpinti, kad jie būtų paskelbti Europos Sąjungos oficialiajame leidinyje (L serijoje).</w:t>
      </w:r>
    </w:p>
    <w:p w:rsidR="0085397D" w:rsidRPr="0059284C" w:rsidRDefault="0085397D" w:rsidP="0085397D"/>
    <w:p w:rsidR="0085397D" w:rsidRPr="0059284C" w:rsidRDefault="0085397D" w:rsidP="0085397D">
      <w:pPr>
        <w:pStyle w:val="PageHeading"/>
        <w:sectPr w:rsidR="0085397D" w:rsidRPr="0059284C" w:rsidSect="00A73C7E">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pPr>
    </w:p>
    <w:p w:rsidR="0085397D" w:rsidRPr="0059284C" w:rsidRDefault="0085397D" w:rsidP="00FE1DDB">
      <w:pPr>
        <w:pStyle w:val="ATHeading3"/>
      </w:pPr>
      <w:bookmarkStart w:id="8" w:name="_Toc161997803"/>
      <w:r w:rsidRPr="0059284C">
        <w:lastRenderedPageBreak/>
        <w:t xml:space="preserve">2. </w:t>
      </w:r>
      <w:r w:rsidR="00CF3458" w:rsidRPr="0059284C">
        <w:t xml:space="preserve">2024 m. </w:t>
      </w:r>
      <w:r w:rsidR="00732084" w:rsidRPr="0059284C">
        <w:t>balandžio</w:t>
      </w:r>
      <w:r w:rsidR="00CF3458" w:rsidRPr="0059284C">
        <w:t xml:space="preserve"> 11 d. Europos Parlamento sprendimas </w:t>
      </w:r>
      <w:bookmarkEnd w:id="8"/>
      <w:r w:rsidRPr="0059284C">
        <w:t>dėl Europos Sąjungos kosmoso programos agentūros 2022 finansinių metų sąskaitų uždarymo</w:t>
      </w:r>
      <w:r w:rsidR="00732084" w:rsidRPr="0059284C">
        <w:t xml:space="preserve"> </w:t>
      </w:r>
      <w:r w:rsidRPr="0059284C">
        <w:t>(2023/2170(DEC))</w:t>
      </w:r>
    </w:p>
    <w:p w:rsidR="0085397D" w:rsidRPr="0059284C" w:rsidRDefault="0085397D" w:rsidP="0085397D">
      <w:pPr>
        <w:pStyle w:val="EPComma"/>
      </w:pPr>
      <w:r w:rsidRPr="0059284C">
        <w:rPr>
          <w:i/>
        </w:rPr>
        <w:t>Europos Parlamentas</w:t>
      </w:r>
      <w:r w:rsidRPr="0059284C">
        <w:t>,</w:t>
      </w:r>
    </w:p>
    <w:p w:rsidR="0085397D" w:rsidRPr="0059284C" w:rsidRDefault="0085397D" w:rsidP="0085397D">
      <w:pPr>
        <w:pStyle w:val="NormalHanging12a"/>
      </w:pPr>
      <w:r w:rsidRPr="0059284C">
        <w:t>–</w:t>
      </w:r>
      <w:r w:rsidRPr="0059284C">
        <w:tab/>
        <w:t>atsižvelgdamas į Europos Sąjungos kosmoso programos agentūros 2022 finansinių metų galutines metines ataskaitas,</w:t>
      </w:r>
    </w:p>
    <w:p w:rsidR="0085397D" w:rsidRPr="0059284C" w:rsidRDefault="0085397D" w:rsidP="0085397D">
      <w:pPr>
        <w:pStyle w:val="NormalHanging12a"/>
      </w:pPr>
      <w:r w:rsidRPr="0059284C">
        <w:t>–</w:t>
      </w:r>
      <w:r w:rsidRPr="0059284C">
        <w:tab/>
        <w:t>atsižvelgdamas į Audito Rūmų 2022 finansinių metų metinę ataskaitą dėl ES agentūrų kartu su agentūrų atsakymais</w:t>
      </w:r>
      <w:r w:rsidRPr="0059284C">
        <w:rPr>
          <w:rStyle w:val="FootnoteReference"/>
        </w:rPr>
        <w:footnoteReference w:id="6"/>
      </w:r>
      <w:r w:rsidRPr="0059284C">
        <w:t>,</w:t>
      </w:r>
    </w:p>
    <w:p w:rsidR="0085397D" w:rsidRPr="0059284C" w:rsidRDefault="0085397D" w:rsidP="0085397D">
      <w:pPr>
        <w:pStyle w:val="NormalHanging12a"/>
      </w:pPr>
      <w:r w:rsidRPr="0059284C">
        <w:t>–</w:t>
      </w:r>
      <w:r w:rsidRPr="0059284C">
        <w:tab/>
        <w:t>atsižvelgdamas į Audito Rūmų pagal Sutarties dėl Europos Sąjungos veikimo 287 straipsnį pateiktą sąskaitų patikimumo</w:t>
      </w:r>
      <w:r w:rsidRPr="0059284C">
        <w:rPr>
          <w:rStyle w:val="FootnoteReference"/>
        </w:rPr>
        <w:footnoteReference w:id="7"/>
      </w:r>
      <w:r w:rsidRPr="0059284C">
        <w:t xml:space="preserve"> ir pagal jas atliktų operacijų teisėtumo ir tvarkingumo patikinimo pareiškimą,</w:t>
      </w:r>
    </w:p>
    <w:p w:rsidR="0085397D" w:rsidRPr="0059284C" w:rsidRDefault="0085397D" w:rsidP="0085397D">
      <w:pPr>
        <w:pStyle w:val="NormalHanging12a"/>
      </w:pPr>
      <w:r w:rsidRPr="0059284C">
        <w:t>–</w:t>
      </w:r>
      <w:r w:rsidRPr="0059284C">
        <w:tab/>
        <w:t>atsižvelgdamas į 2024 m. vasario 22 d. Tarybos rekomendaciją dėl patvirtinimo, kad Centras įvykdė 2022 finansinių metų biudžetą (</w:t>
      </w:r>
      <w:r w:rsidR="00732084" w:rsidRPr="0059284C">
        <w:t>06180</w:t>
      </w:r>
      <w:r w:rsidRPr="0059284C">
        <w:t>/2024 – C9</w:t>
      </w:r>
      <w:r w:rsidRPr="0059284C">
        <w:noBreakHyphen/>
      </w:r>
      <w:r w:rsidR="00732084" w:rsidRPr="0059284C">
        <w:t>0108</w:t>
      </w:r>
      <w:r w:rsidRPr="0059284C">
        <w:t>/2024),</w:t>
      </w:r>
    </w:p>
    <w:p w:rsidR="0085397D" w:rsidRPr="0059284C" w:rsidRDefault="0085397D" w:rsidP="0085397D">
      <w:pPr>
        <w:pStyle w:val="NormalHanging12a"/>
      </w:pPr>
      <w:r w:rsidRPr="0059284C">
        <w:t>–</w:t>
      </w:r>
      <w:r w:rsidRPr="0059284C">
        <w:tab/>
        <w:t>atsižvelgdamas į Sutarties dėl Europos Sąjungos veikimo 319 straipsnį,</w:t>
      </w:r>
    </w:p>
    <w:p w:rsidR="0085397D" w:rsidRPr="0059284C" w:rsidRDefault="0085397D" w:rsidP="0085397D">
      <w:pPr>
        <w:pStyle w:val="NormalHanging12a"/>
      </w:pPr>
      <w:r w:rsidRPr="0059284C">
        <w:t>–</w:t>
      </w:r>
      <w:r w:rsidRPr="0059284C">
        <w:tab/>
        <w:t>atsižvelgdamas į 2018 m. liepos 18 d. Europos Parlamento ir Tarybos reglamentą (ES, Euratomas) 2018/1046 dėl Sąjungos bendrajam biudžetui taikomų finansinių taisyklių, kuriuo iš dalies keičiami reglamentai (ES) Nr. 1296/2013, (ES) Nr. 1301/2013, (ES) Nr. 1303/2013, (ES) Nr. 1304/2013, (ES) Nr. 1309/2013, (ES) Nr. 1316/2013, (ES) Nr. 223/2014, (ES) Nr. 283/2014 ir Sprendimas Nr. 541/2014/ES, bei panaikinamas Reglamentas (ES, Euratomas) Nr. 966/2012</w:t>
      </w:r>
      <w:r w:rsidRPr="0059284C">
        <w:rPr>
          <w:rStyle w:val="FootnoteReference"/>
        </w:rPr>
        <w:footnoteReference w:id="8"/>
      </w:r>
      <w:r w:rsidRPr="0059284C">
        <w:t>, ypač į jo 70 straipsnį,</w:t>
      </w:r>
    </w:p>
    <w:p w:rsidR="0085397D" w:rsidRPr="0059284C" w:rsidRDefault="0085397D" w:rsidP="0085397D">
      <w:pPr>
        <w:pStyle w:val="NormalHanging12a"/>
      </w:pPr>
      <w:r w:rsidRPr="0059284C">
        <w:t>–</w:t>
      </w:r>
      <w:r w:rsidRPr="0059284C">
        <w:tab/>
        <w:t>atsižvelgdamas į 2021 m. balandžio 28 d. Europos Parlamento ir Tarybos reglamentą (ES) 2021/696, kuriuo sudaroma Sąjungos kosmoso programa, įsteigiama Europos Sąjungos kosmoso programos agentūra ir panaikinami reglamentai (ES) Nr. 912/2010, (ES) Nr. 1285/2013 bei (ES) Nr. 377/2014 ir Sprendimas Nr. 541/2014/ES</w:t>
      </w:r>
      <w:r w:rsidRPr="0059284C">
        <w:rPr>
          <w:rStyle w:val="FootnoteReference"/>
        </w:rPr>
        <w:footnoteReference w:id="9"/>
      </w:r>
      <w:r w:rsidRPr="0059284C">
        <w:t>, ypač į jo 85 ir 86 straipsnius,</w:t>
      </w:r>
    </w:p>
    <w:p w:rsidR="0085397D" w:rsidRPr="0059284C" w:rsidRDefault="0085397D" w:rsidP="0085397D">
      <w:pPr>
        <w:pStyle w:val="NormalHanging12a"/>
      </w:pPr>
      <w:r w:rsidRPr="0059284C">
        <w:t>–</w:t>
      </w:r>
      <w:r w:rsidRPr="0059284C">
        <w:tab/>
        <w:t>atsižvelgdamas į 2018 m. gruodžio 18 d. Komisijos deleguotąjį reglamentą (ES) 2019/715 dėl finansinio pagrindų reglamento, taikomo organams, įsteigtiems pagal SESV ir Euratomo sutartį ir nurodytiems Europos Parlamento ir Tarybos reglamento (ES, Euratomas)</w:t>
      </w:r>
      <w:r w:rsidRPr="0059284C">
        <w:rPr>
          <w:rStyle w:val="FootnoteReference"/>
        </w:rPr>
        <w:footnoteReference w:id="10"/>
      </w:r>
      <w:r w:rsidRPr="0059284C">
        <w:t xml:space="preserve"> 2018/1046</w:t>
      </w:r>
      <w:bookmarkStart w:id="9" w:name="_GoBack"/>
      <w:bookmarkEnd w:id="9"/>
      <w:r w:rsidRPr="0059284C">
        <w:t xml:space="preserve"> 70 straipsnyje, ypač į jo 105 straipsnį,</w:t>
      </w:r>
    </w:p>
    <w:p w:rsidR="0085397D" w:rsidRPr="0059284C" w:rsidRDefault="0085397D" w:rsidP="0085397D">
      <w:pPr>
        <w:pStyle w:val="NormalHanging12a"/>
      </w:pPr>
      <w:r w:rsidRPr="0059284C">
        <w:t>–</w:t>
      </w:r>
      <w:r w:rsidRPr="0059284C">
        <w:tab/>
        <w:t>atsižvelgdamas į Darbo tvarkos taisyklių 100 straipsnį ir V priedą,</w:t>
      </w:r>
    </w:p>
    <w:p w:rsidR="0085397D" w:rsidRPr="0059284C" w:rsidRDefault="0085397D" w:rsidP="0085397D">
      <w:pPr>
        <w:pStyle w:val="NormalHanging12a"/>
      </w:pPr>
      <w:r w:rsidRPr="0059284C">
        <w:t>–</w:t>
      </w:r>
      <w:r w:rsidRPr="0059284C">
        <w:tab/>
        <w:t>atsižvelgdamas į Biudžeto kontrolės komiteto pranešimą (A9</w:t>
      </w:r>
      <w:r w:rsidRPr="0059284C">
        <w:noBreakHyphen/>
        <w:t>0121/2024),</w:t>
      </w:r>
    </w:p>
    <w:p w:rsidR="0085397D" w:rsidRPr="0059284C" w:rsidRDefault="0085397D" w:rsidP="0085397D">
      <w:pPr>
        <w:pStyle w:val="NormalHanging12a"/>
      </w:pPr>
      <w:r w:rsidRPr="0059284C">
        <w:t>1.</w:t>
      </w:r>
      <w:r w:rsidRPr="0059284C">
        <w:tab/>
        <w:t>pritaria Europos Sąjungos kosmoso programos agentūros 2022 finansinių metų sąskaitų uždarymui;</w:t>
      </w:r>
    </w:p>
    <w:p w:rsidR="0085397D" w:rsidRPr="0059284C" w:rsidRDefault="0085397D" w:rsidP="0085397D">
      <w:pPr>
        <w:pStyle w:val="NormalHanging12a"/>
      </w:pPr>
      <w:r w:rsidRPr="0059284C">
        <w:lastRenderedPageBreak/>
        <w:t>2.</w:t>
      </w:r>
      <w:r w:rsidRPr="0059284C">
        <w:tab/>
        <w:t>paveda Pirmininkei perduoti šį sprendimą Europos Sąjungos kosmoso programos agentūros vykdomajam direktoriui, Tarybai, Komisijai ir Audito Rūmams ir pasirūpinti, kad jis būtų paskelbtas Europos Sąjungos oficialiajame leidinyje (L serijoje).</w:t>
      </w:r>
    </w:p>
    <w:p w:rsidR="0085397D" w:rsidRPr="0059284C" w:rsidRDefault="0085397D" w:rsidP="0085397D"/>
    <w:p w:rsidR="0085397D" w:rsidRPr="0059284C" w:rsidRDefault="0085397D" w:rsidP="0085397D">
      <w:pPr>
        <w:pStyle w:val="PageHeading"/>
        <w:sectPr w:rsidR="0085397D" w:rsidRPr="0059284C" w:rsidSect="00A73C7E">
          <w:footnotePr>
            <w:numRestart w:val="eachPage"/>
          </w:footnotePr>
          <w:endnotePr>
            <w:numFmt w:val="decimal"/>
          </w:endnotePr>
          <w:pgSz w:w="11906" w:h="16838" w:code="9"/>
          <w:pgMar w:top="1134" w:right="1418" w:bottom="1418" w:left="1418" w:header="567" w:footer="567" w:gutter="0"/>
          <w:cols w:space="720"/>
          <w:noEndnote/>
          <w:docGrid w:linePitch="326"/>
        </w:sectPr>
      </w:pPr>
    </w:p>
    <w:p w:rsidR="0085397D" w:rsidRPr="0059284C" w:rsidRDefault="0085397D" w:rsidP="00FE1DDB">
      <w:pPr>
        <w:pStyle w:val="ATHeading3"/>
      </w:pPr>
      <w:bookmarkStart w:id="10" w:name="_Toc161997804"/>
      <w:r w:rsidRPr="0059284C">
        <w:lastRenderedPageBreak/>
        <w:t xml:space="preserve">3. </w:t>
      </w:r>
      <w:r w:rsidR="0007720E" w:rsidRPr="0059284C">
        <w:t xml:space="preserve">2024 m. balandžio 11 d. Europos Parlamento rezoliucija </w:t>
      </w:r>
      <w:bookmarkEnd w:id="10"/>
      <w:r w:rsidRPr="0059284C">
        <w:t>su pastabomis, sudarančiomis neatskiriamą sprendimo dėl Europos Sąjungos kosmoso programos agentūros 2022 finansinių metų biudžeto įvykdymo patvirtinimo dalį</w:t>
      </w:r>
      <w:r w:rsidR="0007720E" w:rsidRPr="0059284C">
        <w:t xml:space="preserve"> </w:t>
      </w:r>
      <w:r w:rsidRPr="0059284C">
        <w:t>(2023/2170(DEC))</w:t>
      </w:r>
    </w:p>
    <w:p w:rsidR="0085397D" w:rsidRPr="0059284C" w:rsidRDefault="0085397D" w:rsidP="0085397D">
      <w:pPr>
        <w:pStyle w:val="EPComma"/>
      </w:pPr>
      <w:r w:rsidRPr="0059284C">
        <w:rPr>
          <w:i/>
        </w:rPr>
        <w:t>Europos Parlamentas</w:t>
      </w:r>
      <w:r w:rsidRPr="0059284C">
        <w:t>,</w:t>
      </w:r>
    </w:p>
    <w:p w:rsidR="0085397D" w:rsidRPr="0059284C" w:rsidRDefault="0085397D" w:rsidP="0085397D">
      <w:pPr>
        <w:pStyle w:val="NormalHanging12a"/>
      </w:pPr>
      <w:r w:rsidRPr="0059284C">
        <w:t>–</w:t>
      </w:r>
      <w:r w:rsidRPr="0059284C">
        <w:tab/>
        <w:t>atsižvelgdamas į savo sprendimą dėl Europos Sąjungos kosmoso programos agentūros 2022 finansinių metų biudžeto įvykdymo patvirtinimo,</w:t>
      </w:r>
    </w:p>
    <w:p w:rsidR="0085397D" w:rsidRPr="0059284C" w:rsidRDefault="0085397D" w:rsidP="0085397D">
      <w:pPr>
        <w:pStyle w:val="NormalHanging12a"/>
      </w:pPr>
      <w:r w:rsidRPr="0059284C">
        <w:t>–</w:t>
      </w:r>
      <w:r w:rsidRPr="0059284C">
        <w:tab/>
        <w:t>atsižvelgdamas į Darbo tvarkos taisyklių 100 straipsnį ir V priedą,</w:t>
      </w:r>
    </w:p>
    <w:p w:rsidR="0085397D" w:rsidRPr="0059284C" w:rsidRDefault="0085397D" w:rsidP="0085397D">
      <w:pPr>
        <w:pStyle w:val="NormalHanging12a"/>
      </w:pPr>
      <w:r w:rsidRPr="0059284C">
        <w:t>–</w:t>
      </w:r>
      <w:r w:rsidRPr="0059284C">
        <w:tab/>
        <w:t>atsižvelgdamas į Biudžeto kontrolės komiteto pranešimą (A9</w:t>
      </w:r>
      <w:r w:rsidRPr="0059284C">
        <w:noBreakHyphen/>
        <w:t>0121/2024),</w:t>
      </w:r>
    </w:p>
    <w:p w:rsidR="0085397D" w:rsidRPr="0059284C" w:rsidRDefault="0085397D" w:rsidP="0085397D">
      <w:pPr>
        <w:pStyle w:val="Normal12Hanging"/>
        <w:rPr>
          <w:szCs w:val="24"/>
        </w:rPr>
      </w:pPr>
      <w:r w:rsidRPr="0059284C">
        <w:t>A.</w:t>
      </w:r>
      <w:r w:rsidRPr="0059284C">
        <w:tab/>
        <w:t>kadangi, remiantis Agentūros pajamų ir išlaidų ataskaita</w:t>
      </w:r>
      <w:r w:rsidRPr="0059284C">
        <w:rPr>
          <w:rStyle w:val="FootnoteReference"/>
          <w:szCs w:val="24"/>
        </w:rPr>
        <w:footnoteReference w:id="11"/>
      </w:r>
      <w:r w:rsidRPr="0059284C">
        <w:t>, galutinis 2022 finansinių metų biudžetas buvo 70 032 491,77 EUR, t. y. 22,58 proc. didesnis negu 2021 m.; kadangi faktinės Agentūros pajamos sudarė 1,2 mlrd. EUR, t. y. skirtumas, palyginti su pirmiau minėtu biudžetu, paaiškinamas operatyvine veikla, finansuojama iš asignuotųjų pajamų, kurios įtrauktos į patvirtintą biudžetą kaip simbolinis įrašas;</w:t>
      </w:r>
    </w:p>
    <w:p w:rsidR="0085397D" w:rsidRPr="0059284C" w:rsidRDefault="0085397D" w:rsidP="0085397D">
      <w:pPr>
        <w:pStyle w:val="Normal12Hanging"/>
        <w:rPr>
          <w:szCs w:val="24"/>
        </w:rPr>
      </w:pPr>
      <w:r w:rsidRPr="0059284C">
        <w:t>B.</w:t>
      </w:r>
      <w:r w:rsidRPr="0059284C">
        <w:tab/>
        <w:t>kadangi Audito Rūmai savo ataskaitoje dėl Agentūros 2022 finansinių metų metinių finansinių ataskaitų (toliau – Audito Rūmų ataskaita) nurodo, kad gavo pagrįstą patikinimą, jog Agentūros metinės finansinės ataskaitos yra patikimos ir jose nurodytos operacijos yra teisėtos ir tvarkingos; kadangi Audito Rūmai pateikia „dalyko pabrėžimo“ pastraipą, susijusią su Rusijos agresijos karo prieš Ukrainą poveikiu Agentūros veiklai;</w:t>
      </w:r>
    </w:p>
    <w:p w:rsidR="0085397D" w:rsidRPr="0059284C" w:rsidRDefault="0085397D" w:rsidP="0085397D">
      <w:pPr>
        <w:pStyle w:val="Normal12Hanging"/>
        <w:rPr>
          <w:szCs w:val="24"/>
        </w:rPr>
      </w:pPr>
      <w:r w:rsidRPr="0059284C">
        <w:t>C.</w:t>
      </w:r>
      <w:r w:rsidRPr="0059284C">
        <w:tab/>
        <w:t>kadangi, kalbant apie Agentūros vidaus kontrolės sistemas, 2022 m. nebuvo pranešta apie jokias problemas, dėl kurių reikėtų imtis taisomųjų veiksmų, taip pat nėra tebevykdomų ar neįgyvendintų taisomųjų veiksmų, susijusių su ankstesnių metų auditais ir vertinimais;</w:t>
      </w:r>
    </w:p>
    <w:p w:rsidR="0085397D" w:rsidRPr="0059284C" w:rsidRDefault="0085397D" w:rsidP="0085397D">
      <w:pPr>
        <w:pStyle w:val="Normal12Hanging"/>
        <w:rPr>
          <w:b/>
          <w:i/>
          <w:szCs w:val="24"/>
        </w:rPr>
      </w:pPr>
      <w:r w:rsidRPr="0059284C">
        <w:rPr>
          <w:b/>
          <w:i/>
        </w:rPr>
        <w:t>Biudžeto ir finansų valdymas</w:t>
      </w:r>
    </w:p>
    <w:p w:rsidR="0085397D" w:rsidRPr="0059284C" w:rsidRDefault="0085397D" w:rsidP="0085397D">
      <w:pPr>
        <w:pStyle w:val="Normal12Hanging"/>
        <w:rPr>
          <w:szCs w:val="24"/>
        </w:rPr>
      </w:pPr>
      <w:r w:rsidRPr="0059284C">
        <w:t>1.</w:t>
      </w:r>
      <w:r w:rsidRPr="0059284C">
        <w:tab/>
        <w:t>džiaugdamasis pažymi, kad 2022 finansiniais metais vykdant biudžeto stebėseną biudžeto įvykdymo lygis buvo 100 proc. einamųjų metų įsipareigojimų asignavimų, t. y. toks pat kaip ir ankstesniais dvejais metais; tačiau apgailestauja, kad einamųjų metų mokėjimų asignavimų panaudojimo lygis siekė 72,86 proc., t. y. buvo 1,92 proc. mažesnis nei 2021 m.;</w:t>
      </w:r>
    </w:p>
    <w:p w:rsidR="0085397D" w:rsidRPr="0059284C" w:rsidRDefault="0085397D" w:rsidP="0085397D">
      <w:pPr>
        <w:pStyle w:val="Normal12Hanging"/>
        <w:rPr>
          <w:szCs w:val="24"/>
        </w:rPr>
      </w:pPr>
      <w:r w:rsidRPr="0059284C">
        <w:t>2.</w:t>
      </w:r>
      <w:r w:rsidRPr="0059284C">
        <w:tab/>
        <w:t>pažymi, kad 2022 m. Agentūros administracinė valdyba patvirtino tris biudžeto pakeitimus – pirmuoju pakeitimu sausio mėn. bendri asignavimai buvo padidinti 1 687 363,77 EUR, antruoju pakeitimu Agentūros administracinė valdyba patvirtino bendros 2 659 300 EUR sumos perskirstymą, daugiausia iš veiklos biudžeto į duomenų tvarkymo eilutę, o trečiajame taisomajame biudžete mokėjimų asignavimai sumažinti 4 640 000 EUR, taigi bendra mokėjimų asignavimų suma padidėjo iki 65 392 491,77 EUR;</w:t>
      </w:r>
    </w:p>
    <w:p w:rsidR="0085397D" w:rsidRPr="0059284C" w:rsidRDefault="0085397D" w:rsidP="0085397D">
      <w:pPr>
        <w:pStyle w:val="Normal12Hanging"/>
        <w:rPr>
          <w:szCs w:val="24"/>
        </w:rPr>
      </w:pPr>
      <w:r w:rsidRPr="0059284C">
        <w:t>3.</w:t>
      </w:r>
      <w:r w:rsidRPr="0059284C">
        <w:tab/>
        <w:t xml:space="preserve">pažymi, kad, be savo pagrindinio biudžeto, Agentūra toliau valdė didelę deleguotojo biudžeto (skirtų asignavimų) sumą ir 2022 m. įsipareigojimams įvykdyti viso panaudota </w:t>
      </w:r>
      <w:r w:rsidRPr="0059284C">
        <w:lastRenderedPageBreak/>
        <w:t>574,5 mln. EUR deleguotojo biudžeto lėšų, o mokėjimams atlikti – 1,26 mlrd. EUR;</w:t>
      </w:r>
    </w:p>
    <w:p w:rsidR="0085397D" w:rsidRPr="0059284C" w:rsidRDefault="0085397D" w:rsidP="0085397D">
      <w:pPr>
        <w:pStyle w:val="Normal12Hanging"/>
        <w:rPr>
          <w:b/>
          <w:i/>
          <w:szCs w:val="24"/>
        </w:rPr>
      </w:pPr>
      <w:r w:rsidRPr="0059284C">
        <w:rPr>
          <w:b/>
          <w:i/>
        </w:rPr>
        <w:t>Veikla</w:t>
      </w:r>
    </w:p>
    <w:p w:rsidR="0085397D" w:rsidRPr="0059284C" w:rsidRDefault="0085397D" w:rsidP="0085397D">
      <w:pPr>
        <w:pStyle w:val="NormalHanging12a"/>
      </w:pPr>
      <w:r w:rsidRPr="0059284C">
        <w:t>4.</w:t>
      </w:r>
      <w:r w:rsidRPr="0059284C">
        <w:tab/>
        <w:t>palankiai vertina tai, kad Agentūra naudoja pagrindinius veiklos rezultatų rodiklius (PVRR) siekdama įvertinti su jos tikslais susijusius rezultatus, kurie, be kita ko, apima veiksmingą saugumo akreditavimo valdybos administravimą, kad būtų galima laiku priimti sprendimus, vykdyti GALILEO grėsmių ir rizikos analizę, valdyti Agentūros biudžetą ir teikti apie jį ataskaitas, veiksmingai tvarkyti visas teisines priemones, užtikrinti Agentūros patalpų operacinį pajėgumą ir vykdyti teisės aktų nustatyto audito ir kontrolės pareigas; pažymi, kad dauguma tikslų pasiekti, tačiau rekomenduoja atsižvelgti į PVRR, kurie vis dar nepasiekti arba įgyvendinami lėčiau, nei tikėtasi; rekomenduoja Agentūrai reguliariai koreguoti PVRR, kad ji galėtų optimizuoti savo veiklos rezultatus;</w:t>
      </w:r>
    </w:p>
    <w:p w:rsidR="0085397D" w:rsidRPr="0059284C" w:rsidRDefault="0085397D" w:rsidP="0085397D">
      <w:pPr>
        <w:pStyle w:val="Normal12Hanging"/>
        <w:rPr>
          <w:szCs w:val="24"/>
        </w:rPr>
      </w:pPr>
      <w:r w:rsidRPr="0059284C">
        <w:t>5.</w:t>
      </w:r>
      <w:r w:rsidRPr="0059284C">
        <w:tab/>
        <w:t>atkreipia dėmesį į tai, kad Agentūra atskleidė galimą karo Ukrainoje poveikį, įskaitant GALILEO palydovų paleidimo įrenginių „Soyuz“ naudojimo nutraukimą dėl vienašališko Rusijos „Soyuz“ paleidimo komandos pasitraukimo; pažymi, kad Agentūra nenumato jokio tiesioginio iš karto pasireiškiančio poveikio savo finansiniams veiklos rezultatams, tačiau pripažįsta, kad reikia intensyviai dirbti siekiant kuo labiau sumažinti vėlavimą paleisti naujus palydovus, nes dėl to gali būti vėluojama pripažinti išlaidas ir atsiskaityti už gautiną turtą, apmokėtą išankstinio finansavimo forma; susirūpinęs pažymi, kad šiuo metu šios sumos negalima patikimai įvertinti;</w:t>
      </w:r>
    </w:p>
    <w:p w:rsidR="0085397D" w:rsidRPr="0059284C" w:rsidRDefault="0085397D" w:rsidP="0085397D">
      <w:pPr>
        <w:pStyle w:val="NormalHanging12a"/>
      </w:pPr>
      <w:r w:rsidRPr="0059284C">
        <w:t>6.</w:t>
      </w:r>
      <w:r w:rsidRPr="0059284C">
        <w:tab/>
        <w:t>be to, pažymi, kad darbas GALILEO ir Europos geostacionarinės navigacinės tinklo sistemos (EGNOS) antžeminėse stotyse Ukrainoje buvo sustabdytas dėl konflikto, tačiau tai neturi tiesioginio poveikio EGNOS veikimui; pabrėžia, kad Agentūra ėmėsi visų veiksmų, kurių galėjo imtis, kad kuo labiau apsaugotų jau sumontuotą įrangą, tačiau tiksli jos būklė šiuo metu nežinoma; pažymi, kad yra nenugalimos jėgos aplinkybių, kurias nurodė priimantysis subjektas, ir kad, kai tik jos bus pašalintos, tikimasi, kad galiojanti sutartis bus vėl aktyvuota; prašo Agentūros pranešti biudžeto įvykdymą tvirtinančiai institucijai apie sumontuotos įrangos būklę, kai tik tam netrukdys karas;</w:t>
      </w:r>
    </w:p>
    <w:p w:rsidR="0085397D" w:rsidRPr="0059284C" w:rsidRDefault="0085397D" w:rsidP="0085397D">
      <w:pPr>
        <w:pStyle w:val="Normal12Hanging"/>
        <w:rPr>
          <w:szCs w:val="24"/>
        </w:rPr>
      </w:pPr>
      <w:r w:rsidRPr="0059284C">
        <w:t>7.</w:t>
      </w:r>
      <w:r w:rsidRPr="0059284C">
        <w:tab/>
        <w:t>pažymi, kad Agentūra įgyvendino ryšių su Rusijos ir Baltarusijos institucijomis stebėsenos priemones ir nesitikima, kad dėl sankcijų atsiradę rinkos sąlygų pokyčiai iš esmės paveiks Agentūros veiklą;</w:t>
      </w:r>
    </w:p>
    <w:p w:rsidR="0085397D" w:rsidRPr="0059284C" w:rsidRDefault="0085397D" w:rsidP="0085397D">
      <w:pPr>
        <w:pStyle w:val="Normal12Hanging"/>
        <w:rPr>
          <w:szCs w:val="24"/>
        </w:rPr>
      </w:pPr>
      <w:r w:rsidRPr="0059284C">
        <w:t>8.</w:t>
      </w:r>
      <w:r w:rsidRPr="0059284C">
        <w:tab/>
        <w:t>pažymi, kad 2022 m. buvo priimti svarbūs akreditavimo sprendimai dėl EGNOS ir, atsižvelgiant į EGNOS akcentus, be kita ko, buvo pasirašyta kita EGNOS paslaugų teikimo sutartis, nauja paieškos ir gelbėjimo paslaugų sutartis ir EGNOS v2 techninės priežiūros sutartis bei pradėta eksploatuoti EGNOS GEO4 naudingoji apkrova, visų pirma nustatyta ir išspręsta EGNOS bendros veiklos sutrikimo problema; džiaugdamasis pažymi, kad pabrėžiamas pasaulinio masto GALILEO poveikis – visame pasaulyje naudojama daugiau kaip 3,5 mlrd. įrenginių; atkreipia dėmesį, kad pradėjo veikti du nauji GALILEO palydovai; džiaugdamasis pažymi, kad, nepaisant COVID-19 keliamų iššūkių, GALILEO paslaugos, įskaitant saugumo stebėseną ir paslaugas valstybinėms institucijoms, davė puikių rezultatų;</w:t>
      </w:r>
    </w:p>
    <w:p w:rsidR="0085397D" w:rsidRPr="0059284C" w:rsidRDefault="0085397D" w:rsidP="0085397D">
      <w:pPr>
        <w:pStyle w:val="Normal12Hanging"/>
        <w:rPr>
          <w:szCs w:val="24"/>
        </w:rPr>
      </w:pPr>
      <w:r w:rsidRPr="0059284C">
        <w:t>9.</w:t>
      </w:r>
      <w:r w:rsidRPr="0059284C">
        <w:tab/>
        <w:t xml:space="preserve">atkreipia dėmesį į tai, kad kiti Agentūros laimėjimai 2022 m. apima 2022 m. ES kosmoso savaitės organizavimą Prahoje bendradarbiaujant su Komisija ir padedant ES </w:t>
      </w:r>
      <w:r w:rsidRPr="0059284C">
        <w:lastRenderedPageBreak/>
        <w:t>Tarybai pirmininkaujančiai Čekijai, Agentūros 1000 startuolių ir 28 investuotojų tinklo sukūrimą ir pirmąją iniciatyvos CASSINI verslumo dieną, dviejų naujų GALILEO palydovų eksploatavimo pradžią ir pirmosios rinkos ataskaitos, apimančios Žemės stebėjimą ir GNSS, paskelbimą;</w:t>
      </w:r>
    </w:p>
    <w:p w:rsidR="0085397D" w:rsidRPr="0059284C" w:rsidRDefault="0085397D" w:rsidP="0085397D">
      <w:pPr>
        <w:pStyle w:val="NormalHanging12a"/>
      </w:pPr>
      <w:r w:rsidRPr="0059284C">
        <w:t>10.</w:t>
      </w:r>
      <w:r w:rsidRPr="0059284C">
        <w:tab/>
        <w:t>pabrėžia, kad Agentūra turėtų tapti pagrindine visų Sąjungos kosmoso programos komponentų įgyvendinimo agentūra, kuri užtikrintų saugų visų kosmoso programos komponentų (GALILEO, EGNOS, Žemės stebėjimo, kosmoso eismo valdymo ir valdžios sektoriaus telekomunikacijų ir junglumo) paslaugų teikimą ir akreditavimą, teiktų patikimas paslaugas, kurios būtų nuolat tobulinamos atsižvelgiant į dabartinių ir būsimų naudotojų poreikius, taip pat paslaugas valdžios sektoriaus naudotojams, turintiems atsparumo, gynybos ir saugumo poreikių;</w:t>
      </w:r>
    </w:p>
    <w:p w:rsidR="0085397D" w:rsidRPr="0059284C" w:rsidRDefault="0085397D" w:rsidP="0085397D">
      <w:pPr>
        <w:pStyle w:val="NormalHanging12a"/>
      </w:pPr>
      <w:r w:rsidRPr="0059284C">
        <w:t>11.</w:t>
      </w:r>
      <w:r w:rsidRPr="0059284C">
        <w:tab/>
        <w:t>ragina Agentūrą pasinaudoti savo pridėtine verte įgyvendinant būsimą Sąjungos kosmoso teisės aktą, nes tai yra kertinis aspektas siekiant užtikrinti Sąjungos saugumą, saugą ir tvarumą kosmoso srityje spendžiant Sąjungos ekonominio saugumo kosmoso veikloje ir spartėjančio naujosios kosmoso industrijos augimo klausimus;</w:t>
      </w:r>
    </w:p>
    <w:p w:rsidR="0085397D" w:rsidRPr="0059284C" w:rsidRDefault="0085397D" w:rsidP="0085397D">
      <w:pPr>
        <w:pStyle w:val="Normal12Hanging"/>
        <w:rPr>
          <w:b/>
          <w:i/>
          <w:szCs w:val="24"/>
        </w:rPr>
      </w:pPr>
      <w:r w:rsidRPr="0059284C">
        <w:rPr>
          <w:b/>
          <w:i/>
        </w:rPr>
        <w:t>Veiksmingumas ir nauda</w:t>
      </w:r>
    </w:p>
    <w:p w:rsidR="0085397D" w:rsidRPr="0059284C" w:rsidRDefault="0085397D" w:rsidP="0085397D">
      <w:pPr>
        <w:pStyle w:val="Normal12Hanging"/>
        <w:rPr>
          <w:szCs w:val="24"/>
        </w:rPr>
      </w:pPr>
      <w:r w:rsidRPr="0059284C">
        <w:t>12.</w:t>
      </w:r>
      <w:r w:rsidRPr="0059284C">
        <w:tab/>
        <w:t>pažymi, kad Agentūra dėjo daug pastangų siekdama dar labiau racionalizuoti ir automatizuoti žmogiškųjų išteklių valdymo procesus, kad būtų padidintas veiksmingumas; atkreipia dėmesį, kad šiomis aplinkybėmis Agentūra toliau diegė įvairius SYSPER modulius (pvz., TIM, FLEX, TELEWORK) ir jungė juos su esamomis pagalbinėmis vidaus taikomosiomis programomis (pvz., intranetu grindžiama darbo laiko registravimo priemone); pažymi, kad Žmogiškųjų išteklių skyrius, siekdamas veiksmingiau nagrinėti įvairias savo darbuotojų užklausas, įdiegė e. bilietų išdavimo sistemą; ragina Agentūrą rasti daugiau vidaus procedūrų, kurias būtų galima optimizuoti naudojant naujas IT priemones;</w:t>
      </w:r>
    </w:p>
    <w:p w:rsidR="0085397D" w:rsidRPr="0059284C" w:rsidRDefault="0085397D" w:rsidP="0085397D">
      <w:pPr>
        <w:pStyle w:val="Normal12Hanging"/>
        <w:rPr>
          <w:szCs w:val="24"/>
        </w:rPr>
      </w:pPr>
      <w:r w:rsidRPr="0059284C">
        <w:t>13.</w:t>
      </w:r>
      <w:r w:rsidRPr="0059284C">
        <w:tab/>
        <w:t>pažymi, kad pagal Finansinį partnerystės pagrindų susitarimą Agentūra privalo bendradarbiauti su Komisija ir Europos kosmoso agentūra (EKA), kad kartu nustatytų būdus, kaip pasiekti Europos Sąjungos klimato srities tikslus, ir kartu vykdytų veiklą, kuria būtų prisidedama prie šių tikslų įgyvendinimo; taip pat pažymi, kad pagal Finansinio partnerystės pagrindų susitarimo 30 straipsnį Agentūra privalo iki 2023 m. pabaigos įgyvendinti aplinkosaugos vadybos ir audito sistemą (EMAS);</w:t>
      </w:r>
    </w:p>
    <w:p w:rsidR="0085397D" w:rsidRPr="0059284C" w:rsidRDefault="0085397D" w:rsidP="0085397D">
      <w:pPr>
        <w:pStyle w:val="Normal12Hanging"/>
        <w:rPr>
          <w:szCs w:val="24"/>
        </w:rPr>
      </w:pPr>
      <w:r w:rsidRPr="0059284C">
        <w:t>14.</w:t>
      </w:r>
      <w:r w:rsidRPr="0059284C">
        <w:tab/>
        <w:t>pažymi, kad, kalbant apie žaliuosius viešuosius pirkimus, 2022 m. padaryta tam tikra pažanga nustatant viešųjų pirkimų procedūrų su žaliaisiais aspektais atvejus ir svarstant galimybę taikyti žaliuosius kriterijus; taip pat pažymi, kad 2023 m. Agentūra palaipsniui plėtoja tvirtesnį požiūrį, kad iš tikrųjų nuolat įgyvendintų žaliuosius viešuosius pirkimus, apmokytų savo darbuotojus ir palaipsniui nustatytų žaliuosius kriterijus savo viešuosiuose pirkimuose pagal savo aplinkos politiką ir vykdomą EMAS sertifikavimą;</w:t>
      </w:r>
    </w:p>
    <w:p w:rsidR="0085397D" w:rsidRPr="0059284C" w:rsidRDefault="0085397D" w:rsidP="0085397D">
      <w:pPr>
        <w:pStyle w:val="Normal12Hanging"/>
        <w:rPr>
          <w:szCs w:val="24"/>
        </w:rPr>
      </w:pPr>
      <w:r w:rsidRPr="0059284C">
        <w:t>15.</w:t>
      </w:r>
      <w:r w:rsidRPr="0059284C">
        <w:tab/>
        <w:t>giria Agentūrą už įsipareigojimą mažinti savo poveikį aplinkai, optimizuoti išteklių naudojimą ir mažinti anglies pėdsaką ir už pirmą žingsnį šia linkme – už tai, kad 2022 m. gruodžio 16 d. buvo priimta ir paskelbta jos aplinkos politika;</w:t>
      </w:r>
    </w:p>
    <w:p w:rsidR="0085397D" w:rsidRPr="0059284C" w:rsidRDefault="0085397D" w:rsidP="0085397D">
      <w:pPr>
        <w:pStyle w:val="NormalHanging12a"/>
      </w:pPr>
      <w:r w:rsidRPr="0059284C">
        <w:t>16.</w:t>
      </w:r>
      <w:r w:rsidRPr="0059284C">
        <w:tab/>
        <w:t xml:space="preserve">primena, kad svarbu didinti Agentūros skaitmeninimą vidaus operacijų ir valdymo srityse, taip pat siekiant paspartinti procedūrų skaitmeninimą; pabrėžia, kad Agentūra turi ir toliau proaktyviai veikti šioje srityje, kad būtų išvengta skaitmeninio atotrūkio </w:t>
      </w:r>
      <w:r w:rsidRPr="0059284C">
        <w:lastRenderedPageBreak/>
        <w:t>tarp agentūrų; vis dėlto atkreipia dėmesį į tai, kad reikia imtis visų būtinų saugumo priemonių, kad būtų išvengta bet kokio pavojaus tvarkomos informacijos saugumui internete; primygtinai atkreipia dėmesį į būtinybę sustiprinti kovą su kibernetiniais išpuoliais ar bandymais įsiskverbti, visų pirma iš Rusijos ar Kinijos;</w:t>
      </w:r>
    </w:p>
    <w:p w:rsidR="0085397D" w:rsidRPr="0059284C" w:rsidRDefault="0085397D" w:rsidP="0085397D">
      <w:pPr>
        <w:pStyle w:val="NormalHanging12a"/>
      </w:pPr>
      <w:r w:rsidRPr="0059284C">
        <w:t>17.</w:t>
      </w:r>
      <w:r w:rsidRPr="0059284C">
        <w:tab/>
        <w:t>ragina Agentūrą toliau nustatyti ir skatinti Sąjungos kosmoso programos komponentų ir IRIS</w:t>
      </w:r>
      <w:r w:rsidRPr="0059284C">
        <w:rPr>
          <w:vertAlign w:val="superscript"/>
        </w:rPr>
        <w:t>2</w:t>
      </w:r>
      <w:r w:rsidRPr="0059284C">
        <w:t xml:space="preserve"> sinergišką naudojimą, be kita ko, įgyvendinant Sąjungos kosmoso strategiją saugumo ir gynybos srityje, siekiant užtikrinti, kad visas užduotis būtų galima ilguoju laikotarpiu sujungti į vieną bendrą kosmoso programą, taip užtikrinant didesnę įvairių komponentų sinergiją;</w:t>
      </w:r>
    </w:p>
    <w:p w:rsidR="0085397D" w:rsidRPr="0059284C" w:rsidRDefault="0085397D" w:rsidP="0085397D">
      <w:pPr>
        <w:pStyle w:val="NormalHanging12a"/>
      </w:pPr>
      <w:r w:rsidRPr="0059284C">
        <w:t>18.</w:t>
      </w:r>
      <w:r w:rsidRPr="0059284C">
        <w:tab/>
        <w:t>ragina Agentūrą tęsti savo darbą bendradarbiaujant su Komisija GOVSATCOM centrų srityje ir laukia sinergijos, kuri bus sukurta su IRIS</w:t>
      </w:r>
      <w:r w:rsidRPr="0059284C">
        <w:rPr>
          <w:vertAlign w:val="superscript"/>
        </w:rPr>
        <w:t>2</w:t>
      </w:r>
      <w:r w:rsidRPr="0059284C">
        <w:t xml:space="preserve"> sistema; pabrėžia EUSPA vaidmenį kuriant, diegiant ir naudojant IRIS</w:t>
      </w:r>
      <w:r w:rsidRPr="0059284C">
        <w:rPr>
          <w:vertAlign w:val="superscript"/>
        </w:rPr>
        <w:t>2</w:t>
      </w:r>
      <w:r w:rsidRPr="0059284C">
        <w:t>, užtikrinant prieigą prie itin saugių, nepriklausomų ir pasaulinių junglumo paslaugų, grindžiamų pažangiomis šifravimo technologijomis;</w:t>
      </w:r>
    </w:p>
    <w:p w:rsidR="0085397D" w:rsidRPr="0059284C" w:rsidRDefault="0085397D" w:rsidP="0085397D">
      <w:pPr>
        <w:pStyle w:val="NormalHanging12a"/>
      </w:pPr>
      <w:r w:rsidRPr="0059284C">
        <w:t>19.</w:t>
      </w:r>
      <w:r w:rsidRPr="0059284C">
        <w:tab/>
        <w:t>pabrėžia Agentūros vaidmenį plėtojant programą „Copernicus“, visų pirma kalbant apie Žemės stebėjimo naudojimą valdžios sektoriuje, turint omenyje geopolitinę padėtį, ir primena, kad šiuo atžvilgiu reikia pasinaudoti Agentūros ekspertinėmis žiniomis saugumo akreditavimo, stebėsenos ir sutarčių įgyvendinimo srityse, kad būtų sustiprinti Sąjungos veiklos pajėgumai veikti visais nelaimių rizikos valdymo etapais, tiek gaivalinių, tiek žmogaus sukeltų nelaimių atvejais;</w:t>
      </w:r>
    </w:p>
    <w:p w:rsidR="0085397D" w:rsidRPr="0059284C" w:rsidRDefault="0085397D" w:rsidP="0085397D">
      <w:pPr>
        <w:pStyle w:val="Normal12Hanging"/>
        <w:rPr>
          <w:b/>
          <w:i/>
          <w:szCs w:val="24"/>
        </w:rPr>
      </w:pPr>
      <w:r w:rsidRPr="0059284C">
        <w:rPr>
          <w:b/>
          <w:i/>
        </w:rPr>
        <w:t>Personalo politika</w:t>
      </w:r>
    </w:p>
    <w:p w:rsidR="0085397D" w:rsidRPr="0059284C" w:rsidRDefault="0085397D" w:rsidP="0085397D">
      <w:pPr>
        <w:pStyle w:val="Normal12Hanging"/>
        <w:rPr>
          <w:szCs w:val="24"/>
        </w:rPr>
      </w:pPr>
      <w:r w:rsidRPr="0059284C">
        <w:t>20.</w:t>
      </w:r>
      <w:r w:rsidRPr="0059284C">
        <w:tab/>
        <w:t>giria Agentūrą už tai, kad 2022 m. gruodžio 31 d. etatų planas buvo įgyvendintas 100 proc.: iš 231 laikinojo darbuotojo, kurio etatas patvirtintas pagal Sąjungos biudžetą (palyginti su 2021 m. patvirtintu 191 etatu), buvo paskirtas 231 laikinasis darbuotojas; be to, pažymi, kad 2022 m. Agentūroje dirbo 46 sutartininkai ir 9 deleguotieji nacionaliniai ekspertai, taigi bendras darbuotojų skaičius siekė 286;</w:t>
      </w:r>
    </w:p>
    <w:p w:rsidR="0085397D" w:rsidRPr="0059284C" w:rsidRDefault="0085397D" w:rsidP="0085397D">
      <w:pPr>
        <w:pStyle w:val="Normal12Hanging"/>
        <w:rPr>
          <w:szCs w:val="24"/>
        </w:rPr>
      </w:pPr>
      <w:r w:rsidRPr="0059284C">
        <w:t>21.</w:t>
      </w:r>
      <w:r w:rsidRPr="0059284C">
        <w:tab/>
        <w:t>susirūpinęs atkreipia dėmesį į lyčių pusiausvyros trūkumą tarp Agentūros vyresniųjų ir vidurinės grandies vadovų, nes 3 iš 3 vadovų yra vyrai; apgailestauja dėl lyčių disbalanso Agentūros administracinėje valdyboje, kurioje iš 28 narių 22 yra vyrai; be to, atkreipia dėmesį į viso Agentūros personalo lyčių pusiausvyrą – iš 232 darbuotojų 153 yra vyrai; remdamasis Agentūros ataskaita dėl tolesnių priemonių, kurių imtasi atsižvelgiant į Agentūros 2021 finansinių metų biudžeto įvykdymo patvirtinimą (toliau – Agentūros tolesnių veiksmų ataskaita), pažymi, kad 2023 m. Agentūra priėmė įvairovės ir įtraukties strategiją kartu su veiksmų planu, įskaitant konkrečias priemones, kaip prisidėti prie įvairovės ir įtraukties, be kita ko, atsižvelgiant į lyčių aspektą; pažymi, kad reikia pagerinti lyčių pusiausvyrą tarp Agentūros vyresniųjų ir vidurinės grandies vadovų ir administracinėje valdyboje; primena, kad svarbu užtikrinti lyčių pusiausvyrą, ir ragina Agentūrą atsižvelgti į šį aspektą ateityje įdarbinant ir skiriant darbuotojus, ypač vyresniuosius ir vidurinės grandies vadovus; primygtinai ragina Komisiją ir valstybes nares atsižvelgti į tai, kad skiriant administracinės valdybos narius svarbu užtikrinti lyčių pusiausvyrą;</w:t>
      </w:r>
    </w:p>
    <w:p w:rsidR="0085397D" w:rsidRPr="0059284C" w:rsidRDefault="0085397D" w:rsidP="0085397D">
      <w:pPr>
        <w:pStyle w:val="NormalHanging12a"/>
      </w:pPr>
      <w:r w:rsidRPr="0059284C">
        <w:t>22.</w:t>
      </w:r>
      <w:r w:rsidRPr="0059284C">
        <w:tab/>
        <w:t xml:space="preserve">pažymi, kad Agentūra vykdo asmens orumo apsaugos ir psichologinio bei seksualinio priekabiavimo prevencijos politiką ir priklauso konfidencialių patarėjų tarpžinybinei darbo grupei; laukia jų ataskaitos ir rekomendacijų; pažymi, kad 2022 m. nebuvo pranešta apie jokius priekabiavimo atvejus, ir ragina Agentūrą toliau tęsti aktyvų darbą, </w:t>
      </w:r>
      <w:r w:rsidRPr="0059284C">
        <w:lastRenderedPageBreak/>
        <w:t>kad priekabiavimo atvejų nepasitaikytų ir ateityje;</w:t>
      </w:r>
    </w:p>
    <w:p w:rsidR="0085397D" w:rsidRPr="0059284C" w:rsidRDefault="0085397D" w:rsidP="0085397D">
      <w:pPr>
        <w:pStyle w:val="Normal12Hanging"/>
        <w:rPr>
          <w:szCs w:val="24"/>
        </w:rPr>
      </w:pPr>
      <w:r w:rsidRPr="0059284C">
        <w:t>23.</w:t>
      </w:r>
      <w:r w:rsidRPr="0059284C">
        <w:tab/>
        <w:t>primena Audito Rūmų 2021 m. pastabą dėl dviejose tikrintose įdarbinimo procedūrose nustatytų procedūrinių trūkumų ir pažymi, kad Agentūra įgyvendino tolesnius savo atrankos procesų pakeitimus ir kad buvo pakeisti atrankos komisijos nariams pateikti šablonai ir instrukcijos, taip pat atrankos komisijos nariams pateikiama daugiau gairių nustatant pranešimo apie laisvą darbo vietą kriterijus; taip pat pažymi, kad Audito Rūmai nustatė, jog šie patobulinimai yra patenkinami, todėl pastaba baigta nagrinėti;</w:t>
      </w:r>
    </w:p>
    <w:p w:rsidR="0085397D" w:rsidRPr="0059284C" w:rsidRDefault="0085397D" w:rsidP="0085397D">
      <w:pPr>
        <w:pStyle w:val="Normal12Hanging"/>
        <w:rPr>
          <w:szCs w:val="24"/>
        </w:rPr>
      </w:pPr>
      <w:r w:rsidRPr="0059284C">
        <w:t>24.</w:t>
      </w:r>
      <w:r w:rsidRPr="0059284C">
        <w:tab/>
        <w:t>primena, kad Agentūra toliau įgyvendina laipsnišką ir progresyvų bendro sutartininkų etatų skaičiaus mažinimą, kad jis atitiktų bendrus Agentūrai skiriamus išteklius; taip pat pažymi, kad Agentūra ir toliau likusias savo sutartininkų pareigybes daugiausia naudoja saugumo ir GALILEO saugumo stebėsenos centro (GSMC) veiklos funkcijoms; atsižvelgdamas į tai, pabrėžia, kad Agentūra ir toliau pažymi, jog esama rizikos, susijusios su sutartininkų etatų mažinimu, ir kad tam iš tiesų reikia papildomų užsakomųjų paslaugų, o dėl to padidėja finansinės išlaidos ir plėtojama kompetencija bei praktinė patirtis už viešojo sektoriaus ribų;</w:t>
      </w:r>
    </w:p>
    <w:p w:rsidR="0085397D" w:rsidRPr="0059284C" w:rsidRDefault="0085397D" w:rsidP="0085397D">
      <w:pPr>
        <w:pStyle w:val="Normal12Hanging"/>
        <w:rPr>
          <w:szCs w:val="24"/>
        </w:rPr>
      </w:pPr>
      <w:r w:rsidRPr="0059284C">
        <w:t>25.</w:t>
      </w:r>
      <w:r w:rsidRPr="0059284C">
        <w:tab/>
        <w:t>remdamasis Audito Rūmų ataskaita primena 2021 m. pastabą dėl apribojimų, kuriuos Agentūra nustatė vyresniajam darbuotojui, pradedančiam dirbti naują darbą kitur, tačiau šių apribojimų nepagrindė; taip pat pažymi, kad ši pastaba užbaigta, Agentūra peržiūrėjo savo procedūras, kad pašalintų nustatytus trūkumus, ir 2022 m. panašių atvejų nebuvo pastebėta;</w:t>
      </w:r>
    </w:p>
    <w:p w:rsidR="0085397D" w:rsidRPr="0059284C" w:rsidRDefault="0085397D" w:rsidP="0085397D">
      <w:pPr>
        <w:pStyle w:val="Normal12Hanging"/>
        <w:rPr>
          <w:szCs w:val="24"/>
        </w:rPr>
      </w:pPr>
      <w:r w:rsidRPr="0059284C">
        <w:t>26.</w:t>
      </w:r>
      <w:r w:rsidRPr="0059284C">
        <w:tab/>
        <w:t>palankiai vertina tai, kad 2022 m. Agentūra visapusiškai atsižvelgė į laiko valdymo modulį, įskaitant nuotolinį darbą ir lankstų darbo laiką, ir pasirašė papildomą paslaugų lygio susitarimą dėl žmogiškųjų išteklių ataskaitų teikimo ir analizės modulio, kuris turi būti įdiegtas 2023 m.; pažymi, kad Agentūra priėmė Komisijos sprendimą dėl darbo la</w:t>
      </w:r>
      <w:r w:rsidR="00FD32A7">
        <w:t>iko ir hibridinio darbo C(2022)</w:t>
      </w:r>
      <w:r w:rsidRPr="0059284C">
        <w:t>1778 ir atidžiai stebi šio sprendimo rezultatus, nes tikimasi, kad tai padidins darbuotojų gerovę darbe ir sudarys palankesnes sąlygas profesinio ir asmeninio gyvenimo pusiausvyrai;</w:t>
      </w:r>
    </w:p>
    <w:p w:rsidR="0085397D" w:rsidRPr="0059284C" w:rsidRDefault="0085397D" w:rsidP="0085397D">
      <w:pPr>
        <w:pStyle w:val="Normal12Hanging"/>
        <w:rPr>
          <w:szCs w:val="24"/>
        </w:rPr>
      </w:pPr>
      <w:r w:rsidRPr="0059284C">
        <w:rPr>
          <w:b/>
          <w:i/>
        </w:rPr>
        <w:t>Viešieji pirkimai</w:t>
      </w:r>
    </w:p>
    <w:p w:rsidR="0085397D" w:rsidRPr="0059284C" w:rsidRDefault="0085397D" w:rsidP="0085397D">
      <w:pPr>
        <w:pStyle w:val="Normal12Hanging"/>
        <w:rPr>
          <w:szCs w:val="24"/>
        </w:rPr>
      </w:pPr>
      <w:r w:rsidRPr="0059284C">
        <w:t>27.</w:t>
      </w:r>
      <w:r w:rsidRPr="0059284C">
        <w:tab/>
        <w:t xml:space="preserve">remdamasis Audito Rūmų ataskaita pažymi, kad 2021 m. rugsėjo mėn. Agentūra pradėjo derybas be išankstinio skelbimo apie pirkimą su nacionaliniu viešuoju subjektu dėl įvairių paslaugų, susijusių su paieškos ir gelbėjimo veikla, teikimo; pabrėžia, kad konkurso dalyvis jau teikė panašias paslaugas Agentūrai nuo 2016 m. ir Agentūra ketino sudaryti naują preliminariąją sutartį, kurios galiojimo pabaigos data yra 2032 m. gruodžio 31 d., o didžiausias biudžetas – 120 mln. EUR; pažymi, kad galutinė preliminarioji sutartis buvo pasirašyta 2022 m. gruodžio 1 d., kurią sudarant dalyvavo keli subrangovai; atkreipia dėmesį į Audito Rūmų pastabą, kad buvo tam tikrų neatitikimų tarp konkurso specifikacijų reikalavimų ir vertinimo komisijos vertinimo; pažymi, kad, pavyzdžiui, vertinimo etape buvo arba netaikomas reikalavimas rangovams deklaruoti, kad nėra interesų konflikto, arba tokia deklaracija nebuvo tinkamai išnagrinėta; kitas pavyzdys – gautas pasiūlymas, kuriame, užuot naudojus 2021 m. kaip bazinius metus kainoms nustatyti, kaip nurodyta techninėse specifikacijose, kaip ataskaitiniai metai buvo naudojami 2022 m.; atkreipia dėmesį į Agentūros argumentus, kad neatitikimai buvo pagrįsti pagrindinio rangovo, kuris yra nacionalinis viešasis subjektas, statusu ir pastarojo atliktais patikrinimais ir kad, kalbant apie ataskaitinius metus, kuriais remiantis buvo nustatyta pasiūlyme nurodyta kaina, </w:t>
      </w:r>
      <w:r w:rsidRPr="0059284C">
        <w:lastRenderedPageBreak/>
        <w:t>Agentūra sutiko su nuokrypiu atsižvelgdama į procedūros, po kurios sutartis buvo sudaryta 2022 m. pabaigoje, trukmę;</w:t>
      </w:r>
    </w:p>
    <w:p w:rsidR="0085397D" w:rsidRPr="0059284C" w:rsidRDefault="0085397D" w:rsidP="0085397D">
      <w:pPr>
        <w:pStyle w:val="Normal12Hanging"/>
        <w:rPr>
          <w:szCs w:val="24"/>
        </w:rPr>
      </w:pPr>
      <w:r w:rsidRPr="0059284C">
        <w:t>28.</w:t>
      </w:r>
      <w:r w:rsidRPr="0059284C">
        <w:tab/>
        <w:t>pabrėžia, kad viešųjų pirkimų taisyklių tikslas – sudaryti sąlygas perkantiesiems subjektams įsigyti reikalingų prekių ir paslaugų už geriausią kainą, kartu užtikrinant sąžiningą konkurso dalyvių konkurenciją ir skaidrumo, proporcingumo, vienodo požiūrio bei nediskriminavimo principų laikymąsi; ragina Agentūrą toliau gerinti savo viešųjų pirkimų procedūras, užtikrinant, kad būtų visapusiškai laikomasi taikytinų taisyklių, kad būtų pasiektas ekonomiškai efektyviausias lėšų panaudojimas;</w:t>
      </w:r>
    </w:p>
    <w:p w:rsidR="0085397D" w:rsidRPr="0059284C" w:rsidRDefault="0085397D" w:rsidP="0085397D">
      <w:pPr>
        <w:pStyle w:val="Normal12Hanging"/>
        <w:rPr>
          <w:b/>
          <w:i/>
          <w:szCs w:val="24"/>
        </w:rPr>
      </w:pPr>
      <w:r w:rsidRPr="0059284C">
        <w:rPr>
          <w:b/>
          <w:i/>
        </w:rPr>
        <w:t>Interesų konfliktų prevencija ir valdymas, taip pat skaidrumas</w:t>
      </w:r>
    </w:p>
    <w:p w:rsidR="0085397D" w:rsidRPr="0059284C" w:rsidRDefault="0085397D" w:rsidP="0085397D">
      <w:pPr>
        <w:pStyle w:val="Normal12Hanging"/>
        <w:rPr>
          <w:szCs w:val="24"/>
        </w:rPr>
      </w:pPr>
      <w:r w:rsidRPr="0059284C">
        <w:t>29.</w:t>
      </w:r>
      <w:r w:rsidRPr="0059284C">
        <w:tab/>
        <w:t>pažymi, kad 2020 m. Agentūra atliko išsamų savo kovos su sukčiavimu strategijos įgyvendinimo vertinimą ir po to 2022 m. Agentūra paskelbė savo naują kovos su sukčiavimu strategiją, kurią patvirtino Agentūros administracinė valdyba; pažymi, kad Agentūra šiuo metu pradeda ją įgyvendinti taikydama svarbias ir plataus masto priemones, visų pirma susijusias su jos darbuotojais; džiaugdamasis pažymi, kad Agentūros interneto svetainėje skelbiamos administracinės valdybos narių ir vyresniųjų vadovų interesų deklaracijos bei gyvenimo aprašymai;</w:t>
      </w:r>
    </w:p>
    <w:p w:rsidR="0085397D" w:rsidRPr="0059284C" w:rsidRDefault="0085397D" w:rsidP="0085397D">
      <w:pPr>
        <w:pStyle w:val="Normal12Hanging"/>
      </w:pPr>
      <w:r w:rsidRPr="0059284C">
        <w:t>30.</w:t>
      </w:r>
      <w:r w:rsidRPr="0059284C">
        <w:tab/>
        <w:t>pažymi, kad 2022 m. Agentūra turėjo vieną informavimo apie pažeidimus atvejį, dėl kurio buvo atlikti keli tyrimai, iš kurių kai kurie vis dar vykdomi 2023 m.; ragina Agentūrą pranešti biudžeto įvykdymą tvirtinančiai institucijai apie pokyčius šioje srityje; remdamasis 2021 m. Agentūros tolesnių veiksmų ataskaita pažymi, kad, kalbant apie 2021 m. informavimo apie pažeidimus atvejį, Agentūra, kaip reikalaujama, bendradarbiavo su OLAF ir, kaip reikalaujama, pateikė visą turimą informaciją; pažymi, kad 2022 m. nebuvo nagrinėjamas ar baigtas nagrinėti joks interesų konflikto atvejis;</w:t>
      </w:r>
    </w:p>
    <w:p w:rsidR="0085397D" w:rsidRPr="0059284C" w:rsidRDefault="0085397D" w:rsidP="0085397D">
      <w:pPr>
        <w:pStyle w:val="Normal12Hanging"/>
      </w:pPr>
      <w:r w:rsidRPr="0059284C">
        <w:t>31.</w:t>
      </w:r>
      <w:r w:rsidRPr="0059284C">
        <w:tab/>
        <w:t>atkreipia dėmesį į tai, kad vedamas vyresniosios vadovybės posėdžių su pramonės atstovais vidaus registras, tačiau jis neskelbiamas Agentūros interneto svetainėje; pabrėžia skaidrumo svarbą ir ragina Agentūrą nedelsiant šią informaciją paskelbti;</w:t>
      </w:r>
    </w:p>
    <w:p w:rsidR="0085397D" w:rsidRPr="0059284C" w:rsidRDefault="0085397D" w:rsidP="0085397D">
      <w:pPr>
        <w:pStyle w:val="Normal12Hanging"/>
        <w:rPr>
          <w:szCs w:val="24"/>
        </w:rPr>
      </w:pPr>
      <w:r w:rsidRPr="0059284C">
        <w:t>32.</w:t>
      </w:r>
      <w:r w:rsidRPr="0059284C">
        <w:tab/>
        <w:t>primygtinai pabrėžia, kad reikia toliau dirbti skaidrumo, nesuderinamumo, interesų konfliktų, neteisėtos lobistinės veiklos ir „sukamųjų durų“ reiškinio srityse;</w:t>
      </w:r>
    </w:p>
    <w:p w:rsidR="0085397D" w:rsidRPr="0059284C" w:rsidRDefault="0085397D" w:rsidP="0085397D">
      <w:pPr>
        <w:pStyle w:val="NormalHanging12a"/>
      </w:pPr>
      <w:r w:rsidRPr="0059284C">
        <w:t>33.</w:t>
      </w:r>
      <w:r w:rsidRPr="0059284C">
        <w:tab/>
        <w:t>primena, kad Agentūrai svarbu didinti matomumą žiniasklaidoje, internete ir socialinėje žiniasklaidoje, siekiant su savo darbu supažindinti visuomenę;</w:t>
      </w:r>
    </w:p>
    <w:p w:rsidR="0085397D" w:rsidRPr="0059284C" w:rsidRDefault="0085397D" w:rsidP="0085397D">
      <w:pPr>
        <w:pStyle w:val="Normal12Hanging"/>
        <w:rPr>
          <w:szCs w:val="24"/>
        </w:rPr>
      </w:pPr>
      <w:r w:rsidRPr="0059284C">
        <w:rPr>
          <w:b/>
          <w:i/>
        </w:rPr>
        <w:t>Kitos pastabos</w:t>
      </w:r>
    </w:p>
    <w:p w:rsidR="0085397D" w:rsidRPr="0059284C" w:rsidRDefault="0085397D" w:rsidP="0085397D">
      <w:pPr>
        <w:pStyle w:val="NormalCenter12a"/>
        <w:ind w:left="567" w:hanging="567"/>
        <w:jc w:val="left"/>
        <w:rPr>
          <w:szCs w:val="24"/>
        </w:rPr>
      </w:pPr>
      <w:r w:rsidRPr="0059284C">
        <w:t>34.</w:t>
      </w:r>
      <w:r w:rsidRPr="0059284C">
        <w:tab/>
        <w:t>giria Agentūrą už tai, kad ji ir toliau aktyviai veikia didžiausiose socialinės žiniasklaidos platformose, susikūrė paskyras privatumą užtikrinančiuose Sąjungos socialinės žiniasklaidos kanaluose „Mastodon“ ir „Peertube“, savo interneto svetainėje paskelbė 107 naujienų istorijas ir 13 pranešimų spaudai (dauguma paskelbta visomis oficialiosiomis ES kalbomis), kuriais siekiama pasiekti visas valstybes nares; taip pat pažymi, kad Agentūra organizavo tokius renginius kaip ES kosmoso savaitė (3 tūkst. lankytojų vietoje ir internetu), EUSPA atvirų durų dienos, CASSINI hakatonai, programos „Europos horizontas“ informacinės sesijos ir daugybė internetinių seminarų viešųjų pirkimų galimybių klausimais;</w:t>
      </w:r>
    </w:p>
    <w:p w:rsidR="0085397D" w:rsidRPr="0059284C" w:rsidRDefault="0085397D" w:rsidP="0085397D">
      <w:pPr>
        <w:pStyle w:val="NormalCenter12a"/>
      </w:pPr>
      <w:r w:rsidRPr="0059284C">
        <w:t>°</w:t>
      </w:r>
    </w:p>
    <w:p w:rsidR="0085397D" w:rsidRPr="0059284C" w:rsidRDefault="0085397D" w:rsidP="0085397D">
      <w:pPr>
        <w:pStyle w:val="NormalCenter12a"/>
      </w:pPr>
      <w:r w:rsidRPr="0059284C">
        <w:lastRenderedPageBreak/>
        <w:t>°</w:t>
      </w:r>
      <w:r w:rsidRPr="0059284C">
        <w:tab/>
        <w:t>°</w:t>
      </w:r>
    </w:p>
    <w:p w:rsidR="0085397D" w:rsidRPr="0059284C" w:rsidRDefault="0085397D" w:rsidP="00FE1DDB">
      <w:pPr>
        <w:ind w:left="567" w:hanging="567"/>
      </w:pPr>
      <w:r w:rsidRPr="0059284C">
        <w:t>35.</w:t>
      </w:r>
      <w:r w:rsidRPr="0059284C">
        <w:tab/>
        <w:t xml:space="preserve">pažymi, kad kitos su sprendimu dėl biudžeto įvykdymo patvirtinimo susijusios pastabos, kurios yra horizontaliojo pobūdžio, pateikiamos jo </w:t>
      </w:r>
      <w:r w:rsidR="00392DBF" w:rsidRPr="0059284C">
        <w:t>2024 m. balandžio 11 d.</w:t>
      </w:r>
      <w:r w:rsidRPr="0059284C">
        <w:t xml:space="preserve"> rezoliucijoje</w:t>
      </w:r>
      <w:r w:rsidRPr="0059284C">
        <w:rPr>
          <w:rStyle w:val="FootnoteReference"/>
        </w:rPr>
        <w:footnoteReference w:id="12"/>
      </w:r>
      <w:r w:rsidRPr="0059284C">
        <w:t xml:space="preserve"> dėl agentūrų veiklos, finansų valdymo ir kontrolės.</w:t>
      </w:r>
    </w:p>
    <w:p w:rsidR="00E365E1" w:rsidRPr="0059284C" w:rsidRDefault="00E365E1" w:rsidP="00CF3458">
      <w:bookmarkStart w:id="11" w:name="TextBodyEnd"/>
      <w:bookmarkEnd w:id="11"/>
    </w:p>
    <w:sectPr w:rsidR="00E365E1" w:rsidRPr="0059284C" w:rsidSect="00A73C7E">
      <w:headerReference w:type="even" r:id="rId15"/>
      <w:headerReference w:type="default" r:id="rId16"/>
      <w:footerReference w:type="even" r:id="rId17"/>
      <w:footerReference w:type="default" r:id="rId18"/>
      <w:headerReference w:type="first" r:id="rId19"/>
      <w:footerReference w:type="first" r:id="rId20"/>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F3458" w:rsidRPr="00A73C7E" w:rsidRDefault="00CF3458">
      <w:r w:rsidRPr="00A73C7E">
        <w:separator/>
      </w:r>
    </w:p>
  </w:endnote>
  <w:endnote w:type="continuationSeparator" w:id="0">
    <w:p w:rsidR="00CF3458" w:rsidRPr="00A73C7E" w:rsidRDefault="00CF3458">
      <w:r w:rsidRPr="00A73C7E">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5397D" w:rsidRPr="00A73C7E" w:rsidRDefault="0085397D" w:rsidP="00EB6516">
    <w:pPr>
      <w:pStyle w:val="EPFooter"/>
    </w:pPr>
    <w:r w:rsidRPr="00A73C7E">
      <w:t>PE</w:t>
    </w:r>
    <w:r w:rsidRPr="00A73C7E">
      <w:rPr>
        <w:rStyle w:val="HideTWBExt"/>
      </w:rPr>
      <w:t>&lt;NoPE&gt;</w:t>
    </w:r>
    <w:r w:rsidRPr="00A73C7E">
      <w:t>753.541</w:t>
    </w:r>
    <w:r w:rsidRPr="00A73C7E">
      <w:rPr>
        <w:rStyle w:val="HideTWBExt"/>
      </w:rPr>
      <w:t>&lt;/NoPE&gt;&lt;Version&gt;</w:t>
    </w:r>
    <w:r w:rsidRPr="00A73C7E">
      <w:t>v03-00</w:t>
    </w:r>
    <w:r w:rsidRPr="00A73C7E">
      <w:rPr>
        <w:rStyle w:val="HideTWBExt"/>
      </w:rPr>
      <w:t>&lt;/Version&gt;</w:t>
    </w:r>
    <w:r w:rsidRPr="00A73C7E">
      <w:tab/>
    </w:r>
    <w:r w:rsidRPr="00A73C7E">
      <w:fldChar w:fldCharType="begin"/>
    </w:r>
    <w:r w:rsidRPr="00A73C7E">
      <w:instrText xml:space="preserve"> PAGE  \* MERGEFORMAT </w:instrText>
    </w:r>
    <w:r w:rsidRPr="00A73C7E">
      <w:fldChar w:fldCharType="separate"/>
    </w:r>
    <w:r w:rsidR="00A73C7E" w:rsidRPr="00A73C7E">
      <w:rPr>
        <w:noProof/>
      </w:rPr>
      <w:t>4</w:t>
    </w:r>
    <w:r w:rsidRPr="00A73C7E">
      <w:fldChar w:fldCharType="end"/>
    </w:r>
    <w:r w:rsidRPr="00A73C7E">
      <w:t>/</w:t>
    </w:r>
    <w:fldSimple w:instr=" NUMPAGES  \* MERGEFORMAT ">
      <w:r w:rsidR="00A73C7E" w:rsidRPr="00A73C7E">
        <w:rPr>
          <w:noProof/>
        </w:rPr>
        <w:t>6</w:t>
      </w:r>
    </w:fldSimple>
    <w:r w:rsidRPr="00A73C7E">
      <w:tab/>
    </w:r>
    <w:r w:rsidRPr="00A73C7E">
      <w:rPr>
        <w:rStyle w:val="HideTWBExt"/>
      </w:rPr>
      <w:t>&lt;PathFdR&gt;</w:t>
    </w:r>
    <w:r w:rsidRPr="00A73C7E">
      <w:t>RR\1299048LT.docx</w:t>
    </w:r>
    <w:r w:rsidRPr="00A73C7E">
      <w:rPr>
        <w:rStyle w:val="HideTWBExt"/>
      </w:rPr>
      <w:t>&lt;/PathFdR&gt;</w:t>
    </w:r>
  </w:p>
  <w:p w:rsidR="0085397D" w:rsidRPr="00A73C7E" w:rsidRDefault="0085397D" w:rsidP="00EB6516">
    <w:pPr>
      <w:pStyle w:val="EPFooter2"/>
    </w:pPr>
    <w:r w:rsidRPr="00A73C7E">
      <w:t>LT</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5397D" w:rsidRPr="00A73C7E" w:rsidRDefault="0085397D" w:rsidP="00EB6516">
    <w:pPr>
      <w:pStyle w:val="EPFooter2"/>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5397D" w:rsidRPr="00A73C7E" w:rsidRDefault="0085397D" w:rsidP="00EB6516">
    <w:pPr>
      <w:pStyle w:val="EPFooter"/>
    </w:pPr>
    <w:r w:rsidRPr="00A73C7E">
      <w:rPr>
        <w:rStyle w:val="HideTWBExt"/>
      </w:rPr>
      <w:t>&lt;PathFdR&gt;</w:t>
    </w:r>
    <w:r w:rsidRPr="00A73C7E">
      <w:t>RR\1299048LT.docx</w:t>
    </w:r>
    <w:r w:rsidRPr="00A73C7E">
      <w:rPr>
        <w:rStyle w:val="HideTWBExt"/>
      </w:rPr>
      <w:t>&lt;/PathFdR&gt;</w:t>
    </w:r>
    <w:r w:rsidRPr="00A73C7E">
      <w:tab/>
    </w:r>
    <w:r w:rsidRPr="00A73C7E">
      <w:tab/>
      <w:t>PE</w:t>
    </w:r>
    <w:r w:rsidRPr="00A73C7E">
      <w:rPr>
        <w:rStyle w:val="HideTWBExt"/>
      </w:rPr>
      <w:t>&lt;NoPE&gt;</w:t>
    </w:r>
    <w:r w:rsidRPr="00A73C7E">
      <w:t>753.541</w:t>
    </w:r>
    <w:r w:rsidRPr="00A73C7E">
      <w:rPr>
        <w:rStyle w:val="HideTWBExt"/>
      </w:rPr>
      <w:t>&lt;/NoPE&gt;&lt;Version&gt;</w:t>
    </w:r>
    <w:r w:rsidRPr="00A73C7E">
      <w:t>v03-00</w:t>
    </w:r>
    <w:r w:rsidRPr="00A73C7E">
      <w:rPr>
        <w:rStyle w:val="HideTWBExt"/>
      </w:rPr>
      <w:t>&lt;/Version&gt;</w:t>
    </w:r>
  </w:p>
  <w:p w:rsidR="0085397D" w:rsidRPr="00A73C7E" w:rsidRDefault="0085397D" w:rsidP="00EB6516">
    <w:pPr>
      <w:pStyle w:val="EPFooter2"/>
    </w:pPr>
    <w:r w:rsidRPr="00A73C7E">
      <w:t>LT</w:t>
    </w:r>
    <w:r w:rsidRPr="00A73C7E">
      <w:tab/>
    </w:r>
    <w:r w:rsidRPr="00A73C7E">
      <w:rPr>
        <w:b w:val="0"/>
        <w:i/>
        <w:color w:val="C0C0C0"/>
        <w:sz w:val="22"/>
      </w:rPr>
      <w:t>Suvienijusi įvairovę</w:t>
    </w:r>
    <w:r w:rsidRPr="00A73C7E">
      <w:tab/>
      <w:t>LT</w:t>
    </w: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A73C7E" w:rsidRDefault="00064002"/>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A73C7E" w:rsidRDefault="00064002"/>
</w:ftr>
</file>

<file path=word/footer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A73C7E"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F3458" w:rsidRPr="00A73C7E" w:rsidRDefault="00CF3458">
      <w:r w:rsidRPr="00A73C7E">
        <w:separator/>
      </w:r>
    </w:p>
  </w:footnote>
  <w:footnote w:type="continuationSeparator" w:id="0">
    <w:p w:rsidR="00CF3458" w:rsidRPr="00A73C7E" w:rsidRDefault="00CF3458">
      <w:r w:rsidRPr="00A73C7E">
        <w:continuationSeparator/>
      </w:r>
    </w:p>
  </w:footnote>
  <w:footnote w:id="1">
    <w:p w:rsidR="0085397D" w:rsidRPr="00A73C7E" w:rsidRDefault="0085397D" w:rsidP="00A73C7E">
      <w:pPr>
        <w:pStyle w:val="FootnoteText"/>
        <w:ind w:left="567" w:hanging="567"/>
        <w:rPr>
          <w:sz w:val="24"/>
          <w:lang w:val="lt-LT"/>
        </w:rPr>
      </w:pPr>
      <w:r w:rsidRPr="00A73C7E">
        <w:rPr>
          <w:rStyle w:val="FootnoteReference"/>
          <w:sz w:val="24"/>
          <w:lang w:val="lt-LT"/>
        </w:rPr>
        <w:footnoteRef/>
      </w:r>
      <w:r w:rsidR="00A73C7E" w:rsidRPr="00A73C7E">
        <w:rPr>
          <w:sz w:val="24"/>
          <w:lang w:val="lt-LT"/>
        </w:rPr>
        <w:t xml:space="preserve"> </w:t>
      </w:r>
      <w:r w:rsidR="00A73C7E" w:rsidRPr="00A73C7E">
        <w:rPr>
          <w:sz w:val="24"/>
          <w:lang w:val="lt-LT"/>
        </w:rPr>
        <w:tab/>
      </w:r>
      <w:r w:rsidRPr="00A73C7E">
        <w:rPr>
          <w:sz w:val="24"/>
          <w:lang w:val="lt-LT"/>
        </w:rPr>
        <w:t>OL C, C/2023/594, 2023 10 27.</w:t>
      </w:r>
    </w:p>
  </w:footnote>
  <w:footnote w:id="2">
    <w:p w:rsidR="0085397D" w:rsidRPr="00A73C7E" w:rsidRDefault="0085397D" w:rsidP="00A73C7E">
      <w:pPr>
        <w:pStyle w:val="FootnoteText"/>
        <w:ind w:left="567" w:hanging="567"/>
        <w:rPr>
          <w:sz w:val="24"/>
          <w:lang w:val="lt-LT"/>
        </w:rPr>
      </w:pPr>
      <w:r w:rsidRPr="00A73C7E">
        <w:rPr>
          <w:rStyle w:val="FootnoteReference"/>
          <w:sz w:val="24"/>
          <w:lang w:val="lt-LT"/>
        </w:rPr>
        <w:footnoteRef/>
      </w:r>
      <w:r w:rsidR="00A73C7E" w:rsidRPr="00A73C7E">
        <w:rPr>
          <w:sz w:val="24"/>
          <w:lang w:val="lt-LT"/>
        </w:rPr>
        <w:t xml:space="preserve"> </w:t>
      </w:r>
      <w:r w:rsidR="00A73C7E" w:rsidRPr="00A73C7E">
        <w:rPr>
          <w:sz w:val="24"/>
          <w:lang w:val="lt-LT"/>
        </w:rPr>
        <w:tab/>
      </w:r>
      <w:r w:rsidRPr="00A73C7E">
        <w:rPr>
          <w:sz w:val="24"/>
          <w:lang w:val="lt-LT"/>
        </w:rPr>
        <w:t>OL C, C/2023/112, 2023 10 12.</w:t>
      </w:r>
    </w:p>
  </w:footnote>
  <w:footnote w:id="3">
    <w:p w:rsidR="0085397D" w:rsidRPr="00A73C7E" w:rsidRDefault="0085397D" w:rsidP="00A73C7E">
      <w:pPr>
        <w:pStyle w:val="FootnoteText"/>
        <w:ind w:left="567" w:hanging="567"/>
        <w:rPr>
          <w:sz w:val="24"/>
          <w:lang w:val="lt-LT"/>
        </w:rPr>
      </w:pPr>
      <w:r w:rsidRPr="00A73C7E">
        <w:rPr>
          <w:rStyle w:val="FootnoteReference"/>
          <w:sz w:val="24"/>
          <w:lang w:val="lt-LT"/>
        </w:rPr>
        <w:footnoteRef/>
      </w:r>
      <w:r w:rsidR="00A73C7E" w:rsidRPr="00A73C7E">
        <w:rPr>
          <w:sz w:val="24"/>
          <w:lang w:val="lt-LT"/>
        </w:rPr>
        <w:t xml:space="preserve"> </w:t>
      </w:r>
      <w:r w:rsidR="00A73C7E" w:rsidRPr="00A73C7E">
        <w:rPr>
          <w:sz w:val="24"/>
          <w:lang w:val="lt-LT"/>
        </w:rPr>
        <w:tab/>
      </w:r>
      <w:r w:rsidRPr="00A73C7E">
        <w:rPr>
          <w:sz w:val="24"/>
          <w:lang w:val="lt-LT"/>
        </w:rPr>
        <w:t>OL L 193, 2018 7 30, p. 1.</w:t>
      </w:r>
    </w:p>
  </w:footnote>
  <w:footnote w:id="4">
    <w:p w:rsidR="0085397D" w:rsidRPr="00A73C7E" w:rsidRDefault="0085397D" w:rsidP="00A73C7E">
      <w:pPr>
        <w:pStyle w:val="FootnoteText"/>
        <w:ind w:left="567" w:hanging="567"/>
        <w:rPr>
          <w:sz w:val="24"/>
          <w:lang w:val="lt-LT"/>
        </w:rPr>
      </w:pPr>
      <w:r w:rsidRPr="00A73C7E">
        <w:rPr>
          <w:rStyle w:val="FootnoteReference"/>
          <w:sz w:val="24"/>
          <w:lang w:val="lt-LT"/>
        </w:rPr>
        <w:footnoteRef/>
      </w:r>
      <w:r w:rsidR="00A73C7E" w:rsidRPr="00A73C7E">
        <w:rPr>
          <w:sz w:val="24"/>
          <w:lang w:val="lt-LT"/>
        </w:rPr>
        <w:t xml:space="preserve"> </w:t>
      </w:r>
      <w:r w:rsidR="00A73C7E" w:rsidRPr="00A73C7E">
        <w:rPr>
          <w:sz w:val="24"/>
          <w:lang w:val="lt-LT"/>
        </w:rPr>
        <w:tab/>
      </w:r>
      <w:r w:rsidRPr="00A73C7E">
        <w:rPr>
          <w:sz w:val="24"/>
          <w:lang w:val="lt-LT"/>
        </w:rPr>
        <w:t>OL L 170, 2021 5 12, p. 69.</w:t>
      </w:r>
    </w:p>
  </w:footnote>
  <w:footnote w:id="5">
    <w:p w:rsidR="0085397D" w:rsidRPr="00A73C7E" w:rsidRDefault="0085397D" w:rsidP="00A73C7E">
      <w:pPr>
        <w:pStyle w:val="FootnoteText"/>
        <w:ind w:left="567" w:hanging="567"/>
        <w:rPr>
          <w:sz w:val="24"/>
          <w:szCs w:val="24"/>
          <w:lang w:val="lt-LT"/>
        </w:rPr>
      </w:pPr>
      <w:r w:rsidRPr="00A73C7E">
        <w:rPr>
          <w:rStyle w:val="FootnoteReference"/>
          <w:sz w:val="24"/>
          <w:lang w:val="lt-LT"/>
        </w:rPr>
        <w:footnoteRef/>
      </w:r>
      <w:r w:rsidR="00A73C7E" w:rsidRPr="00A73C7E">
        <w:rPr>
          <w:sz w:val="24"/>
          <w:lang w:val="lt-LT"/>
        </w:rPr>
        <w:t xml:space="preserve"> </w:t>
      </w:r>
      <w:r w:rsidR="00A73C7E" w:rsidRPr="00A73C7E">
        <w:rPr>
          <w:sz w:val="24"/>
          <w:lang w:val="lt-LT"/>
        </w:rPr>
        <w:tab/>
      </w:r>
      <w:r w:rsidRPr="00A73C7E">
        <w:rPr>
          <w:sz w:val="24"/>
          <w:lang w:val="lt-LT"/>
        </w:rPr>
        <w:t>OL L 122, 2019 5 10, p. 1.</w:t>
      </w:r>
    </w:p>
  </w:footnote>
  <w:footnote w:id="6">
    <w:p w:rsidR="0085397D" w:rsidRPr="00A73C7E" w:rsidRDefault="0085397D" w:rsidP="00A73C7E">
      <w:pPr>
        <w:pStyle w:val="FootnoteText"/>
        <w:ind w:left="567" w:hanging="567"/>
        <w:rPr>
          <w:sz w:val="24"/>
          <w:lang w:val="lt-LT"/>
        </w:rPr>
      </w:pPr>
      <w:r w:rsidRPr="00A73C7E">
        <w:rPr>
          <w:rStyle w:val="FootnoteReference"/>
          <w:sz w:val="24"/>
          <w:lang w:val="lt-LT"/>
        </w:rPr>
        <w:footnoteRef/>
      </w:r>
      <w:r w:rsidR="00A73C7E" w:rsidRPr="00A73C7E">
        <w:rPr>
          <w:sz w:val="24"/>
          <w:lang w:val="lt-LT"/>
        </w:rPr>
        <w:t xml:space="preserve"> </w:t>
      </w:r>
      <w:r w:rsidR="00A73C7E" w:rsidRPr="00A73C7E">
        <w:rPr>
          <w:sz w:val="24"/>
          <w:lang w:val="lt-LT"/>
        </w:rPr>
        <w:tab/>
      </w:r>
      <w:r w:rsidRPr="00A73C7E">
        <w:rPr>
          <w:sz w:val="24"/>
          <w:lang w:val="lt-LT"/>
        </w:rPr>
        <w:t>OL C, C/2023/594, 2023 10 27.</w:t>
      </w:r>
    </w:p>
  </w:footnote>
  <w:footnote w:id="7">
    <w:p w:rsidR="0085397D" w:rsidRPr="00A73C7E" w:rsidRDefault="0085397D" w:rsidP="00A73C7E">
      <w:pPr>
        <w:pStyle w:val="FootnoteText"/>
        <w:ind w:left="567" w:hanging="567"/>
        <w:rPr>
          <w:sz w:val="24"/>
          <w:lang w:val="lt-LT"/>
        </w:rPr>
      </w:pPr>
      <w:r w:rsidRPr="00A73C7E">
        <w:rPr>
          <w:rStyle w:val="FootnoteReference"/>
          <w:sz w:val="24"/>
          <w:lang w:val="lt-LT"/>
        </w:rPr>
        <w:footnoteRef/>
      </w:r>
      <w:r w:rsidR="00A73C7E" w:rsidRPr="00A73C7E">
        <w:rPr>
          <w:sz w:val="24"/>
          <w:lang w:val="lt-LT"/>
        </w:rPr>
        <w:t xml:space="preserve"> </w:t>
      </w:r>
      <w:r w:rsidR="00A73C7E" w:rsidRPr="00A73C7E">
        <w:rPr>
          <w:sz w:val="24"/>
          <w:lang w:val="lt-LT"/>
        </w:rPr>
        <w:tab/>
      </w:r>
      <w:r w:rsidRPr="00A73C7E">
        <w:rPr>
          <w:sz w:val="24"/>
          <w:lang w:val="lt-LT"/>
        </w:rPr>
        <w:t>OL C, C/2023/112, 2023 10 12.</w:t>
      </w:r>
    </w:p>
  </w:footnote>
  <w:footnote w:id="8">
    <w:p w:rsidR="0085397D" w:rsidRPr="00A73C7E" w:rsidRDefault="0085397D" w:rsidP="00A73C7E">
      <w:pPr>
        <w:pStyle w:val="FootnoteText"/>
        <w:ind w:left="567" w:hanging="567"/>
        <w:rPr>
          <w:sz w:val="24"/>
          <w:lang w:val="lt-LT"/>
        </w:rPr>
      </w:pPr>
      <w:r w:rsidRPr="00A73C7E">
        <w:rPr>
          <w:rStyle w:val="FootnoteReference"/>
          <w:sz w:val="24"/>
          <w:lang w:val="lt-LT"/>
        </w:rPr>
        <w:footnoteRef/>
      </w:r>
      <w:r w:rsidR="00A73C7E" w:rsidRPr="00A73C7E">
        <w:rPr>
          <w:sz w:val="24"/>
          <w:lang w:val="lt-LT"/>
        </w:rPr>
        <w:t xml:space="preserve"> </w:t>
      </w:r>
      <w:r w:rsidR="00A73C7E" w:rsidRPr="00A73C7E">
        <w:rPr>
          <w:sz w:val="24"/>
          <w:lang w:val="lt-LT"/>
        </w:rPr>
        <w:tab/>
      </w:r>
      <w:r w:rsidRPr="00A73C7E">
        <w:rPr>
          <w:sz w:val="24"/>
          <w:lang w:val="lt-LT"/>
        </w:rPr>
        <w:t>OL L 193, 2018 7 30, p. 1.</w:t>
      </w:r>
    </w:p>
  </w:footnote>
  <w:footnote w:id="9">
    <w:p w:rsidR="0085397D" w:rsidRPr="00A73C7E" w:rsidRDefault="0085397D" w:rsidP="00A73C7E">
      <w:pPr>
        <w:pStyle w:val="FootnoteText"/>
        <w:ind w:left="567" w:hanging="567"/>
        <w:rPr>
          <w:sz w:val="24"/>
          <w:lang w:val="lt-LT"/>
        </w:rPr>
      </w:pPr>
      <w:r w:rsidRPr="00A73C7E">
        <w:rPr>
          <w:rStyle w:val="FootnoteReference"/>
          <w:sz w:val="24"/>
          <w:lang w:val="lt-LT"/>
        </w:rPr>
        <w:footnoteRef/>
      </w:r>
      <w:r w:rsidR="00A73C7E" w:rsidRPr="00A73C7E">
        <w:rPr>
          <w:sz w:val="24"/>
          <w:lang w:val="lt-LT"/>
        </w:rPr>
        <w:t xml:space="preserve"> </w:t>
      </w:r>
      <w:r w:rsidR="00A73C7E" w:rsidRPr="00A73C7E">
        <w:rPr>
          <w:sz w:val="24"/>
          <w:lang w:val="lt-LT"/>
        </w:rPr>
        <w:tab/>
      </w:r>
      <w:r w:rsidRPr="00A73C7E">
        <w:rPr>
          <w:sz w:val="24"/>
          <w:lang w:val="lt-LT"/>
        </w:rPr>
        <w:t>OL L 170, 2021 5 12, p. 69.</w:t>
      </w:r>
    </w:p>
  </w:footnote>
  <w:footnote w:id="10">
    <w:p w:rsidR="0085397D" w:rsidRPr="00A73C7E" w:rsidRDefault="0085397D" w:rsidP="00A73C7E">
      <w:pPr>
        <w:pStyle w:val="FootnoteText"/>
        <w:ind w:left="567" w:hanging="567"/>
        <w:rPr>
          <w:sz w:val="24"/>
          <w:szCs w:val="24"/>
          <w:lang w:val="lt-LT"/>
        </w:rPr>
      </w:pPr>
      <w:r w:rsidRPr="00A73C7E">
        <w:rPr>
          <w:rStyle w:val="FootnoteReference"/>
          <w:sz w:val="24"/>
          <w:lang w:val="lt-LT"/>
        </w:rPr>
        <w:footnoteRef/>
      </w:r>
      <w:r w:rsidR="00A73C7E" w:rsidRPr="00A73C7E">
        <w:rPr>
          <w:sz w:val="24"/>
          <w:lang w:val="lt-LT"/>
        </w:rPr>
        <w:t xml:space="preserve"> </w:t>
      </w:r>
      <w:r w:rsidR="00A73C7E" w:rsidRPr="00A73C7E">
        <w:rPr>
          <w:sz w:val="24"/>
          <w:lang w:val="lt-LT"/>
        </w:rPr>
        <w:tab/>
      </w:r>
      <w:r w:rsidRPr="00A73C7E">
        <w:rPr>
          <w:sz w:val="24"/>
          <w:lang w:val="lt-LT"/>
        </w:rPr>
        <w:t>OL L 122, 2019 5 10, p. 1.</w:t>
      </w:r>
    </w:p>
  </w:footnote>
  <w:footnote w:id="11">
    <w:p w:rsidR="0085397D" w:rsidRPr="00A73C7E" w:rsidRDefault="0085397D" w:rsidP="00A73C7E">
      <w:pPr>
        <w:pStyle w:val="FootnoteText"/>
        <w:ind w:left="567" w:hanging="567"/>
        <w:rPr>
          <w:sz w:val="24"/>
          <w:lang w:val="lt-LT"/>
        </w:rPr>
      </w:pPr>
      <w:r w:rsidRPr="00A73C7E">
        <w:rPr>
          <w:rStyle w:val="FootnoteReference"/>
          <w:sz w:val="24"/>
          <w:lang w:val="lt-LT"/>
        </w:rPr>
        <w:footnoteRef/>
      </w:r>
      <w:r w:rsidR="00A73C7E" w:rsidRPr="00A73C7E">
        <w:rPr>
          <w:sz w:val="24"/>
          <w:lang w:val="lt-LT"/>
        </w:rPr>
        <w:t xml:space="preserve"> </w:t>
      </w:r>
      <w:r w:rsidR="00A73C7E" w:rsidRPr="00A73C7E">
        <w:rPr>
          <w:sz w:val="24"/>
          <w:lang w:val="lt-LT"/>
        </w:rPr>
        <w:tab/>
      </w:r>
      <w:r w:rsidRPr="00A73C7E">
        <w:rPr>
          <w:sz w:val="24"/>
          <w:lang w:val="lt-LT"/>
        </w:rPr>
        <w:t>OL C 453, 2022 11 29, p. 56.</w:t>
      </w:r>
    </w:p>
  </w:footnote>
  <w:footnote w:id="12">
    <w:p w:rsidR="0085397D" w:rsidRPr="00A73C7E" w:rsidRDefault="0085397D" w:rsidP="00A73C7E">
      <w:pPr>
        <w:pStyle w:val="FootnoteText"/>
        <w:ind w:left="567" w:hanging="567"/>
        <w:rPr>
          <w:sz w:val="24"/>
          <w:lang w:val="lt-LT"/>
        </w:rPr>
      </w:pPr>
      <w:r w:rsidRPr="00A73C7E">
        <w:rPr>
          <w:rStyle w:val="FootnoteReference"/>
          <w:sz w:val="24"/>
          <w:lang w:val="lt-LT"/>
        </w:rPr>
        <w:footnoteRef/>
      </w:r>
      <w:r w:rsidR="00A73C7E" w:rsidRPr="00A73C7E">
        <w:rPr>
          <w:sz w:val="24"/>
          <w:lang w:val="lt-LT"/>
        </w:rPr>
        <w:t xml:space="preserve"> </w:t>
      </w:r>
      <w:r w:rsidR="00A73C7E" w:rsidRPr="00A73C7E">
        <w:rPr>
          <w:sz w:val="24"/>
          <w:lang w:val="lt-LT"/>
        </w:rPr>
        <w:tab/>
      </w:r>
      <w:r w:rsidRPr="00585724">
        <w:rPr>
          <w:sz w:val="24"/>
          <w:lang w:val="lt-LT"/>
        </w:rPr>
        <w:t xml:space="preserve">Priimti tekstai, </w:t>
      </w:r>
      <w:r w:rsidRPr="00FE1DDB">
        <w:rPr>
          <w:sz w:val="24"/>
          <w:lang w:val="lt-LT"/>
        </w:rPr>
        <w:t>P9_TA(2024)0</w:t>
      </w:r>
      <w:r w:rsidR="000A63BF" w:rsidRPr="00FE1DDB">
        <w:rPr>
          <w:sz w:val="24"/>
          <w:lang w:val="lt-LT"/>
        </w:rPr>
        <w:t>28</w:t>
      </w:r>
      <w:r w:rsidRPr="00FE1DDB">
        <w:rPr>
          <w:sz w:val="24"/>
          <w:lang w:val="lt-LT"/>
        </w:rPr>
        <w:t>0.</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5397D" w:rsidRPr="00A73C7E" w:rsidRDefault="0085397D">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5397D" w:rsidRPr="00A73C7E" w:rsidRDefault="0085397D">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5397D" w:rsidRPr="00A73C7E" w:rsidRDefault="0085397D">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A73C7E" w:rsidRDefault="00064002"/>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A73C7E" w:rsidRDefault="00064002"/>
</w:hdr>
</file>

<file path=word/header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A73C7E"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121/2024"/>
    <w:docVar w:name="dvlangue" w:val="LT"/>
    <w:docVar w:name="dvnumam" w:val="0"/>
    <w:docVar w:name="dvpe" w:val="753.541"/>
    <w:docVar w:name="dvrapporteur" w:val="Pranešėjas: "/>
    <w:docVar w:name="dvtitre" w:val="1. 2024 m. balandzio 11 d. Europos Parlamento sprendimas dėl Europos Sąjungos kosmoso programos agentūros 2022 finansinių metų biudžeto įvykdymo patvirtinimo(2023/2170(DEC))"/>
  </w:docVars>
  <w:rsids>
    <w:rsidRoot w:val="00CF3458"/>
    <w:rsid w:val="00002272"/>
    <w:rsid w:val="00064002"/>
    <w:rsid w:val="000677B9"/>
    <w:rsid w:val="0007720E"/>
    <w:rsid w:val="000831BA"/>
    <w:rsid w:val="000A42CC"/>
    <w:rsid w:val="000A63BF"/>
    <w:rsid w:val="000E7DD9"/>
    <w:rsid w:val="0010095E"/>
    <w:rsid w:val="00125B37"/>
    <w:rsid w:val="00187494"/>
    <w:rsid w:val="001F32AE"/>
    <w:rsid w:val="002767FF"/>
    <w:rsid w:val="002B18FE"/>
    <w:rsid w:val="002B5493"/>
    <w:rsid w:val="00343214"/>
    <w:rsid w:val="0036068B"/>
    <w:rsid w:val="00361C00"/>
    <w:rsid w:val="00392DBF"/>
    <w:rsid w:val="00395FA1"/>
    <w:rsid w:val="003E15D4"/>
    <w:rsid w:val="00411CCE"/>
    <w:rsid w:val="0041666E"/>
    <w:rsid w:val="00421060"/>
    <w:rsid w:val="00471C19"/>
    <w:rsid w:val="004867E3"/>
    <w:rsid w:val="00494A28"/>
    <w:rsid w:val="004C0004"/>
    <w:rsid w:val="004C5D52"/>
    <w:rsid w:val="004E0CFF"/>
    <w:rsid w:val="0050519A"/>
    <w:rsid w:val="005072A1"/>
    <w:rsid w:val="00514517"/>
    <w:rsid w:val="00545827"/>
    <w:rsid w:val="00560270"/>
    <w:rsid w:val="00585724"/>
    <w:rsid w:val="0059284C"/>
    <w:rsid w:val="005C2568"/>
    <w:rsid w:val="005E4341"/>
    <w:rsid w:val="006037C0"/>
    <w:rsid w:val="006631B6"/>
    <w:rsid w:val="00680577"/>
    <w:rsid w:val="006F74FA"/>
    <w:rsid w:val="00731ADD"/>
    <w:rsid w:val="00732084"/>
    <w:rsid w:val="00734777"/>
    <w:rsid w:val="007430E3"/>
    <w:rsid w:val="00747932"/>
    <w:rsid w:val="00751A4A"/>
    <w:rsid w:val="00756632"/>
    <w:rsid w:val="00762C74"/>
    <w:rsid w:val="00786EC0"/>
    <w:rsid w:val="007D1690"/>
    <w:rsid w:val="007E22AD"/>
    <w:rsid w:val="00817416"/>
    <w:rsid w:val="00842779"/>
    <w:rsid w:val="0085397D"/>
    <w:rsid w:val="00865F67"/>
    <w:rsid w:val="00881A7B"/>
    <w:rsid w:val="008840E5"/>
    <w:rsid w:val="00887B3E"/>
    <w:rsid w:val="008C0FA7"/>
    <w:rsid w:val="008C2AC6"/>
    <w:rsid w:val="008F4177"/>
    <w:rsid w:val="00930C23"/>
    <w:rsid w:val="0093193B"/>
    <w:rsid w:val="009509D8"/>
    <w:rsid w:val="00950B64"/>
    <w:rsid w:val="00981893"/>
    <w:rsid w:val="00A1687D"/>
    <w:rsid w:val="00A43E52"/>
    <w:rsid w:val="00A4678D"/>
    <w:rsid w:val="00A73C7E"/>
    <w:rsid w:val="00A778C7"/>
    <w:rsid w:val="00AB441E"/>
    <w:rsid w:val="00AB6293"/>
    <w:rsid w:val="00AE0928"/>
    <w:rsid w:val="00AE356F"/>
    <w:rsid w:val="00AF3B82"/>
    <w:rsid w:val="00B12E95"/>
    <w:rsid w:val="00B22876"/>
    <w:rsid w:val="00B558F0"/>
    <w:rsid w:val="00BD48FE"/>
    <w:rsid w:val="00BD7BD8"/>
    <w:rsid w:val="00BE6ADC"/>
    <w:rsid w:val="00C05BFE"/>
    <w:rsid w:val="00C23CD4"/>
    <w:rsid w:val="00C61C0C"/>
    <w:rsid w:val="00C941CB"/>
    <w:rsid w:val="00CC2357"/>
    <w:rsid w:val="00CF071A"/>
    <w:rsid w:val="00CF3458"/>
    <w:rsid w:val="00D058B8"/>
    <w:rsid w:val="00D56C11"/>
    <w:rsid w:val="00D834A0"/>
    <w:rsid w:val="00D872DF"/>
    <w:rsid w:val="00D91E21"/>
    <w:rsid w:val="00DA7FCD"/>
    <w:rsid w:val="00E365E1"/>
    <w:rsid w:val="00E820A4"/>
    <w:rsid w:val="00E8373A"/>
    <w:rsid w:val="00EA0C72"/>
    <w:rsid w:val="00EB006A"/>
    <w:rsid w:val="00EB4772"/>
    <w:rsid w:val="00ED169E"/>
    <w:rsid w:val="00ED4235"/>
    <w:rsid w:val="00F04346"/>
    <w:rsid w:val="00F075DC"/>
    <w:rsid w:val="00F149E9"/>
    <w:rsid w:val="00F5134D"/>
    <w:rsid w:val="00F74202"/>
    <w:rsid w:val="00F87713"/>
    <w:rsid w:val="00FB4360"/>
    <w:rsid w:val="00FD0C70"/>
    <w:rsid w:val="00FD32A7"/>
    <w:rsid w:val="00FE1DDB"/>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9D655FA6-E24D-4779-A42A-4AEA980E81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lt-LT"/>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aliases w:val="Footnote Text Char1"/>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Footer2">
    <w:name w:val="EPFooter2"/>
    <w:basedOn w:val="Normal"/>
    <w:next w:val="Normal"/>
    <w:rsid w:val="0085397D"/>
    <w:pPr>
      <w:widowControl/>
      <w:tabs>
        <w:tab w:val="center" w:pos="4535"/>
        <w:tab w:val="right" w:pos="9921"/>
      </w:tabs>
      <w:ind w:left="-850" w:right="-850"/>
    </w:pPr>
    <w:rPr>
      <w:rFonts w:ascii="Arial" w:hAnsi="Arial" w:cs="Arial"/>
      <w:b/>
      <w:sz w:val="48"/>
    </w:rPr>
  </w:style>
  <w:style w:type="paragraph" w:customStyle="1" w:styleId="EPComma">
    <w:name w:val="EPComma"/>
    <w:basedOn w:val="Normal"/>
    <w:rsid w:val="0085397D"/>
    <w:pPr>
      <w:spacing w:before="480" w:after="240"/>
    </w:pPr>
  </w:style>
  <w:style w:type="paragraph" w:customStyle="1" w:styleId="PageHeading">
    <w:name w:val="PageHeading"/>
    <w:basedOn w:val="Normal"/>
    <w:rsid w:val="0085397D"/>
    <w:pPr>
      <w:keepNext/>
      <w:spacing w:after="480"/>
      <w:jc w:val="center"/>
    </w:pPr>
    <w:rPr>
      <w:rFonts w:ascii="Arial" w:hAnsi="Arial" w:cs="Arial"/>
      <w:b/>
    </w:rPr>
  </w:style>
  <w:style w:type="paragraph" w:customStyle="1" w:styleId="NormalBold">
    <w:name w:val="NormalBold"/>
    <w:basedOn w:val="Normal"/>
    <w:rsid w:val="0085397D"/>
    <w:rPr>
      <w:b/>
    </w:rPr>
  </w:style>
  <w:style w:type="paragraph" w:customStyle="1" w:styleId="NormalHanging12a">
    <w:name w:val="NormalHanging12a"/>
    <w:basedOn w:val="Normal"/>
    <w:link w:val="NormalHanging12aChar"/>
    <w:rsid w:val="0085397D"/>
    <w:pPr>
      <w:spacing w:after="240"/>
      <w:ind w:left="567" w:hanging="567"/>
    </w:pPr>
  </w:style>
  <w:style w:type="paragraph" w:customStyle="1" w:styleId="NormalCenter12a">
    <w:name w:val="NormalCenter12a"/>
    <w:basedOn w:val="Normal"/>
    <w:rsid w:val="0085397D"/>
    <w:pPr>
      <w:spacing w:after="240"/>
      <w:jc w:val="center"/>
    </w:pPr>
  </w:style>
  <w:style w:type="paragraph" w:styleId="Header">
    <w:name w:val="header"/>
    <w:basedOn w:val="Normal"/>
    <w:link w:val="HeaderChar"/>
    <w:rsid w:val="0085397D"/>
    <w:pPr>
      <w:tabs>
        <w:tab w:val="center" w:pos="4513"/>
        <w:tab w:val="right" w:pos="9026"/>
      </w:tabs>
    </w:pPr>
  </w:style>
  <w:style w:type="character" w:customStyle="1" w:styleId="HeaderChar">
    <w:name w:val="Header Char"/>
    <w:basedOn w:val="DefaultParagraphFont"/>
    <w:link w:val="Header"/>
    <w:rsid w:val="0085397D"/>
    <w:rPr>
      <w:sz w:val="24"/>
      <w:lang w:val="lt-LT"/>
    </w:rPr>
  </w:style>
  <w:style w:type="paragraph" w:customStyle="1" w:styleId="EPFooter">
    <w:name w:val="EPFooter"/>
    <w:basedOn w:val="Normal"/>
    <w:rsid w:val="0085397D"/>
    <w:pPr>
      <w:tabs>
        <w:tab w:val="center" w:pos="4535"/>
        <w:tab w:val="right" w:pos="9071"/>
      </w:tabs>
      <w:spacing w:before="240" w:after="240"/>
    </w:pPr>
    <w:rPr>
      <w:color w:val="010000"/>
      <w:sz w:val="22"/>
    </w:rPr>
  </w:style>
  <w:style w:type="paragraph" w:customStyle="1" w:styleId="Normal12Hanging">
    <w:name w:val="Normal12Hanging"/>
    <w:basedOn w:val="Normal"/>
    <w:rsid w:val="0085397D"/>
    <w:pPr>
      <w:spacing w:after="240"/>
      <w:ind w:left="567" w:hanging="567"/>
    </w:pPr>
  </w:style>
  <w:style w:type="character" w:customStyle="1" w:styleId="NormalHanging12aChar">
    <w:name w:val="NormalHanging12a Char"/>
    <w:basedOn w:val="DefaultParagraphFont"/>
    <w:link w:val="NormalHanging12a"/>
    <w:rsid w:val="0085397D"/>
    <w:rPr>
      <w:sz w:val="24"/>
      <w:lang w:val="lt-LT"/>
    </w:rPr>
  </w:style>
  <w:style w:type="paragraph" w:styleId="BalloonText">
    <w:name w:val="Balloon Text"/>
    <w:basedOn w:val="Normal"/>
    <w:link w:val="BalloonTextChar"/>
    <w:rsid w:val="00732084"/>
    <w:rPr>
      <w:rFonts w:ascii="Segoe UI" w:hAnsi="Segoe UI" w:cs="Segoe UI"/>
      <w:sz w:val="18"/>
      <w:szCs w:val="18"/>
    </w:rPr>
  </w:style>
  <w:style w:type="character" w:customStyle="1" w:styleId="BalloonTextChar">
    <w:name w:val="Balloon Text Char"/>
    <w:basedOn w:val="DefaultParagraphFont"/>
    <w:link w:val="BalloonText"/>
    <w:rsid w:val="00732084"/>
    <w:rPr>
      <w:rFonts w:ascii="Segoe UI" w:hAnsi="Segoe UI" w:cs="Segoe UI"/>
      <w:sz w:val="18"/>
      <w:szCs w:val="18"/>
      <w:lang w:val="lt-L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header" Target="header4.xml"/><Relationship Id="rId10" Type="http://schemas.openxmlformats.org/officeDocument/2006/relationships/header" Target="header2.xml"/><Relationship Id="rId19" Type="http://schemas.openxmlformats.org/officeDocument/2006/relationships/header" Target="header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1535244-8C4B-4E38-A5CD-2055619B2D8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11</Pages>
  <Words>3249</Words>
  <Characters>21921</Characters>
  <Application>Microsoft Office Word</Application>
  <DocSecurity>0</DocSecurity>
  <Lines>182</Lines>
  <Paragraphs>50</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25120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SKEIVYTE Silvija</dc:creator>
  <cp:keywords/>
  <cp:lastModifiedBy>Karina Pesa</cp:lastModifiedBy>
  <cp:revision>4</cp:revision>
  <cp:lastPrinted>2004-11-19T15:42:00Z</cp:lastPrinted>
  <dcterms:created xsi:type="dcterms:W3CDTF">2024-05-14T20:50:00Z</dcterms:created>
  <dcterms:modified xsi:type="dcterms:W3CDTF">2024-10-30T16:50:00Z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LT</vt:lpwstr>
  </property>
  <property fmtid="{D5CDD505-2E9C-101B-9397-08002B2CF9AE}" pid="3" name="&lt;FdR&gt;">
    <vt:lpwstr>P9_TA(2024)0256_</vt:lpwstr>
  </property>
  <property fmtid="{D5CDD505-2E9C-101B-9397-08002B2CF9AE}" pid="4" name="&lt;Type&gt;">
    <vt:lpwstr>RR</vt:lpwstr>
  </property>
</Properties>
</file>