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553B" w14:paraId="43AE1B4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7774DF" w14:textId="77777777" w:rsidR="00751A4A" w:rsidRPr="00EF553B" w:rsidRDefault="00583828" w:rsidP="0010095E">
            <w:pPr>
              <w:pStyle w:val="EPName"/>
            </w:pPr>
            <w:r w:rsidRPr="00EF553B">
              <w:t>Parlamento Europeu</w:t>
            </w:r>
          </w:p>
          <w:p w14:paraId="55CB7450" w14:textId="77777777" w:rsidR="00751A4A" w:rsidRPr="00EF553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553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93A1114" w14:textId="77777777" w:rsidR="00751A4A" w:rsidRPr="00EF553B" w:rsidRDefault="00187494" w:rsidP="0010095E">
            <w:pPr>
              <w:pStyle w:val="EPLogo"/>
            </w:pPr>
            <w:r w:rsidRPr="00EF553B">
              <w:rPr>
                <w:noProof/>
                <w:lang w:val="en-GB"/>
              </w:rPr>
              <w:drawing>
                <wp:inline distT="0" distB="0" distL="0" distR="0" wp14:anchorId="13F27D1A" wp14:editId="58B601B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5A8709" w14:textId="77777777" w:rsidR="00D058B8" w:rsidRPr="00EF553B" w:rsidRDefault="00D058B8" w:rsidP="004C5D52">
      <w:pPr>
        <w:pStyle w:val="LineTop"/>
      </w:pPr>
    </w:p>
    <w:p w14:paraId="70FB15DF" w14:textId="77777777" w:rsidR="00680577" w:rsidRPr="00EF553B" w:rsidRDefault="00583828" w:rsidP="00680577">
      <w:pPr>
        <w:pStyle w:val="EPBodyTA1"/>
      </w:pPr>
      <w:r w:rsidRPr="00EF553B">
        <w:t>TEXTOS APROVADOS</w:t>
      </w:r>
    </w:p>
    <w:p w14:paraId="6B82EF4A" w14:textId="77777777" w:rsidR="00D058B8" w:rsidRPr="00EF553B" w:rsidRDefault="00D058B8" w:rsidP="00D058B8">
      <w:pPr>
        <w:pStyle w:val="LineBottom"/>
      </w:pPr>
    </w:p>
    <w:p w14:paraId="1922DDA6" w14:textId="05D9184C" w:rsidR="00583828" w:rsidRPr="00EF553B" w:rsidRDefault="00583828" w:rsidP="00583828">
      <w:pPr>
        <w:pStyle w:val="ATHeading1"/>
      </w:pPr>
      <w:bookmarkStart w:id="0" w:name="TANumber"/>
      <w:r w:rsidRPr="00EF553B">
        <w:t>P9_</w:t>
      </w:r>
      <w:proofErr w:type="gramStart"/>
      <w:r w:rsidRPr="00EF553B">
        <w:t>TA(</w:t>
      </w:r>
      <w:proofErr w:type="gramEnd"/>
      <w:r w:rsidRPr="00EF553B">
        <w:t>2024)</w:t>
      </w:r>
      <w:bookmarkEnd w:id="0"/>
      <w:r w:rsidR="00EF553B" w:rsidRPr="00EF553B">
        <w:t>0256</w:t>
      </w:r>
    </w:p>
    <w:p w14:paraId="699DF534" w14:textId="77777777" w:rsidR="00583828" w:rsidRPr="00EF553B" w:rsidRDefault="00583828" w:rsidP="00583828">
      <w:pPr>
        <w:pStyle w:val="ATHeading2"/>
      </w:pPr>
      <w:bookmarkStart w:id="1" w:name="title"/>
      <w:r w:rsidRPr="00EF553B">
        <w:t>Quitação 2022: Agência da União Europeia para o Programa Espacial</w:t>
      </w:r>
      <w:bookmarkEnd w:id="1"/>
    </w:p>
    <w:p w14:paraId="6BD4CC2A" w14:textId="77777777" w:rsidR="00583828" w:rsidRPr="00EF553B" w:rsidRDefault="00583828" w:rsidP="00583828">
      <w:pPr>
        <w:rPr>
          <w:i/>
          <w:vanish/>
        </w:rPr>
      </w:pPr>
      <w:r w:rsidRPr="00EF553B">
        <w:rPr>
          <w:i/>
        </w:rPr>
        <w:fldChar w:fldCharType="begin"/>
      </w:r>
      <w:r w:rsidRPr="00EF553B">
        <w:rPr>
          <w:i/>
        </w:rPr>
        <w:instrText xml:space="preserve"> TC"(</w:instrText>
      </w:r>
      <w:bookmarkStart w:id="2" w:name="DocNumber"/>
      <w:r w:rsidRPr="00EF553B">
        <w:rPr>
          <w:i/>
        </w:rPr>
        <w:instrText>A9-0121/2024</w:instrText>
      </w:r>
      <w:bookmarkEnd w:id="2"/>
      <w:r w:rsidRPr="00EF553B">
        <w:rPr>
          <w:i/>
        </w:rPr>
        <w:instrText xml:space="preserve"> - Relator: Petri Sarvamaa)"\l3 \n&gt; \* MERGEFORMAT </w:instrText>
      </w:r>
      <w:r w:rsidRPr="00EF553B">
        <w:rPr>
          <w:i/>
        </w:rPr>
        <w:fldChar w:fldCharType="end"/>
      </w:r>
    </w:p>
    <w:p w14:paraId="5DA96643" w14:textId="77777777" w:rsidR="00583828" w:rsidRPr="00EF553B" w:rsidRDefault="00583828" w:rsidP="00583828">
      <w:pPr>
        <w:rPr>
          <w:vanish/>
        </w:rPr>
      </w:pPr>
      <w:bookmarkStart w:id="3" w:name="Commission"/>
      <w:r w:rsidRPr="00EF553B">
        <w:rPr>
          <w:vanish/>
        </w:rPr>
        <w:t>Comissão do Controlo Orçamental</w:t>
      </w:r>
      <w:bookmarkEnd w:id="3"/>
    </w:p>
    <w:p w14:paraId="46C4EDAF" w14:textId="77777777" w:rsidR="00583828" w:rsidRPr="00EF553B" w:rsidRDefault="00583828" w:rsidP="00583828">
      <w:pPr>
        <w:rPr>
          <w:vanish/>
        </w:rPr>
      </w:pPr>
      <w:bookmarkStart w:id="4" w:name="PE"/>
      <w:r w:rsidRPr="00EF553B">
        <w:rPr>
          <w:vanish/>
        </w:rPr>
        <w:t>PE753.541</w:t>
      </w:r>
      <w:bookmarkEnd w:id="4"/>
    </w:p>
    <w:p w14:paraId="0BDF2825" w14:textId="5D6B6F58" w:rsidR="00583828" w:rsidRPr="00EF553B" w:rsidRDefault="00E33BAA" w:rsidP="00583828">
      <w:pPr>
        <w:pStyle w:val="ATHeading3"/>
      </w:pPr>
      <w:bookmarkStart w:id="5" w:name="Sujet"/>
      <w:r w:rsidRPr="00EF553B">
        <w:t xml:space="preserve">1. </w:t>
      </w:r>
      <w:r w:rsidR="00583828" w:rsidRPr="00EF553B">
        <w:t xml:space="preserve">Decisão do Parlamento Europeu, de </w:t>
      </w:r>
      <w:r w:rsidRPr="00EF553B">
        <w:t xml:space="preserve">11 </w:t>
      </w:r>
      <w:r w:rsidR="00583828" w:rsidRPr="00EF553B">
        <w:t xml:space="preserve">de </w:t>
      </w:r>
      <w:r w:rsidRPr="00EF553B">
        <w:t xml:space="preserve">abril </w:t>
      </w:r>
      <w:r w:rsidR="00583828" w:rsidRPr="00EF553B">
        <w:t>de 2024, sobre a quitação pela execução do orçamento da Agência da União Europeia para o Programa Espacial para o exercício de 2022</w:t>
      </w:r>
      <w:bookmarkEnd w:id="5"/>
      <w:r w:rsidR="00583828" w:rsidRPr="00EF553B">
        <w:t xml:space="preserve"> </w:t>
      </w:r>
      <w:bookmarkStart w:id="6" w:name="References"/>
      <w:r w:rsidR="00583828" w:rsidRPr="00EF553B">
        <w:t>(2023/2170(DEC))</w:t>
      </w:r>
      <w:bookmarkEnd w:id="6"/>
    </w:p>
    <w:p w14:paraId="0B13D78E" w14:textId="77777777" w:rsidR="004C4E7F" w:rsidRPr="00EF553B" w:rsidRDefault="004C4E7F" w:rsidP="004C4E7F">
      <w:pPr>
        <w:pStyle w:val="EPComma"/>
      </w:pPr>
      <w:bookmarkStart w:id="7" w:name="TextBodyBegin"/>
      <w:bookmarkEnd w:id="7"/>
      <w:r w:rsidRPr="00EF553B">
        <w:rPr>
          <w:i/>
        </w:rPr>
        <w:t>O Parlamento Europeu</w:t>
      </w:r>
      <w:r w:rsidRPr="00EF553B">
        <w:t>,</w:t>
      </w:r>
    </w:p>
    <w:p w14:paraId="13411A56" w14:textId="77777777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>Atendendo às contas anuais definitivas da Agência da União Europeia para o Programa Espacial relativas ao exercício de 2022,</w:t>
      </w:r>
    </w:p>
    <w:p w14:paraId="439C0E1D" w14:textId="77777777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>Atendendo ao relatório anual do Tribunal de Contas sobre as agências da UE relativo ao exercício de 2022, acompanhado das respostas das agências</w:t>
      </w:r>
      <w:r w:rsidRPr="00EF553B">
        <w:rPr>
          <w:rStyle w:val="FootnoteReference"/>
        </w:rPr>
        <w:footnoteReference w:id="1"/>
      </w:r>
      <w:r w:rsidRPr="00EF553B">
        <w:t>,</w:t>
      </w:r>
    </w:p>
    <w:p w14:paraId="54D64334" w14:textId="77777777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>Atendendo à declaração relativa à fiabilidade das contas e à legalidade e regularidade das operações subjacentes</w:t>
      </w:r>
      <w:r w:rsidRPr="00EF553B">
        <w:rPr>
          <w:rStyle w:val="FootnoteReference"/>
        </w:rPr>
        <w:footnoteReference w:id="2"/>
      </w:r>
      <w:r w:rsidRPr="00EF553B">
        <w:t>, emitida pelo Tribunal de Contas para o exercício de 2022, nos termos do artigo 287.º do Tratado sobre o Funcionamento da União Europeia,</w:t>
      </w:r>
    </w:p>
    <w:p w14:paraId="3ADD0579" w14:textId="48D69A37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>Tendo em conta a Recomendação do Conselho, de 22 de fevereiro de 2024, sobre a quitação a dar à Agência quanto à execução do orçamento para o exercício de 2022 (</w:t>
      </w:r>
      <w:r w:rsidR="00E33BAA" w:rsidRPr="00EF553B">
        <w:t>06180</w:t>
      </w:r>
      <w:r w:rsidRPr="00EF553B">
        <w:t>/2024 – C9</w:t>
      </w:r>
      <w:r w:rsidRPr="00EF553B">
        <w:noBreakHyphen/>
      </w:r>
      <w:r w:rsidR="00E33BAA" w:rsidRPr="00EF553B">
        <w:t>0108</w:t>
      </w:r>
      <w:r w:rsidRPr="00EF553B">
        <w:t>/2024),</w:t>
      </w:r>
    </w:p>
    <w:p w14:paraId="4C27B5CB" w14:textId="77777777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>Tendo em conta o artigo 319.º do Tratado sobre o Funcionamento da União Europeia,</w:t>
      </w:r>
    </w:p>
    <w:p w14:paraId="2A76077C" w14:textId="77777777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 xml:space="preserve">Tendo em conta o Regulamento (UE, </w:t>
      </w:r>
      <w:proofErr w:type="spellStart"/>
      <w:r w:rsidRPr="00EF553B">
        <w:t>Euratom</w:t>
      </w:r>
      <w:proofErr w:type="spellEnd"/>
      <w:r w:rsidRPr="00EF553B">
        <w:t xml:space="preserve">) 2018/1046 do Parlamento Europeu e do Conselho, de 18 de julho de 2018, relativo às disposições financeiras aplicáveis ao orçamento geral da União, que altera os Regulamentos (UE) n.º 1296/2013, (UE) n.º 1301/2013, (UE) n.º 1303/2013, (UE) n.º 1304/2013, (UE) n.º 1309/2013, (UE) n.º 1316/2013, (UE) n.º 223/2014 e (UE) n.º 283/2014, e a Decisão n.º 541/2014/UE, e revoga o Regulamento (UE, </w:t>
      </w:r>
      <w:proofErr w:type="spellStart"/>
      <w:r w:rsidRPr="00EF553B">
        <w:t>Euratom</w:t>
      </w:r>
      <w:proofErr w:type="spellEnd"/>
      <w:r w:rsidRPr="00EF553B">
        <w:t>) n.º 966/2012</w:t>
      </w:r>
      <w:r w:rsidRPr="00EF553B">
        <w:rPr>
          <w:rStyle w:val="FootnoteReference"/>
        </w:rPr>
        <w:footnoteReference w:id="3"/>
      </w:r>
      <w:r w:rsidRPr="00EF553B">
        <w:t>, nomeadamente o artigo 70.º,</w:t>
      </w:r>
    </w:p>
    <w:p w14:paraId="0D09F89E" w14:textId="77777777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>Tendo em conta o Regulamento (UE) 2021/696 do Parlamento Europeu e do Conselho, de 28 de abril de 2021, que cria o Programa Espacial da União e a Agência da União Europeia para o Programa Espacial e que revoga os Regulamentos (UE) n.º 912/2010, (UE) n.º 1285/2013 e (UE) n.º 377/2014 e a Decisão n.º 541/2014/UE</w:t>
      </w:r>
      <w:r w:rsidRPr="00EF553B">
        <w:rPr>
          <w:rStyle w:val="FootnoteReference"/>
        </w:rPr>
        <w:footnoteReference w:id="4"/>
      </w:r>
      <w:r w:rsidRPr="00EF553B">
        <w:t xml:space="preserve">, nomeadamente </w:t>
      </w:r>
      <w:r w:rsidRPr="00EF553B">
        <w:lastRenderedPageBreak/>
        <w:t>os seus artigos 85.º e 86.º,</w:t>
      </w:r>
    </w:p>
    <w:p w14:paraId="52936D56" w14:textId="77777777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 xml:space="preserve">Tendo em conta o Regulamento Delegado (UE) 2019/715 da Comissão, de 18 de dezembro de 2018, que institui o regulamento financeiro-quadro dos organismos criados ao abrigo do TFUE e do Tratado </w:t>
      </w:r>
      <w:proofErr w:type="spellStart"/>
      <w:r w:rsidRPr="00EF553B">
        <w:t>Euratom</w:t>
      </w:r>
      <w:proofErr w:type="spellEnd"/>
      <w:r w:rsidRPr="00EF553B">
        <w:t xml:space="preserve"> e referidos no artigo 70.º do Regulamento (UE, </w:t>
      </w:r>
      <w:proofErr w:type="spellStart"/>
      <w:r w:rsidRPr="00EF553B">
        <w:t>Euratom</w:t>
      </w:r>
      <w:proofErr w:type="spellEnd"/>
      <w:r w:rsidRPr="00EF553B">
        <w:t>) 2018/1046 do Parlamento Europeu e do Conselho</w:t>
      </w:r>
      <w:r w:rsidRPr="00EF553B">
        <w:rPr>
          <w:rStyle w:val="FootnoteReference"/>
        </w:rPr>
        <w:footnoteReference w:id="5"/>
      </w:r>
      <w:r w:rsidRPr="00EF553B">
        <w:t>, nomeadamente o artigo 105.º,</w:t>
      </w:r>
    </w:p>
    <w:p w14:paraId="7CD64EF6" w14:textId="77777777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>Tendo em conta o artigo 100.º e o anexo V do seu Regimento,</w:t>
      </w:r>
    </w:p>
    <w:p w14:paraId="44A02196" w14:textId="77777777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>Tendo em conta o relatório da Comissão do Controlo Orçamental (A9</w:t>
      </w:r>
      <w:r w:rsidRPr="00EF553B">
        <w:noBreakHyphen/>
        <w:t>0121/2024),</w:t>
      </w:r>
    </w:p>
    <w:p w14:paraId="4E3558D3" w14:textId="77777777" w:rsidR="004C4E7F" w:rsidRPr="00EF553B" w:rsidRDefault="004C4E7F" w:rsidP="004C4E7F">
      <w:pPr>
        <w:pStyle w:val="NormalHanging12a"/>
      </w:pPr>
      <w:proofErr w:type="gramStart"/>
      <w:r w:rsidRPr="00EF553B">
        <w:t>1.</w:t>
      </w:r>
      <w:r w:rsidRPr="00EF553B">
        <w:tab/>
        <w:t>Dá</w:t>
      </w:r>
      <w:proofErr w:type="gramEnd"/>
      <w:r w:rsidRPr="00EF553B">
        <w:t xml:space="preserve"> quitação ao Diretor-Executivo da Agência da União Europeia para o Programa Espacial pela execução do orçamento da Agência para o exercício de 2022;</w:t>
      </w:r>
    </w:p>
    <w:p w14:paraId="6F9D6E9E" w14:textId="77777777" w:rsidR="004C4E7F" w:rsidRPr="00EF553B" w:rsidRDefault="004C4E7F" w:rsidP="004C4E7F">
      <w:pPr>
        <w:pStyle w:val="NormalHanging12a"/>
      </w:pPr>
      <w:proofErr w:type="gramStart"/>
      <w:r w:rsidRPr="00EF553B">
        <w:t>2.</w:t>
      </w:r>
      <w:r w:rsidRPr="00EF553B">
        <w:tab/>
        <w:t>Regista</w:t>
      </w:r>
      <w:proofErr w:type="gramEnd"/>
      <w:r w:rsidRPr="00EF553B">
        <w:t xml:space="preserve"> as suas observações na resolução que se segue;</w:t>
      </w:r>
    </w:p>
    <w:p w14:paraId="05A986AF" w14:textId="77777777" w:rsidR="004C4E7F" w:rsidRPr="00EF553B" w:rsidRDefault="004C4E7F" w:rsidP="004C4E7F">
      <w:pPr>
        <w:pStyle w:val="NormalHanging12a"/>
      </w:pPr>
      <w:proofErr w:type="gramStart"/>
      <w:r w:rsidRPr="00EF553B">
        <w:t>3.</w:t>
      </w:r>
      <w:r w:rsidRPr="00EF553B">
        <w:tab/>
        <w:t>Encarrega</w:t>
      </w:r>
      <w:proofErr w:type="gramEnd"/>
      <w:r w:rsidRPr="00EF553B">
        <w:t xml:space="preserve"> a sua Presidente de transmitir a presente decisão e a resolução que desta constitui parte integrante ao Diretor-Executivo da Agência da União Europeia para o Programa Espacial, ao Conselho, à Comissão e ao Tribunal de Contas e de prover à respetiva publicação no </w:t>
      </w:r>
      <w:r w:rsidRPr="00EF553B">
        <w:rPr>
          <w:i/>
        </w:rPr>
        <w:t>Jornal Oficial da União Europeia</w:t>
      </w:r>
      <w:r w:rsidRPr="00EF553B">
        <w:t xml:space="preserve"> (série L).</w:t>
      </w:r>
    </w:p>
    <w:p w14:paraId="53A08E9C" w14:textId="77777777" w:rsidR="004C4E7F" w:rsidRPr="00EF553B" w:rsidRDefault="004C4E7F" w:rsidP="004C4E7F"/>
    <w:p w14:paraId="518BE8DD" w14:textId="77777777" w:rsidR="004C4E7F" w:rsidRPr="00EF553B" w:rsidRDefault="004C4E7F" w:rsidP="004C4E7F">
      <w:pPr>
        <w:pStyle w:val="PageHeading"/>
        <w:sectPr w:rsidR="004C4E7F" w:rsidRPr="00EF553B" w:rsidSect="00072FCA">
          <w:footerReference w:type="even" r:id="rId9"/>
          <w:footerReference w:type="default" r:id="rId10"/>
          <w:footerReference w:type="first" r:id="rId11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F71393A" w14:textId="4CAD0721" w:rsidR="004C4E7F" w:rsidRPr="00EF553B" w:rsidRDefault="00E33BAA" w:rsidP="004C4E7F">
      <w:pPr>
        <w:pStyle w:val="NormalBold"/>
      </w:pPr>
      <w:r w:rsidRPr="00EF553B">
        <w:lastRenderedPageBreak/>
        <w:t xml:space="preserve">2. Decisão do Parlamento Europeu, de 11 de abril de 2024, </w:t>
      </w:r>
      <w:r w:rsidR="004C4E7F" w:rsidRPr="00EF553B">
        <w:t>sobre o encerramento das contas da Agência da União Europeia para o Programa Espacial relativas ao exercício de 2022</w:t>
      </w:r>
      <w:r w:rsidR="00F50EAA" w:rsidRPr="00EF553B">
        <w:t xml:space="preserve"> </w:t>
      </w:r>
      <w:r w:rsidR="004C4E7F" w:rsidRPr="00EF553B">
        <w:t>(2023/2170(DEC))</w:t>
      </w:r>
    </w:p>
    <w:p w14:paraId="35AD6932" w14:textId="77777777" w:rsidR="004C4E7F" w:rsidRPr="00EF553B" w:rsidRDefault="004C4E7F" w:rsidP="004C4E7F">
      <w:pPr>
        <w:pStyle w:val="EPComma"/>
      </w:pPr>
      <w:r w:rsidRPr="00EF553B">
        <w:rPr>
          <w:i/>
        </w:rPr>
        <w:t>O Parlamento Europeu</w:t>
      </w:r>
      <w:r w:rsidRPr="00EF553B">
        <w:t>,</w:t>
      </w:r>
    </w:p>
    <w:p w14:paraId="58A97835" w14:textId="77777777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>Atendendo às contas anuais definitivas da Agência da União Europeia para o Programa Espacial relativas ao exercício de 2022,</w:t>
      </w:r>
    </w:p>
    <w:p w14:paraId="7875694F" w14:textId="77777777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>Atendendo ao relatório anual do Tribunal de Contas sobre as agências da UE relativo ao exercício de 2022, acompanhado das respostas das agências</w:t>
      </w:r>
      <w:r w:rsidRPr="00EF553B">
        <w:rPr>
          <w:rStyle w:val="FootnoteReference"/>
        </w:rPr>
        <w:footnoteReference w:id="6"/>
      </w:r>
      <w:r w:rsidRPr="00EF553B">
        <w:t>,</w:t>
      </w:r>
    </w:p>
    <w:p w14:paraId="4B55F6A8" w14:textId="77777777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>Atendendo à declaração relativa à fiabilidade das contas e à legalidade e regularidade das operações subjacentes</w:t>
      </w:r>
      <w:r w:rsidRPr="00EF553B">
        <w:rPr>
          <w:rStyle w:val="FootnoteReference"/>
        </w:rPr>
        <w:footnoteReference w:id="7"/>
      </w:r>
      <w:r w:rsidRPr="00EF553B">
        <w:t>, emitida pelo Tribunal de Contas para o exercício de 2022, nos termos do artigo 287.º do Tratado sobre o Funcionamento da União Europeia,</w:t>
      </w:r>
    </w:p>
    <w:p w14:paraId="3BE467B8" w14:textId="19736ED6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>Tendo em conta a Recomendação do Conselho, de 22 de fevereiro de 2024, sobre a quitação a dar à Agência quanto à execução do orçamento para o exercício de 2022 (</w:t>
      </w:r>
      <w:r w:rsidR="00E33BAA" w:rsidRPr="00EF553B">
        <w:t>06180</w:t>
      </w:r>
      <w:r w:rsidRPr="00EF553B">
        <w:t>/2024 – C9</w:t>
      </w:r>
      <w:r w:rsidRPr="00EF553B">
        <w:noBreakHyphen/>
      </w:r>
      <w:r w:rsidR="00E33BAA" w:rsidRPr="00EF553B">
        <w:t>0108</w:t>
      </w:r>
      <w:r w:rsidRPr="00EF553B">
        <w:t>/2024),</w:t>
      </w:r>
    </w:p>
    <w:p w14:paraId="446BCBC5" w14:textId="77777777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>Tendo em conta o artigo 319.º do Tratado sobre o Funcionamento da União Europeia,</w:t>
      </w:r>
    </w:p>
    <w:p w14:paraId="76751ACE" w14:textId="77777777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 xml:space="preserve">Tendo em conta o Regulamento (UE, </w:t>
      </w:r>
      <w:proofErr w:type="spellStart"/>
      <w:r w:rsidRPr="00EF553B">
        <w:t>Euratom</w:t>
      </w:r>
      <w:proofErr w:type="spellEnd"/>
      <w:r w:rsidRPr="00EF553B">
        <w:t xml:space="preserve">) 2018/1046 do Parlamento Europeu e do Conselho, de 18 de julho de 2018, relativo às disposições financeiras aplicáveis ao orçamento geral da União, que altera os Regulamentos (UE) n.º 1296/2013, (UE) n.º 1301/2013, (UE) n.º 1303/2013, (UE) n.º 1304/2013, (UE) n.º 1309/2013, (UE) n.º 1316/2013, (UE) n.º 223/2014 e (UE) n.º 283/2014, e a Decisão n.º 541/2014/UE, e revoga o Regulamento (UE, </w:t>
      </w:r>
      <w:proofErr w:type="spellStart"/>
      <w:r w:rsidRPr="00EF553B">
        <w:t>Euratom</w:t>
      </w:r>
      <w:proofErr w:type="spellEnd"/>
      <w:r w:rsidRPr="00EF553B">
        <w:t>) n.º 966/2012</w:t>
      </w:r>
      <w:r w:rsidRPr="00EF553B">
        <w:rPr>
          <w:rStyle w:val="FootnoteReference"/>
        </w:rPr>
        <w:footnoteReference w:id="8"/>
      </w:r>
      <w:r w:rsidRPr="00EF553B">
        <w:t>, nomeadamente o artigo 70.º,</w:t>
      </w:r>
    </w:p>
    <w:p w14:paraId="059253AA" w14:textId="77777777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>Tendo em conta o Regulamento (UE) 2021/696 do Parlamento Europeu e do Conselho, de 28 de abril de 2021, que cria o Programa Espacial da União e a Agência da União Europeia para o Programa Espacial e que revoga os Regulamentos (UE) n.º 912/2010, (UE) n.º 1285/2013 e (UE) n.º 377/2014 e a Decisão n.º 541/2014/UE</w:t>
      </w:r>
      <w:r w:rsidRPr="00EF553B">
        <w:rPr>
          <w:rStyle w:val="FootnoteReference"/>
        </w:rPr>
        <w:footnoteReference w:id="9"/>
      </w:r>
      <w:r w:rsidRPr="00EF553B">
        <w:t>, nomeadamente os seus artigos 85.º e 86.º,</w:t>
      </w:r>
    </w:p>
    <w:p w14:paraId="59A059ED" w14:textId="77777777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 xml:space="preserve">Tendo em conta o Regulamento Delegado (UE) 2019/715 da Comissão, de 18 de dezembro de 2018, que institui o regulamento financeiro-quadro dos organismos criados ao abrigo do TFUE e do Tratado </w:t>
      </w:r>
      <w:proofErr w:type="spellStart"/>
      <w:r w:rsidRPr="00EF553B">
        <w:t>Euratom</w:t>
      </w:r>
      <w:proofErr w:type="spellEnd"/>
      <w:r w:rsidRPr="00EF553B">
        <w:t xml:space="preserve"> e referidos no artigo 70.º do Regulamento (UE, </w:t>
      </w:r>
      <w:proofErr w:type="spellStart"/>
      <w:r w:rsidRPr="00EF553B">
        <w:t>Euratom</w:t>
      </w:r>
      <w:proofErr w:type="spellEnd"/>
      <w:r w:rsidRPr="00EF553B">
        <w:t>) 2018/1046 do Parlamento Europeu e do Conselho</w:t>
      </w:r>
      <w:r w:rsidRPr="00EF553B">
        <w:rPr>
          <w:rStyle w:val="FootnoteReference"/>
        </w:rPr>
        <w:footnoteReference w:id="10"/>
      </w:r>
      <w:r w:rsidRPr="00EF553B">
        <w:t>, nomeadamente o artigo 105.º,</w:t>
      </w:r>
    </w:p>
    <w:p w14:paraId="77A6C9A3" w14:textId="77777777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>Tendo em conta o artigo 100.º e o anexo V do seu Regimento,</w:t>
      </w:r>
    </w:p>
    <w:p w14:paraId="54926BAC" w14:textId="77777777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>Tendo em conta o relatório da Comissão do Controlo Orçamental (A9</w:t>
      </w:r>
      <w:r w:rsidRPr="00EF553B">
        <w:noBreakHyphen/>
        <w:t>0121/2024),</w:t>
      </w:r>
    </w:p>
    <w:p w14:paraId="10399043" w14:textId="77777777" w:rsidR="004C4E7F" w:rsidRPr="00EF553B" w:rsidRDefault="004C4E7F" w:rsidP="004C4E7F">
      <w:pPr>
        <w:pStyle w:val="NormalHanging12a"/>
      </w:pPr>
      <w:proofErr w:type="gramStart"/>
      <w:r w:rsidRPr="00EF553B">
        <w:t>1.</w:t>
      </w:r>
      <w:r w:rsidRPr="00EF553B">
        <w:tab/>
        <w:t>Aprova</w:t>
      </w:r>
      <w:proofErr w:type="gramEnd"/>
      <w:r w:rsidRPr="00EF553B">
        <w:t xml:space="preserve"> o encerramento das contas da Agência da União Europeia para o Programa </w:t>
      </w:r>
      <w:r w:rsidRPr="00EF553B">
        <w:lastRenderedPageBreak/>
        <w:t>Espacial para o exercício de 2022;</w:t>
      </w:r>
    </w:p>
    <w:p w14:paraId="0B60079A" w14:textId="77777777" w:rsidR="004C4E7F" w:rsidRPr="00EF553B" w:rsidRDefault="004C4E7F" w:rsidP="004C4E7F">
      <w:pPr>
        <w:pStyle w:val="NormalHanging12a"/>
      </w:pPr>
      <w:proofErr w:type="gramStart"/>
      <w:r w:rsidRPr="00EF553B">
        <w:t>2.</w:t>
      </w:r>
      <w:r w:rsidRPr="00EF553B">
        <w:tab/>
        <w:t>Encarrega</w:t>
      </w:r>
      <w:proofErr w:type="gramEnd"/>
      <w:r w:rsidRPr="00EF553B">
        <w:t xml:space="preserve"> a sua Presidente de transmitir a presente decisão ao Diretor-Executivo da Agência da União Europeia para o Programa Espacial, ao Conselho, à Comissão e ao Tribunal de Contas e de prover à respetiva publicação no </w:t>
      </w:r>
      <w:r w:rsidRPr="00EF553B">
        <w:rPr>
          <w:i/>
        </w:rPr>
        <w:t>Jornal Oficial da União Europeia</w:t>
      </w:r>
      <w:r w:rsidRPr="00EF553B">
        <w:t xml:space="preserve"> (série L).</w:t>
      </w:r>
    </w:p>
    <w:p w14:paraId="7E104754" w14:textId="77777777" w:rsidR="004C4E7F" w:rsidRPr="00EF553B" w:rsidRDefault="004C4E7F" w:rsidP="004C4E7F"/>
    <w:p w14:paraId="518D5E0C" w14:textId="77777777" w:rsidR="004C4E7F" w:rsidRPr="00EF553B" w:rsidRDefault="004C4E7F" w:rsidP="004C4E7F">
      <w:pPr>
        <w:pStyle w:val="PageHeading"/>
        <w:sectPr w:rsidR="004C4E7F" w:rsidRPr="00EF553B" w:rsidSect="00072FCA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14:paraId="375DC801" w14:textId="10C0524C" w:rsidR="004C4E7F" w:rsidRPr="00EF553B" w:rsidRDefault="00E33BAA" w:rsidP="004C4E7F">
      <w:pPr>
        <w:pStyle w:val="NormalBold"/>
      </w:pPr>
      <w:bookmarkStart w:id="8" w:name="_Toc133417007"/>
      <w:r w:rsidRPr="00EF553B">
        <w:lastRenderedPageBreak/>
        <w:t>3. Resolução do Parlamento Europeu, de 11 de abril de 2024,</w:t>
      </w:r>
      <w:bookmarkEnd w:id="8"/>
      <w:r w:rsidRPr="00EF553B">
        <w:t xml:space="preserve"> </w:t>
      </w:r>
      <w:r w:rsidR="004C4E7F" w:rsidRPr="00EF553B">
        <w:t>que contém as observações que constituem parte integrante da decisão sobre a quitação pela execução do orçamento da Agência da União Europeia para o Programa Espacial para o exercício de 2022</w:t>
      </w:r>
      <w:r w:rsidR="00F50EAA" w:rsidRPr="00EF553B">
        <w:t xml:space="preserve"> </w:t>
      </w:r>
      <w:r w:rsidR="004C4E7F" w:rsidRPr="00EF553B">
        <w:t>(2023/2170(DEC))</w:t>
      </w:r>
    </w:p>
    <w:p w14:paraId="23CE9972" w14:textId="77777777" w:rsidR="004C4E7F" w:rsidRPr="00EF553B" w:rsidRDefault="004C4E7F" w:rsidP="004C4E7F">
      <w:pPr>
        <w:pStyle w:val="EPComma"/>
      </w:pPr>
      <w:r w:rsidRPr="00EF553B">
        <w:rPr>
          <w:i/>
        </w:rPr>
        <w:t>O Parlamento Europeu</w:t>
      </w:r>
      <w:r w:rsidRPr="00EF553B">
        <w:t>,</w:t>
      </w:r>
    </w:p>
    <w:p w14:paraId="47E15E0A" w14:textId="77777777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>Tendo em conta a sua decisão sobre a quitação pela execução do orçamento da Agência da União Europeia para o Programa Espacial (a «Agência») para o exercício de 2022,</w:t>
      </w:r>
    </w:p>
    <w:p w14:paraId="2BE1853E" w14:textId="77777777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>Tendo em conta o artigo 100.º e o anexo V do seu Regimento,</w:t>
      </w:r>
    </w:p>
    <w:p w14:paraId="05C16CAD" w14:textId="77777777" w:rsidR="004C4E7F" w:rsidRPr="00EF553B" w:rsidRDefault="004C4E7F" w:rsidP="004C4E7F">
      <w:pPr>
        <w:pStyle w:val="NormalHanging12a"/>
      </w:pPr>
      <w:r w:rsidRPr="00EF553B">
        <w:t>–</w:t>
      </w:r>
      <w:r w:rsidRPr="00EF553B">
        <w:tab/>
        <w:t>Tendo em conta o relatório da Comissão do Controlo Orçamental (A9</w:t>
      </w:r>
      <w:r w:rsidRPr="00EF553B">
        <w:noBreakHyphen/>
        <w:t>0121/2024),</w:t>
      </w:r>
    </w:p>
    <w:p w14:paraId="6872D175" w14:textId="36AF5B4F" w:rsidR="004C4E7F" w:rsidRPr="00EF553B" w:rsidRDefault="004C4E7F" w:rsidP="004C4E7F">
      <w:pPr>
        <w:pStyle w:val="Normal12Hanging"/>
        <w:rPr>
          <w:szCs w:val="24"/>
        </w:rPr>
      </w:pPr>
      <w:r w:rsidRPr="00EF553B">
        <w:t>A.</w:t>
      </w:r>
      <w:r w:rsidRPr="00EF553B">
        <w:tab/>
        <w:t>Considerando que, de acordo com o seu mapa de receitas e despesas</w:t>
      </w:r>
      <w:r w:rsidRPr="00EF553B">
        <w:rPr>
          <w:rStyle w:val="FootnoteReference"/>
          <w:szCs w:val="24"/>
        </w:rPr>
        <w:footnoteReference w:id="11"/>
      </w:r>
      <w:r w:rsidRPr="00EF553B">
        <w:t xml:space="preserve">, o orçamento definitivo da Agência para o exercício de 2022 foi de 70 032 491,77 EUR, o que representa um aumento de 22,58 % em relação a 2021; </w:t>
      </w:r>
      <w:r w:rsidR="00FA36A8" w:rsidRPr="00EF553B">
        <w:t xml:space="preserve">considerando </w:t>
      </w:r>
      <w:r w:rsidRPr="00EF553B">
        <w:t>que as receitas efetivas da Agência ascenderam a 1,2 mil milhões de EUR, sendo a diferença, em relação ao orçamento acima referido, explicada pelo financiamento de atividades operacionais através de receitas afetadas que estão incluídas no orçamento aprovado a título indicativo;</w:t>
      </w:r>
    </w:p>
    <w:p w14:paraId="17DA6094" w14:textId="51238430" w:rsidR="004C4E7F" w:rsidRPr="00EF553B" w:rsidRDefault="004C4E7F" w:rsidP="004C4E7F">
      <w:pPr>
        <w:pStyle w:val="Normal12Hanging"/>
        <w:rPr>
          <w:szCs w:val="24"/>
        </w:rPr>
      </w:pPr>
      <w:r w:rsidRPr="00EF553B">
        <w:t>B.</w:t>
      </w:r>
      <w:r w:rsidRPr="00EF553B">
        <w:tab/>
        <w:t xml:space="preserve">Considerando que o Tribunal de Contas (o «Tribunal»), no seu relatório sobre as contas anuais da Agência para o exercício de 2022 (o «relatório do Tribunal»), afirma ter obtido garantias razoáveis de que as contas anuais da Agência são fiáveis e as operações subjacentes são legais e regulares; </w:t>
      </w:r>
      <w:r w:rsidR="00FA36A8" w:rsidRPr="00EF553B">
        <w:t xml:space="preserve">considerando </w:t>
      </w:r>
      <w:r w:rsidRPr="00EF553B">
        <w:t>que o Tribunal apresenta observações sobre o impacto da guerra de agressão russa contra a Ucrânia nas operações da Agência;</w:t>
      </w:r>
    </w:p>
    <w:p w14:paraId="2FB7D6E6" w14:textId="77777777" w:rsidR="004C4E7F" w:rsidRPr="00EF553B" w:rsidRDefault="004C4E7F" w:rsidP="004C4E7F">
      <w:pPr>
        <w:pStyle w:val="Normal12Hanging"/>
        <w:rPr>
          <w:szCs w:val="24"/>
        </w:rPr>
      </w:pPr>
      <w:proofErr w:type="gramStart"/>
      <w:r w:rsidRPr="00EF553B">
        <w:t>C.</w:t>
      </w:r>
      <w:r w:rsidRPr="00EF553B">
        <w:tab/>
        <w:t>Considerando</w:t>
      </w:r>
      <w:proofErr w:type="gramEnd"/>
      <w:r w:rsidRPr="00EF553B">
        <w:t xml:space="preserve"> que, no que diz respeito aos sistemas de controlo interno da Agência, não foram comunicadas, relativamente a 2022, quaisquer problemas que exigissem medidas corretivas, nem existem medidas corretivas em curso ou pendentes de auditorias e avaliações de anos anteriores;</w:t>
      </w:r>
    </w:p>
    <w:p w14:paraId="3ABBF3D2" w14:textId="77777777" w:rsidR="004C4E7F" w:rsidRPr="00EF553B" w:rsidRDefault="004C4E7F" w:rsidP="004C4E7F">
      <w:pPr>
        <w:pStyle w:val="Normal12Hanging"/>
        <w:rPr>
          <w:b/>
          <w:i/>
          <w:szCs w:val="24"/>
        </w:rPr>
      </w:pPr>
      <w:r w:rsidRPr="00EF553B">
        <w:rPr>
          <w:b/>
          <w:i/>
        </w:rPr>
        <w:t>Gestão orçamental e financeira</w:t>
      </w:r>
    </w:p>
    <w:p w14:paraId="578596F4" w14:textId="77777777" w:rsidR="004C4E7F" w:rsidRPr="00EF553B" w:rsidRDefault="004C4E7F" w:rsidP="004C4E7F">
      <w:pPr>
        <w:pStyle w:val="Normal12Hanging"/>
        <w:rPr>
          <w:szCs w:val="24"/>
        </w:rPr>
      </w:pPr>
      <w:proofErr w:type="gramStart"/>
      <w:r w:rsidRPr="00EF553B">
        <w:t>1.</w:t>
      </w:r>
      <w:r w:rsidRPr="00EF553B">
        <w:tab/>
        <w:t>Regista</w:t>
      </w:r>
      <w:proofErr w:type="gramEnd"/>
      <w:r w:rsidRPr="00EF553B">
        <w:t xml:space="preserve"> com agrado que os esforços de supervisão do orçamento durante o exercício de 2022 resultaram numa taxa de execução das dotações de autorização do exercício orçamental em curso de 100 %, ou seja, a mesma taxa que nos dois anos anteriores; lamenta, contudo, que a taxa de execução das dotações para pagamentos do ano em curso tenha sido de 72,86 %, o que representa um decréscimo de 1,92 % relativamente a 2021;</w:t>
      </w:r>
    </w:p>
    <w:p w14:paraId="3AFCFC69" w14:textId="77777777" w:rsidR="004C4E7F" w:rsidRPr="00EF553B" w:rsidRDefault="004C4E7F" w:rsidP="004C4E7F">
      <w:pPr>
        <w:pStyle w:val="Normal12Hanging"/>
        <w:rPr>
          <w:szCs w:val="24"/>
        </w:rPr>
      </w:pPr>
      <w:r w:rsidRPr="00EF553B">
        <w:t>2.</w:t>
      </w:r>
      <w:r w:rsidRPr="00EF553B">
        <w:tab/>
        <w:t xml:space="preserve">Observa que o conselho de administração da Agência aprovou três alterações orçamentais em 2022: a primeira, em janeiro, aumentando as dotações globais em 1 687 363,77 EUR; com a segunda alteração orçamental, o conselho de administração da Agência aprovou uma </w:t>
      </w:r>
      <w:proofErr w:type="spellStart"/>
      <w:r w:rsidRPr="00EF553B">
        <w:t>reafetação</w:t>
      </w:r>
      <w:proofErr w:type="spellEnd"/>
      <w:r w:rsidRPr="00EF553B">
        <w:t xml:space="preserve"> do montante global de 2 659 300 EUR, maioritariamente proveniente do orçamento operacional para a rubrica do tratamento de dados; com o terceiro orçamento retificativo, reduziu as dotações para pagamentos em 4 640 000 EUR, resultando num montante global de dotações de pagamento de </w:t>
      </w:r>
      <w:r w:rsidRPr="00EF553B">
        <w:lastRenderedPageBreak/>
        <w:t>65 392 491,77 EUR;</w:t>
      </w:r>
    </w:p>
    <w:p w14:paraId="166C25F5" w14:textId="77777777" w:rsidR="004C4E7F" w:rsidRPr="00EF553B" w:rsidRDefault="004C4E7F" w:rsidP="004C4E7F">
      <w:pPr>
        <w:pStyle w:val="Normal12Hanging"/>
        <w:rPr>
          <w:szCs w:val="24"/>
        </w:rPr>
      </w:pPr>
      <w:r w:rsidRPr="00EF553B">
        <w:t>3.</w:t>
      </w:r>
      <w:r w:rsidRPr="00EF553B">
        <w:tab/>
        <w:t>Nota que, além do seu orçamento principal, a Agência continuou a gerir um importante orçamento delegado (dotações afetadas), tendo sido autorizados um total de 574,5 milhões de EUR ao abrigo do orçamento delegado em 2022 e 1,26 mil milhões de EUR em pagamentos;</w:t>
      </w:r>
    </w:p>
    <w:p w14:paraId="4DF8EB5D" w14:textId="77777777" w:rsidR="004C4E7F" w:rsidRPr="00EF553B" w:rsidRDefault="004C4E7F" w:rsidP="004C4E7F">
      <w:pPr>
        <w:pStyle w:val="Normal12Hanging"/>
        <w:rPr>
          <w:b/>
          <w:i/>
          <w:szCs w:val="24"/>
        </w:rPr>
      </w:pPr>
      <w:r w:rsidRPr="00EF553B">
        <w:rPr>
          <w:b/>
          <w:i/>
        </w:rPr>
        <w:t>Desempenho</w:t>
      </w:r>
    </w:p>
    <w:p w14:paraId="616A33F0" w14:textId="77777777" w:rsidR="004C4E7F" w:rsidRPr="00EF553B" w:rsidRDefault="004C4E7F" w:rsidP="004C4E7F">
      <w:pPr>
        <w:pStyle w:val="NormalHanging12a"/>
      </w:pPr>
      <w:r w:rsidRPr="00EF553B">
        <w:t>4.</w:t>
      </w:r>
      <w:r w:rsidRPr="00EF553B">
        <w:tab/>
        <w:t xml:space="preserve">Congratula-se com o facto de a Agência utilizar indicadores-chave de desempenho (ICD) para avaliar os resultados relacionados com os seus objetivos, que incluem, nomeadamente, a gestão eficaz do Comité de Acreditação de Segurança, a fim de apoiar a tomada de decisões atempada, a análise de ameaças e riscos do </w:t>
      </w:r>
      <w:proofErr w:type="spellStart"/>
      <w:r w:rsidRPr="00EF553B">
        <w:t>Galileo</w:t>
      </w:r>
      <w:proofErr w:type="spellEnd"/>
      <w:r w:rsidRPr="00EF553B">
        <w:t xml:space="preserve"> e a gestão e a apresentação de relatórios sobre o orçamento da Agência, o tratamento eficiente de todas as disposições jurídicas, a garantia da capacidade operacional das instalações da Agência e o cumprimento das obrigações legais de auditoria e controlo; observa que a maioria dos objetivos foi alcançado, mas recomenda que sejam abordados os ICD que continuam por cumprir ou que estão a progredir mais lentamente do que o previsto; recomenda que a Agência proceda regularmente ao ajustamento dos ICD, com vista à otimização do seu desempenho;</w:t>
      </w:r>
    </w:p>
    <w:p w14:paraId="42576045" w14:textId="77777777" w:rsidR="004C4E7F" w:rsidRPr="00EF553B" w:rsidRDefault="004C4E7F" w:rsidP="004C4E7F">
      <w:pPr>
        <w:pStyle w:val="Normal12Hanging"/>
        <w:rPr>
          <w:szCs w:val="24"/>
        </w:rPr>
      </w:pPr>
      <w:r w:rsidRPr="00EF553B">
        <w:t>5.</w:t>
      </w:r>
      <w:r w:rsidRPr="00EF553B">
        <w:tab/>
        <w:t xml:space="preserve">Toma nota de que a Agência revelou potenciais impactos da guerra na Ucrânia, nomeadamente a interrupção da utilização de lançadores </w:t>
      </w:r>
      <w:proofErr w:type="spellStart"/>
      <w:r w:rsidRPr="00EF553B">
        <w:t>Soyuz</w:t>
      </w:r>
      <w:proofErr w:type="spellEnd"/>
      <w:r w:rsidRPr="00EF553B">
        <w:t xml:space="preserve"> em satélites </w:t>
      </w:r>
      <w:proofErr w:type="spellStart"/>
      <w:r w:rsidRPr="00EF553B">
        <w:t>Galileo</w:t>
      </w:r>
      <w:proofErr w:type="spellEnd"/>
      <w:r w:rsidRPr="00EF553B">
        <w:t xml:space="preserve"> devido à retirada unilateral da equipa russa de lançadores </w:t>
      </w:r>
      <w:proofErr w:type="spellStart"/>
      <w:r w:rsidRPr="00EF553B">
        <w:t>Soyuz</w:t>
      </w:r>
      <w:proofErr w:type="spellEnd"/>
      <w:r w:rsidRPr="00EF553B">
        <w:t>; assinala que a Agência não prevê qualquer impacto direto e imediato no seu desempenho financeiro, mas reconhece que é necessário um trabalho intensivo para minimizar os atrasos no lançamento de novos satélites, já que tal poderá conduzir a atrasos no reconhecimento das despesas e na compensação dos ativos a receber pagos sob a forma de pré-financiamento; observa com preocupação que este montante não pode ser estimado de forma fiável nesta altura;</w:t>
      </w:r>
    </w:p>
    <w:p w14:paraId="2D1507FE" w14:textId="77777777" w:rsidR="004C4E7F" w:rsidRPr="00EF553B" w:rsidRDefault="004C4E7F" w:rsidP="004C4E7F">
      <w:pPr>
        <w:pStyle w:val="NormalHanging12a"/>
      </w:pPr>
      <w:r w:rsidRPr="00EF553B">
        <w:t>6.</w:t>
      </w:r>
      <w:r w:rsidRPr="00EF553B">
        <w:tab/>
        <w:t xml:space="preserve">Realça, além disso, que o trabalho nas estações terrestres do </w:t>
      </w:r>
      <w:proofErr w:type="spellStart"/>
      <w:r w:rsidRPr="00EF553B">
        <w:t>Galileo</w:t>
      </w:r>
      <w:proofErr w:type="spellEnd"/>
      <w:r w:rsidRPr="00EF553B">
        <w:t xml:space="preserve"> e do Serviço Europeu Complementar Geoestacionário de Navegação (EGNOS) na Ucrânia cessou devido ao conflito, mas que tal não tem impacto direto na funcionalidade do sistema EGNOS; salienta que a Agência tomou todas as medidas possíveis para proteger, tanto quanto possível, o equipamento já instalado, mas que se desconhece exatamente o estado em que se encontra; observa que existe uma questão de força maior suscitada pela entidade de acolhimento e que, assim que for resolvida, o contrato em vigor deverá ser reativado; solicita à Agência que informe a autoridade de quitação sobre o estado do equipamento instalado assim que a guerra o permita;</w:t>
      </w:r>
    </w:p>
    <w:p w14:paraId="1AE05558" w14:textId="77777777" w:rsidR="004C4E7F" w:rsidRPr="00EF553B" w:rsidRDefault="004C4E7F" w:rsidP="004C4E7F">
      <w:pPr>
        <w:pStyle w:val="Normal12Hanging"/>
        <w:rPr>
          <w:szCs w:val="24"/>
        </w:rPr>
      </w:pPr>
      <w:proofErr w:type="gramStart"/>
      <w:r w:rsidRPr="00EF553B">
        <w:t>7.</w:t>
      </w:r>
      <w:r w:rsidRPr="00EF553B">
        <w:tab/>
        <w:t>Observa</w:t>
      </w:r>
      <w:proofErr w:type="gramEnd"/>
      <w:r w:rsidRPr="00EF553B">
        <w:t xml:space="preserve"> que a Agência aplicou medidas para monitorizar as relações com as instituições russas e bielorrussas e que as alterações das condições do mercado decorrentes das sanções não deverão afetar significativamente as operações da Agência;</w:t>
      </w:r>
    </w:p>
    <w:p w14:paraId="2B36E20B" w14:textId="77777777" w:rsidR="004C4E7F" w:rsidRPr="00EF553B" w:rsidRDefault="004C4E7F" w:rsidP="004C4E7F">
      <w:pPr>
        <w:pStyle w:val="Normal12Hanging"/>
        <w:rPr>
          <w:szCs w:val="24"/>
        </w:rPr>
      </w:pPr>
      <w:r w:rsidRPr="00EF553B">
        <w:t>8.</w:t>
      </w:r>
      <w:r w:rsidRPr="00EF553B">
        <w:tab/>
        <w:t xml:space="preserve">Observa que, em 2022, foi alcançado um conjunto de importantes decisões de acreditação para o EGNOS e que, no que diz respeito aos destaques do EGNOS, estes incluem a assinatura do próximo contrato de prestação de serviços EGNOS e de um novo contrato de serviços de busca e salvamento, o contrato de manutenção do EGNOS v2 e o lançamento da carga útil EGNOS GEO4, tendo, nomeadamente, sido identificada e resolvida uma falha de acontecimentos múltiplos no EGNOS; regista com satisfação </w:t>
      </w:r>
      <w:r w:rsidRPr="00EF553B">
        <w:lastRenderedPageBreak/>
        <w:t xml:space="preserve">que o impacto global do </w:t>
      </w:r>
      <w:proofErr w:type="spellStart"/>
      <w:r w:rsidRPr="00EF553B">
        <w:t>Galileo</w:t>
      </w:r>
      <w:proofErr w:type="spellEnd"/>
      <w:r w:rsidRPr="00EF553B">
        <w:t xml:space="preserve"> é reforçado com mais de 3,5 mil milhões de dispositivos ativados em todo o mundo; observa que entraram em funcionamento dois novos satélites </w:t>
      </w:r>
      <w:proofErr w:type="spellStart"/>
      <w:r w:rsidRPr="00EF553B">
        <w:t>Galileo</w:t>
      </w:r>
      <w:proofErr w:type="spellEnd"/>
      <w:r w:rsidRPr="00EF553B">
        <w:t xml:space="preserve">; regista com satisfação que os serviços </w:t>
      </w:r>
      <w:proofErr w:type="spellStart"/>
      <w:r w:rsidRPr="00EF553B">
        <w:t>Galileo</w:t>
      </w:r>
      <w:proofErr w:type="spellEnd"/>
      <w:r w:rsidRPr="00EF553B">
        <w:t>, incluindo a monitorização da segurança e o serviço público regulado, demonstraram desempenhos excecionais, apesar dos desafios da COVID-19;</w:t>
      </w:r>
    </w:p>
    <w:p w14:paraId="738A8800" w14:textId="77777777" w:rsidR="004C4E7F" w:rsidRPr="00EF553B" w:rsidRDefault="004C4E7F" w:rsidP="004C4E7F">
      <w:pPr>
        <w:pStyle w:val="Normal12Hanging"/>
        <w:rPr>
          <w:szCs w:val="24"/>
        </w:rPr>
      </w:pPr>
      <w:r w:rsidRPr="00EF553B">
        <w:t>9.</w:t>
      </w:r>
      <w:r w:rsidRPr="00EF553B">
        <w:tab/>
        <w:t xml:space="preserve">Assinala que outros sucessos da Agência em 2022 incluem a organização da Semana Europeia do Espaço de 2022, em Praga, em cooperação com a Comissão e com o apoio da Presidência checa do Conselho da União Europeia, a criação de uma rede da Agência composta por 1 000 empresas em fase de arranque e 28 investidores e o primeiro dia do empreendedorismo CASSINI, a entrada em serviço de dois novos satélites </w:t>
      </w:r>
      <w:proofErr w:type="spellStart"/>
      <w:r w:rsidRPr="00EF553B">
        <w:t>Galileo</w:t>
      </w:r>
      <w:proofErr w:type="spellEnd"/>
      <w:r w:rsidRPr="00EF553B">
        <w:t xml:space="preserve"> e a publicação do primeiro relatório de mercado que abrange tanto a Observação da Terra como o GNSS;</w:t>
      </w:r>
    </w:p>
    <w:p w14:paraId="24905732" w14:textId="77777777" w:rsidR="004C4E7F" w:rsidRPr="00EF553B" w:rsidRDefault="004C4E7F" w:rsidP="004C4E7F">
      <w:pPr>
        <w:pStyle w:val="NormalHanging12a"/>
      </w:pPr>
      <w:r w:rsidRPr="00EF553B">
        <w:t>10.</w:t>
      </w:r>
      <w:r w:rsidRPr="00EF553B">
        <w:tab/>
        <w:t xml:space="preserve">Salienta que a Agência deve tornar-se a principal agência de execução de todas as componentes do programa espacial da União, garantindo a prestação de serviços seguros e a acreditação de todas as componentes do programa espacial </w:t>
      </w:r>
      <w:proofErr w:type="spellStart"/>
      <w:r w:rsidRPr="00EF553B">
        <w:t>Galileo</w:t>
      </w:r>
      <w:proofErr w:type="spellEnd"/>
      <w:r w:rsidRPr="00EF553B">
        <w:t>, EGNOS, Observação da Terra, Gestão do Tráfego Espacial e Telecomunicações e Conectividade governamentais, oferecendo serviços robustos, que evoluam continuamente em função das necessidades dos utilizadores atuais e futuros, incluindo os utilizadores governamentais com necessidades de resiliência, defesa e segurança;</w:t>
      </w:r>
    </w:p>
    <w:p w14:paraId="506DE1EB" w14:textId="77777777" w:rsidR="004C4E7F" w:rsidRPr="00EF553B" w:rsidRDefault="004C4E7F" w:rsidP="004C4E7F">
      <w:pPr>
        <w:pStyle w:val="NormalHanging12a"/>
      </w:pPr>
      <w:r w:rsidRPr="00EF553B">
        <w:t>11.</w:t>
      </w:r>
      <w:r w:rsidRPr="00EF553B">
        <w:tab/>
        <w:t>Insta a Agência a utilizar o seu valor acrescentado para a aplicação da futura legislação espacial da União, como base para garantir a proteção, a segurança e a sustentabilidade da União no espaço, abordando a segurança económica da União nas atividades espaciais e a aceleração do crescimento do Novo Espaço;</w:t>
      </w:r>
    </w:p>
    <w:p w14:paraId="2280DC86" w14:textId="77777777" w:rsidR="004C4E7F" w:rsidRPr="00EF553B" w:rsidRDefault="004C4E7F" w:rsidP="004C4E7F">
      <w:pPr>
        <w:pStyle w:val="Normal12Hanging"/>
        <w:rPr>
          <w:b/>
          <w:i/>
          <w:szCs w:val="24"/>
        </w:rPr>
      </w:pPr>
      <w:r w:rsidRPr="00EF553B">
        <w:rPr>
          <w:b/>
          <w:i/>
        </w:rPr>
        <w:t>Eficiência e ganhos</w:t>
      </w:r>
    </w:p>
    <w:p w14:paraId="4498C696" w14:textId="77777777" w:rsidR="004C4E7F" w:rsidRPr="00EF553B" w:rsidRDefault="004C4E7F" w:rsidP="004C4E7F">
      <w:pPr>
        <w:pStyle w:val="Normal12Hanging"/>
        <w:rPr>
          <w:szCs w:val="24"/>
        </w:rPr>
      </w:pPr>
      <w:r w:rsidRPr="00EF553B">
        <w:t>12.</w:t>
      </w:r>
      <w:r w:rsidRPr="00EF553B">
        <w:tab/>
        <w:t xml:space="preserve">Observa que a Agência envidou esforços significativos para continuar a otimizar e a automatizar os processos de gestão dos recursos humanos, a fim de obter ganhos de eficiência; refere que, nesse contexto, a Agência prosseguiu com a implantação de vários módulos </w:t>
      </w:r>
      <w:proofErr w:type="spellStart"/>
      <w:r w:rsidRPr="00EF553B">
        <w:t>Sysper</w:t>
      </w:r>
      <w:proofErr w:type="spellEnd"/>
      <w:r w:rsidRPr="00EF553B">
        <w:t xml:space="preserve"> (por exemplo, TIM, FLEX, TELEWORK) e interligou-os com as aplicações de apoio internas existentes (por exemplo, ferramenta de registo do tempo de trabalho na Intranet); observa que o departamento de recursos humanos introduziu um sistema de bilhética eletrónica para simplificar o tratamento dos vários pedidos do pessoal; convida a Agência encontrar a verificar que outros procedimentos internos podem ser otimizados através de novas ferramentas informáticas;</w:t>
      </w:r>
    </w:p>
    <w:p w14:paraId="34075464" w14:textId="77777777" w:rsidR="004C4E7F" w:rsidRPr="00EF553B" w:rsidRDefault="004C4E7F" w:rsidP="004C4E7F">
      <w:pPr>
        <w:pStyle w:val="Normal12Hanging"/>
        <w:rPr>
          <w:szCs w:val="24"/>
        </w:rPr>
      </w:pPr>
      <w:proofErr w:type="gramStart"/>
      <w:r w:rsidRPr="00EF553B">
        <w:t>13.</w:t>
      </w:r>
      <w:r w:rsidRPr="00EF553B">
        <w:tab/>
        <w:t>Observa</w:t>
      </w:r>
      <w:proofErr w:type="gramEnd"/>
      <w:r w:rsidRPr="00EF553B">
        <w:t xml:space="preserve"> que, ao abrigo do acordo-quadro de parceria financeira (AQPF), a Agência é obrigada a colaborar com a Comissão e a Agência Espacial Europeia (ESA) no sentido de definir conjuntamente as formas de alcançar os objetivos climáticos da União Europeia e a cooperar em atividades que contribuam para esses objetivos; observa ainda que, nos termos do artigo 30.º do AQPF, a Agência é obrigada a aplicar o Sistema de </w:t>
      </w:r>
      <w:proofErr w:type="spellStart"/>
      <w:r w:rsidRPr="00EF553B">
        <w:t>Ecogestão</w:t>
      </w:r>
      <w:proofErr w:type="spellEnd"/>
      <w:r w:rsidRPr="00EF553B">
        <w:t xml:space="preserve"> e Auditoria (EMAS) até ao final de 2023;</w:t>
      </w:r>
    </w:p>
    <w:p w14:paraId="183D4963" w14:textId="77777777" w:rsidR="004C4E7F" w:rsidRPr="00EF553B" w:rsidRDefault="004C4E7F" w:rsidP="004C4E7F">
      <w:pPr>
        <w:pStyle w:val="Normal12Hanging"/>
        <w:rPr>
          <w:szCs w:val="24"/>
        </w:rPr>
      </w:pPr>
      <w:r w:rsidRPr="00EF553B">
        <w:t>14.</w:t>
      </w:r>
      <w:r w:rsidRPr="00EF553B">
        <w:tab/>
        <w:t xml:space="preserve">Observa que, no que diz respeito aos contratos públicos ecológicos (CPE), em 2022 se registaram alguns progressos na identificação de casos de processos de concurso com aspetos ecológicos e na consideração da aplicação de critérios ecológicos; observa ainda que, em 2023, a Agência desenvolve gradualmente uma abordagem mais sólida, a fim de aplicar efetivamente os CPE de forma permanente, de formar o seu pessoal e de </w:t>
      </w:r>
      <w:r w:rsidRPr="00EF553B">
        <w:lastRenderedPageBreak/>
        <w:t>introduzir gradualmente critérios ecológicos nos seus contratos públicos, em consonância com a sua política ambiental e a certificação EMAS em curso;</w:t>
      </w:r>
    </w:p>
    <w:p w14:paraId="02351244" w14:textId="77777777" w:rsidR="004C4E7F" w:rsidRPr="00EF553B" w:rsidRDefault="004C4E7F" w:rsidP="004C4E7F">
      <w:pPr>
        <w:pStyle w:val="Normal12Hanging"/>
        <w:rPr>
          <w:szCs w:val="24"/>
        </w:rPr>
      </w:pPr>
      <w:r w:rsidRPr="00EF553B">
        <w:t>15.</w:t>
      </w:r>
      <w:r w:rsidRPr="00EF553B">
        <w:tab/>
        <w:t>Louva a Agência pelo compromisso assumido com o processo de redução dos seus impactos ambientais, pela otimização do consumo de recursos e pela diminuição da sua pegada de carbono, bem como a adoção e publicação da sua política ambiental, em 16 de dezembro de 2022, um primeiro passo no sentido dessa diminuição;</w:t>
      </w:r>
    </w:p>
    <w:p w14:paraId="490A7020" w14:textId="77777777" w:rsidR="004C4E7F" w:rsidRPr="00EF553B" w:rsidRDefault="004C4E7F" w:rsidP="004C4E7F">
      <w:pPr>
        <w:pStyle w:val="NormalHanging12a"/>
      </w:pPr>
      <w:r w:rsidRPr="00EF553B">
        <w:t>16.</w:t>
      </w:r>
      <w:r w:rsidRPr="00EF553B">
        <w:tab/>
        <w:t xml:space="preserve">Recorda a importância de aumentar a digitalização da Autoridade não só na gestão e funcionamento internos, mas também para acelerar a digitalização dos procedimentos; destaca a necessidade de a Agência continuar a ser pró-ativa nessa matéria para evitar um fosso digital entre as diferentes agências; chama, no entanto, a atenção para a necessidade de tomar todas as medidas de segurança necessárias para evitar qualquer risco para a segurança em linha das informações tratadas e insiste na necessidade de intensificar as medidas contra </w:t>
      </w:r>
      <w:proofErr w:type="spellStart"/>
      <w:r w:rsidRPr="00EF553B">
        <w:t>ciberataques</w:t>
      </w:r>
      <w:proofErr w:type="spellEnd"/>
      <w:r w:rsidRPr="00EF553B">
        <w:t xml:space="preserve"> e tentativas de infiltração provenientes, em especial, da Rússia e da China;</w:t>
      </w:r>
    </w:p>
    <w:p w14:paraId="307C6906" w14:textId="77777777" w:rsidR="004C4E7F" w:rsidRPr="00EF553B" w:rsidRDefault="004C4E7F" w:rsidP="004C4E7F">
      <w:pPr>
        <w:pStyle w:val="NormalHanging12a"/>
      </w:pPr>
      <w:r w:rsidRPr="00EF553B">
        <w:t>17.</w:t>
      </w:r>
      <w:r w:rsidRPr="00EF553B">
        <w:tab/>
        <w:t>Insta a Agência a continuar a identificar e a promover a utilização sinérgica das componentes do Programa Espacial da União e do IRIS</w:t>
      </w:r>
      <w:r w:rsidRPr="00EF553B">
        <w:rPr>
          <w:vertAlign w:val="superscript"/>
        </w:rPr>
        <w:t>2</w:t>
      </w:r>
      <w:r w:rsidRPr="00EF553B">
        <w:t>, nomeadamente para a execução da Estratégia Espacial da União para a Segurança e a Defesa, a fim de assegurar que todas as tarefas possam ser fundidas a longo prazo num único programa espacial unificado, permitindo uma melhor sinergia entre as várias componentes;</w:t>
      </w:r>
    </w:p>
    <w:p w14:paraId="2FD5DD27" w14:textId="77777777" w:rsidR="004C4E7F" w:rsidRPr="00EF553B" w:rsidRDefault="004C4E7F" w:rsidP="004C4E7F">
      <w:pPr>
        <w:pStyle w:val="NormalHanging12a"/>
      </w:pPr>
      <w:r w:rsidRPr="00EF553B">
        <w:t>18.</w:t>
      </w:r>
      <w:r w:rsidRPr="00EF553B">
        <w:tab/>
        <w:t>Insta a Agência a prosseguir o seu trabalho em parceria com a Comissão para os polos GOVSATCOM e aguarda com expectativa as sinergias que serão realizadas com o sistema IRIS</w:t>
      </w:r>
      <w:r w:rsidRPr="00EF553B">
        <w:rPr>
          <w:vertAlign w:val="superscript"/>
        </w:rPr>
        <w:t>2</w:t>
      </w:r>
      <w:r w:rsidRPr="00EF553B">
        <w:t>; destaca o papel da EUSPA no desenvolvimento, na implantação e nas operações do IRIS</w:t>
      </w:r>
      <w:r w:rsidRPr="00EF553B">
        <w:rPr>
          <w:vertAlign w:val="superscript"/>
        </w:rPr>
        <w:t>2</w:t>
      </w:r>
      <w:r w:rsidRPr="00EF553B">
        <w:t xml:space="preserve"> no que diz respeito a garantir o acesso a serviços de conectividade altamente seguros, soberanos e globais, baseados em tecnologias de encriptação avançadas;</w:t>
      </w:r>
    </w:p>
    <w:p w14:paraId="3A91F011" w14:textId="77777777" w:rsidR="004C4E7F" w:rsidRPr="00EF553B" w:rsidRDefault="004C4E7F" w:rsidP="004C4E7F">
      <w:pPr>
        <w:pStyle w:val="NormalHanging12a"/>
      </w:pPr>
      <w:r w:rsidRPr="00EF553B">
        <w:t>19.</w:t>
      </w:r>
      <w:r w:rsidRPr="00EF553B">
        <w:tab/>
        <w:t xml:space="preserve">Destaca o papel da Agência na evolução do </w:t>
      </w:r>
      <w:proofErr w:type="spellStart"/>
      <w:r w:rsidRPr="00EF553B">
        <w:t>Copernicus</w:t>
      </w:r>
      <w:proofErr w:type="spellEnd"/>
      <w:r w:rsidRPr="00EF553B">
        <w:t>, em particular no que diz respeito à utilização governamental da Observação da Terra, dada a situação geopolítica; recorda a necessidade de utilizar os conhecimentos especializados da Agência em matéria de acreditação e acompanhamento da segurança e execução de contratos a esse respeito, a fim de reforçar a capacidade operacional da União Europeia para agir em todas as fases da gestão dos riscos de catástrofes, tanto catástrofes naturais como de origem humana;</w:t>
      </w:r>
    </w:p>
    <w:p w14:paraId="0BB3A049" w14:textId="77777777" w:rsidR="004C4E7F" w:rsidRPr="00EF553B" w:rsidRDefault="004C4E7F" w:rsidP="004C4E7F">
      <w:pPr>
        <w:pStyle w:val="Normal12Hanging"/>
        <w:rPr>
          <w:b/>
          <w:i/>
          <w:szCs w:val="24"/>
        </w:rPr>
      </w:pPr>
      <w:r w:rsidRPr="00EF553B">
        <w:rPr>
          <w:b/>
          <w:i/>
        </w:rPr>
        <w:t>Política de pessoal</w:t>
      </w:r>
    </w:p>
    <w:p w14:paraId="0518B769" w14:textId="77777777" w:rsidR="004C4E7F" w:rsidRPr="00EF553B" w:rsidRDefault="004C4E7F" w:rsidP="004C4E7F">
      <w:pPr>
        <w:pStyle w:val="Normal12Hanging"/>
        <w:rPr>
          <w:szCs w:val="24"/>
        </w:rPr>
      </w:pPr>
      <w:r w:rsidRPr="00EF553B">
        <w:t>20.</w:t>
      </w:r>
      <w:r w:rsidRPr="00EF553B">
        <w:tab/>
        <w:t>Louva a Agência pelo facto de, em 31 de dezembro de 2022, o quadro de pessoal estar preenchido a 100 %, com 231 agentes temporários nomeados para 231 lugares de agentes temporários, autorizados pelo orçamento da União (em comparação com 191 lugares autorizados em 2021); observa que, além disso, 46 agentes contratuais e 9 peritos nacionais destacados trabalharam para a Agência em 2022, o que fez com que o número total de elementos do pessoal perfizesse 286;</w:t>
      </w:r>
    </w:p>
    <w:p w14:paraId="2040F50A" w14:textId="77777777" w:rsidR="004C4E7F" w:rsidRPr="00EF553B" w:rsidRDefault="004C4E7F" w:rsidP="004C4E7F">
      <w:pPr>
        <w:pStyle w:val="Normal12Hanging"/>
        <w:rPr>
          <w:szCs w:val="24"/>
        </w:rPr>
      </w:pPr>
      <w:r w:rsidRPr="00EF553B">
        <w:t>21.</w:t>
      </w:r>
      <w:r w:rsidRPr="00EF553B">
        <w:tab/>
        <w:t xml:space="preserve">Constata com preocupação a falta de equilíbrio de género nos quadros superiores e intermédios da Agência, estando os 3 lugares existentes ocupados por homens; lamenta o desequilíbrio de género entre os membros do conselho de administração da Agência, estando 22 dos 28 lugares existentes ocupados por homens; chama ainda a atenção para </w:t>
      </w:r>
      <w:r w:rsidRPr="00EF553B">
        <w:lastRenderedPageBreak/>
        <w:t>o equilíbrio de género no conjunto do pessoal da Agência, com 153 dos 236 lugares ocupados por homens; observa com satisfação que, com base no relatório da Agência sobre as medidas de seguimento adotadas à luz da quitação pela execução do orçamento da Agência para o exercício de 2021 (o «relatório sobre o seguimento da Agência»), a Agência tenha adotado uma Estratégia para a Diversidade e a Inclusão em 2023, acompanhada de um plano de ação que inclui medidas concretas para contribuir para a diversidade e a inclusão, incluindo a perspetiva de género; observa que o equilíbrio de género nos quadros superiores e intermédios da Agência e no quadro de administração deve ser melhorado; recorda a importância de assegurar o equilíbrio de género e exorta a Agência a ter esse aspeto em conta no que diz respeito a futuros recrutamentos de pessoal e às nomeações sobretudo para os seus quadros superiores e intermédios; reitera que a Comissão e os Estados-Membros devem ter em conta a importância de assegurar o equilíbrio de género nas nomeações dos seus membros para o conselho de administração da Agência;</w:t>
      </w:r>
    </w:p>
    <w:p w14:paraId="77053574" w14:textId="77777777" w:rsidR="004C4E7F" w:rsidRPr="00EF553B" w:rsidRDefault="004C4E7F" w:rsidP="004C4E7F">
      <w:pPr>
        <w:pStyle w:val="NormalHanging12a"/>
      </w:pPr>
      <w:proofErr w:type="gramStart"/>
      <w:r w:rsidRPr="00EF553B">
        <w:t>22.</w:t>
      </w:r>
      <w:r w:rsidRPr="00EF553B">
        <w:tab/>
        <w:t>Regista</w:t>
      </w:r>
      <w:proofErr w:type="gramEnd"/>
      <w:r w:rsidRPr="00EF553B">
        <w:t xml:space="preserve"> que a Agência aplica uma política de proteção da dignidade da pessoa e de prevenção do assédio moral e sexual, e que a Agência faz parte do grupo de trabalho interagências de conselheiros-confidentes; aguarda com expectativa o relatório e as recomendações desse grupo de trabalho; observa que não foram comunicados casos de assédio em 2022 e incentiva a Agência a prosseguir e a aperfeiçoar o trabalho de prevenção de casos de assédio também no futuro;</w:t>
      </w:r>
    </w:p>
    <w:p w14:paraId="1DE0A585" w14:textId="77777777" w:rsidR="004C4E7F" w:rsidRPr="00EF553B" w:rsidRDefault="004C4E7F" w:rsidP="004C4E7F">
      <w:pPr>
        <w:pStyle w:val="Normal12Hanging"/>
        <w:rPr>
          <w:szCs w:val="24"/>
        </w:rPr>
      </w:pPr>
      <w:r w:rsidRPr="00EF553B">
        <w:t>23.</w:t>
      </w:r>
      <w:r w:rsidRPr="00EF553B">
        <w:tab/>
        <w:t>Recorda a observação do Tribunal de 2021 sobre as deficiências processuais em dois procedimentos de recrutamento auditados, segundo as quais a Agência introduziu novas alterações aos seus processos de seleção, foram alterados os modelos e instruções fornecidos aos membros do júri e estão a ser fornecidas mais orientações aos membros do júri ao definir os critérios para um anúncio de vaga; observa ainda que o Tribunal considerou que essas melhorias eram satisfatórias, pelo que a observação foi encerrada;</w:t>
      </w:r>
    </w:p>
    <w:p w14:paraId="4E3A94E4" w14:textId="77777777" w:rsidR="004C4E7F" w:rsidRPr="00EF553B" w:rsidRDefault="004C4E7F" w:rsidP="004C4E7F">
      <w:pPr>
        <w:pStyle w:val="Normal12Hanging"/>
        <w:rPr>
          <w:szCs w:val="24"/>
        </w:rPr>
      </w:pPr>
      <w:r w:rsidRPr="00EF553B">
        <w:t>24.</w:t>
      </w:r>
      <w:r w:rsidRPr="00EF553B">
        <w:tab/>
        <w:t xml:space="preserve">Recorda que a Agência continua a aplicar uma redução gradual e progressiva do número total de lugares de agentes contratuais, para manter a coerência com a afetação global de recursos à Agência; observa que, ao mesmo tempo, a Agência continua a orientar os seus restantes lugares de agentes contratuais para as funções das operações de segurança e do Centro </w:t>
      </w:r>
      <w:proofErr w:type="spellStart"/>
      <w:r w:rsidRPr="00EF553B">
        <w:t>Galileo</w:t>
      </w:r>
      <w:proofErr w:type="spellEnd"/>
      <w:r w:rsidRPr="00EF553B">
        <w:t xml:space="preserve"> de Acompanhamento de Segurança (CGAS); salienta que, a esse respeito, a Agência continua a verificar que existem riscos associados à redução dos lugares de agentes contratuais, o que exige, de facto, uma externalização adicional, a qual leva a um aumento dos custos financeiros e resulta no desenvolvimento de competências e conhecimentos fora do setor público;</w:t>
      </w:r>
    </w:p>
    <w:p w14:paraId="386EC3CC" w14:textId="77777777" w:rsidR="004C4E7F" w:rsidRPr="00EF553B" w:rsidRDefault="004C4E7F" w:rsidP="004C4E7F">
      <w:pPr>
        <w:pStyle w:val="Normal12Hanging"/>
        <w:rPr>
          <w:szCs w:val="24"/>
        </w:rPr>
      </w:pPr>
      <w:proofErr w:type="gramStart"/>
      <w:r w:rsidRPr="00EF553B">
        <w:t>25.</w:t>
      </w:r>
      <w:r w:rsidRPr="00EF553B">
        <w:tab/>
        <w:t>Recorda</w:t>
      </w:r>
      <w:proofErr w:type="gramEnd"/>
      <w:r w:rsidRPr="00EF553B">
        <w:t>, com base no relatório do Tribunal, a observação de 2021 sobre as restrições impostas pela Agência a membros superiores do pessoal que vão trabalhar para outros locais, mas sem fornecer justificação para essas restrições; observa ainda que esta observação está encerrada, que a Agência reviu os seus procedimentos para resolver a deficiência identificada e que, em 2022, não foram observados casos semelhantes.</w:t>
      </w:r>
    </w:p>
    <w:p w14:paraId="0C5A4234" w14:textId="2D959008" w:rsidR="004C4E7F" w:rsidRPr="00EF553B" w:rsidRDefault="004C4E7F" w:rsidP="004C4E7F">
      <w:pPr>
        <w:pStyle w:val="Normal12Hanging"/>
        <w:rPr>
          <w:szCs w:val="24"/>
        </w:rPr>
      </w:pPr>
      <w:r w:rsidRPr="00EF553B">
        <w:t>26.</w:t>
      </w:r>
      <w:r w:rsidRPr="00EF553B">
        <w:tab/>
        <w:t>Congratula-se com o facto de, em 2022, a Agência ter integrado plenamente o módulo de gestão do tempo, incluindo o teletrabalho e o horário de trabalho flexível, e de ter assinado um acordo de nível de serviço adicional para o módulo de comunicação e análise de recursos humanos, a implantar em 2023; observa que a Agência adotou a decisão da Comissão sobre o tempo de trabal</w:t>
      </w:r>
      <w:r w:rsidR="001274CC">
        <w:t>ho e o trabalho híbrido C(2022)</w:t>
      </w:r>
      <w:r w:rsidRPr="00EF553B">
        <w:t xml:space="preserve">1778 e que está a acompanhar de perto os resultados dessa decisão, que se espera que melhore o </w:t>
      </w:r>
      <w:r w:rsidRPr="00EF553B">
        <w:lastRenderedPageBreak/>
        <w:t>bem-estar do pessoal no trabalho e facilite o equilíbrio entre a vida profissional e a vida familiar;</w:t>
      </w:r>
    </w:p>
    <w:p w14:paraId="7DAA773D" w14:textId="77777777" w:rsidR="004C4E7F" w:rsidRPr="00EF553B" w:rsidRDefault="004C4E7F" w:rsidP="004C4E7F">
      <w:pPr>
        <w:pStyle w:val="Normal12Hanging"/>
        <w:rPr>
          <w:szCs w:val="24"/>
        </w:rPr>
      </w:pPr>
      <w:r w:rsidRPr="00EF553B">
        <w:rPr>
          <w:b/>
          <w:i/>
        </w:rPr>
        <w:t>Contratação pública</w:t>
      </w:r>
    </w:p>
    <w:p w14:paraId="0FAD61C3" w14:textId="1406D79B" w:rsidR="004C4E7F" w:rsidRPr="00EF553B" w:rsidRDefault="004C4E7F" w:rsidP="004C4E7F">
      <w:pPr>
        <w:pStyle w:val="Normal12Hanging"/>
        <w:rPr>
          <w:szCs w:val="24"/>
        </w:rPr>
      </w:pPr>
      <w:r w:rsidRPr="00EF553B">
        <w:t>27.</w:t>
      </w:r>
      <w:r w:rsidRPr="00EF553B">
        <w:tab/>
        <w:t>Observa, com base no relatório do Tribunal, que, em setembro de 2021, a Agência lançou um procedimento por negociação, sem publicação prévia, de um anúncio de concurso com uma entidade pública nacional para a prestação de vários serviços, relacionados com atividades de busca e salvamento; salienta que o proponente já prestava serviços semelhantes à Agência desde 2016 e que a Agência tencionava celebrar um novo contrato-quadro com uma data de termo fixada em 31 de dezembro de</w:t>
      </w:r>
      <w:r w:rsidR="00084475" w:rsidRPr="00EF553B">
        <w:t> </w:t>
      </w:r>
      <w:r w:rsidRPr="00EF553B">
        <w:t xml:space="preserve">2032 e um orçamento máximo de 120 milhões de EUR; observa que o contrato-quadro definitivo foi celebrado a 1 de dezembro de 2022, com a participação de vários subcontratantes; refere que o Tribunal observou algumas discrepâncias entre os requisitos do caderno de encargos e a apreciação do comité de avaliação; assinala que, por exemplo, o requisito de declarar a ausência de conflito de interesses para os contratantes na fase de avaliação foi retirado ou não foi devidamente analisado, sendo outro exemplo o facto de a proposta recebida, em vez de utilizar o ano de 2021 como referência para a fixação dos preços, de acordo com as especificações técnicas, </w:t>
      </w:r>
      <w:r w:rsidR="00084475" w:rsidRPr="00EF553B">
        <w:t>utilizou </w:t>
      </w:r>
      <w:r w:rsidRPr="00EF553B">
        <w:t>2022 como ano de referência; toma nota da análise da Agência segundo a qual as discrepâncias foram justificadas pelo estatuto do contratante principal, que é uma entidade pública nacional, e pelos controlos efetuados por esta última e que, no que diz respeito ao ano de referência utilizado para fixar o preço na proposta, a Agência aceitou o desvio devido à duração do procedimento que conduziu à celebração do contrato no final de 2022;</w:t>
      </w:r>
    </w:p>
    <w:p w14:paraId="098C4066" w14:textId="77777777" w:rsidR="004C4E7F" w:rsidRPr="00EF553B" w:rsidRDefault="004C4E7F" w:rsidP="004C4E7F">
      <w:pPr>
        <w:pStyle w:val="Normal12Hanging"/>
        <w:rPr>
          <w:szCs w:val="24"/>
        </w:rPr>
      </w:pPr>
      <w:r w:rsidRPr="00EF553B">
        <w:t>28.</w:t>
      </w:r>
      <w:r w:rsidRPr="00EF553B">
        <w:tab/>
        <w:t>Salienta que o objetivo das regras de contratação pública é permitir que as entidades contratantes obtenham os bens e serviços de que necessitam ao melhor preço, garantindo a concorrência leal entre os proponentes e o cumprimento dos princípios da transparência, proporcionalidade, igualdade de tratamento e não discriminação; insta a Agência a continuar a melhorar os seus procedimentos de adjudicação de contratos públicos, com vista ao cumprimento integral das regras aplicáveis para garantir a otimização dos seus recursos;</w:t>
      </w:r>
    </w:p>
    <w:p w14:paraId="648F3243" w14:textId="77777777" w:rsidR="004C4E7F" w:rsidRPr="00EF553B" w:rsidRDefault="004C4E7F" w:rsidP="004C4E7F">
      <w:pPr>
        <w:pStyle w:val="Normal12Hanging"/>
        <w:rPr>
          <w:b/>
          <w:i/>
          <w:szCs w:val="24"/>
        </w:rPr>
      </w:pPr>
      <w:r w:rsidRPr="00EF553B">
        <w:rPr>
          <w:b/>
          <w:i/>
        </w:rPr>
        <w:t>Prevenção e gestão de conflitos de interesses e transparência</w:t>
      </w:r>
    </w:p>
    <w:p w14:paraId="648830CB" w14:textId="77777777" w:rsidR="004C4E7F" w:rsidRPr="00EF553B" w:rsidRDefault="004C4E7F" w:rsidP="004C4E7F">
      <w:pPr>
        <w:pStyle w:val="Normal12Hanging"/>
        <w:rPr>
          <w:szCs w:val="24"/>
        </w:rPr>
      </w:pPr>
      <w:r w:rsidRPr="00EF553B">
        <w:t>29.</w:t>
      </w:r>
      <w:r w:rsidRPr="00EF553B">
        <w:tab/>
        <w:t>Observa que a Agência realizou uma ampla avaliação da execução da sua estratégia antifraude em 2020 e, por conseguinte, em 2022, a Agência publicou a sua nova estratégia antifraude, que foi adotada pelo conselho de administração da Agência; observa que a Agência está agora a começar a aplicá-la com medidas importantes e abrangentes, que afetam, em particular, o seu pessoal; regista com satisfação que as declarações de interesses e os CV dos membros do conselho de administração e dos quadros superiores sejam publicados no sítio Web da Agência;</w:t>
      </w:r>
    </w:p>
    <w:p w14:paraId="57C4D0A2" w14:textId="77777777" w:rsidR="004C4E7F" w:rsidRPr="00EF553B" w:rsidRDefault="004C4E7F" w:rsidP="004C4E7F">
      <w:pPr>
        <w:pStyle w:val="Normal12Hanging"/>
      </w:pPr>
      <w:r w:rsidRPr="00EF553B">
        <w:t>30.</w:t>
      </w:r>
      <w:r w:rsidRPr="00EF553B">
        <w:tab/>
        <w:t xml:space="preserve">Observa que a Agência teve um caso de denúncia de irregularidades em 2022, que resultou em várias investigações, algumas das quais ainda estão em curso em 2023; exorta a Agência a informar a autoridade de quitação sobre quaisquer desenvolvimentos nessa matéria; observa, com base no relatório de seguimento da Agência de 2021, que, no que diz respeito ao caso de denúncia de irregularidades de 2021, a Agência cooperou, conforme necessário, com o OLAF, fornecendo todas as informações disponíveis que lhe foram solicitadas; observa que, em 2022, não foi investigado ou </w:t>
      </w:r>
      <w:r w:rsidRPr="00EF553B">
        <w:lastRenderedPageBreak/>
        <w:t>concluído nenhum caso de conflito de interesses;</w:t>
      </w:r>
    </w:p>
    <w:p w14:paraId="3484BE7A" w14:textId="77777777" w:rsidR="004C4E7F" w:rsidRPr="00EF553B" w:rsidRDefault="004C4E7F" w:rsidP="004C4E7F">
      <w:pPr>
        <w:pStyle w:val="Normal12Hanging"/>
      </w:pPr>
      <w:proofErr w:type="gramStart"/>
      <w:r w:rsidRPr="00EF553B">
        <w:t>31.</w:t>
      </w:r>
      <w:r w:rsidRPr="00EF553B">
        <w:tab/>
        <w:t>Toma</w:t>
      </w:r>
      <w:proofErr w:type="gramEnd"/>
      <w:r w:rsidRPr="00EF553B">
        <w:t xml:space="preserve"> nota de que é mantido um registo interno das reuniões dos quadros superiores com a indústria, mas que este não é publicado na página Web da Agência; salienta a importância da transparência, pelo que insta a Agência a publicá-lo sem demora;</w:t>
      </w:r>
    </w:p>
    <w:p w14:paraId="638C302D" w14:textId="77777777" w:rsidR="004C4E7F" w:rsidRPr="00EF553B" w:rsidRDefault="004C4E7F" w:rsidP="004C4E7F">
      <w:pPr>
        <w:pStyle w:val="Normal12Hanging"/>
        <w:rPr>
          <w:szCs w:val="24"/>
        </w:rPr>
      </w:pPr>
      <w:proofErr w:type="gramStart"/>
      <w:r w:rsidRPr="00EF553B">
        <w:t>32.</w:t>
      </w:r>
      <w:r w:rsidRPr="00EF553B">
        <w:tab/>
        <w:t>Reitera</w:t>
      </w:r>
      <w:proofErr w:type="gramEnd"/>
      <w:r w:rsidRPr="00EF553B">
        <w:t xml:space="preserve"> a necessidade de prosseguir o trabalho em matéria de transparência, incompatibilidades, conflitos de interesses, lóbis ilegais e portas giratórias;</w:t>
      </w:r>
    </w:p>
    <w:p w14:paraId="142110BB" w14:textId="77777777" w:rsidR="004C4E7F" w:rsidRPr="00EF553B" w:rsidRDefault="004C4E7F" w:rsidP="004C4E7F">
      <w:pPr>
        <w:pStyle w:val="NormalHanging12a"/>
      </w:pPr>
      <w:proofErr w:type="gramStart"/>
      <w:r w:rsidRPr="00EF553B">
        <w:t>33.</w:t>
      </w:r>
      <w:r w:rsidRPr="00EF553B">
        <w:tab/>
        <w:t>Recorda</w:t>
      </w:r>
      <w:proofErr w:type="gramEnd"/>
      <w:r w:rsidRPr="00EF553B">
        <w:t xml:space="preserve"> a importância de a Agência desenvolver uma maior visibilidade nos meios de comunicação social, na Internet e nas redes sociais, para dar a conhecer o seu trabalho aos cidadãos;</w:t>
      </w:r>
    </w:p>
    <w:p w14:paraId="538B9C5E" w14:textId="77777777" w:rsidR="004C4E7F" w:rsidRPr="00EF553B" w:rsidRDefault="004C4E7F" w:rsidP="004C4E7F">
      <w:pPr>
        <w:pStyle w:val="Normal12Hanging"/>
        <w:rPr>
          <w:szCs w:val="24"/>
        </w:rPr>
      </w:pPr>
      <w:r w:rsidRPr="00EF553B">
        <w:rPr>
          <w:b/>
          <w:i/>
        </w:rPr>
        <w:t>Outras observações</w:t>
      </w:r>
    </w:p>
    <w:p w14:paraId="2DFA9219" w14:textId="075931E8" w:rsidR="004C4E7F" w:rsidRPr="00EF553B" w:rsidRDefault="004C4E7F" w:rsidP="004C4E7F">
      <w:pPr>
        <w:pStyle w:val="NormalCenter12a"/>
        <w:ind w:left="567" w:hanging="567"/>
        <w:jc w:val="left"/>
        <w:rPr>
          <w:szCs w:val="24"/>
        </w:rPr>
      </w:pPr>
      <w:r w:rsidRPr="00EF553B">
        <w:t>34.</w:t>
      </w:r>
      <w:r w:rsidRPr="00EF553B">
        <w:tab/>
        <w:t xml:space="preserve">Louva a Agência por se ter mantido ativa nas maiores plataformas de redes sociais, pela abertura de contas nos canais europeus das redes sociais europeias respeitadoras da privacidade, </w:t>
      </w:r>
      <w:proofErr w:type="spellStart"/>
      <w:r w:rsidRPr="00EF553B">
        <w:t>Mastodon</w:t>
      </w:r>
      <w:proofErr w:type="spellEnd"/>
      <w:r w:rsidRPr="00EF553B">
        <w:t xml:space="preserve"> e </w:t>
      </w:r>
      <w:proofErr w:type="spellStart"/>
      <w:r w:rsidRPr="00EF553B">
        <w:t>Peertube</w:t>
      </w:r>
      <w:proofErr w:type="spellEnd"/>
      <w:r w:rsidRPr="00EF553B">
        <w:t xml:space="preserve">, por publicar 107 notícias no seu sítio Web e </w:t>
      </w:r>
      <w:r w:rsidR="00084475" w:rsidRPr="00EF553B">
        <w:t>13 </w:t>
      </w:r>
      <w:r w:rsidRPr="00EF553B">
        <w:t xml:space="preserve">comunicados de imprensa (a maioria em todas as línguas oficiais da UE), com o objetivo de chegar a todos os Estados-Membros; observa ainda que a Agência organizou eventos como a Semana Europeia do Espaço (3 000 visitantes no local e em linha), as Jornadas Abertas EUSPA, as </w:t>
      </w:r>
      <w:proofErr w:type="spellStart"/>
      <w:r w:rsidRPr="00EF553B">
        <w:t>Hackathons</w:t>
      </w:r>
      <w:proofErr w:type="spellEnd"/>
      <w:r w:rsidRPr="00EF553B">
        <w:t xml:space="preserve"> CASSINI, sessões de informação sobre o Horizonte Europa e inúmeros </w:t>
      </w:r>
      <w:proofErr w:type="spellStart"/>
      <w:r w:rsidRPr="00EF553B">
        <w:t>webinários</w:t>
      </w:r>
      <w:proofErr w:type="spellEnd"/>
      <w:r w:rsidRPr="00EF553B">
        <w:t xml:space="preserve"> sobre oportunidades de contratação pública;</w:t>
      </w:r>
    </w:p>
    <w:p w14:paraId="1B4042D0" w14:textId="10772F9F" w:rsidR="00E33BAA" w:rsidRPr="00EF553B" w:rsidRDefault="00E33BAA" w:rsidP="00E33BAA">
      <w:pPr>
        <w:pStyle w:val="NormalCenter12a"/>
        <w:widowControl/>
      </w:pPr>
      <w:r w:rsidRPr="00EF553B">
        <w:t>°</w:t>
      </w:r>
    </w:p>
    <w:p w14:paraId="476A8F99" w14:textId="35DAF34C" w:rsidR="00E33BAA" w:rsidRPr="00EF553B" w:rsidRDefault="00E33BAA" w:rsidP="00E33BAA">
      <w:pPr>
        <w:pStyle w:val="NormalCenter12a"/>
        <w:widowControl/>
      </w:pPr>
      <w:r w:rsidRPr="00EF553B">
        <w:t>°     °</w:t>
      </w:r>
    </w:p>
    <w:p w14:paraId="401D94C7" w14:textId="76FF9012" w:rsidR="00E365E1" w:rsidRPr="00EF553B" w:rsidRDefault="004C4E7F" w:rsidP="00F50EAA">
      <w:pPr>
        <w:pStyle w:val="NormalHanging12a"/>
      </w:pPr>
      <w:r w:rsidRPr="00EF553B">
        <w:t>35.</w:t>
      </w:r>
      <w:r w:rsidRPr="00EF553B">
        <w:tab/>
        <w:t>Remete, em relação a outras observações</w:t>
      </w:r>
      <w:r w:rsidR="00E73D3F" w:rsidRPr="00EF553B">
        <w:t>,</w:t>
      </w:r>
      <w:r w:rsidRPr="00EF553B">
        <w:t xml:space="preserve"> de natureza horizontal</w:t>
      </w:r>
      <w:r w:rsidR="00E73D3F" w:rsidRPr="00EF553B">
        <w:t>,</w:t>
      </w:r>
      <w:r w:rsidRPr="00EF553B">
        <w:t xml:space="preserve"> que acompanham a sua decisão sobre a quitação, para a sua resolução, de </w:t>
      </w:r>
      <w:r w:rsidR="005A1BCE">
        <w:t xml:space="preserve">11 de abril de </w:t>
      </w:r>
      <w:bookmarkStart w:id="9" w:name="_GoBack"/>
      <w:bookmarkEnd w:id="9"/>
      <w:r w:rsidR="00F50EAA" w:rsidRPr="00EF553B">
        <w:t>2024</w:t>
      </w:r>
      <w:r w:rsidRPr="00EF553B">
        <w:rPr>
          <w:rStyle w:val="FootnoteReference"/>
        </w:rPr>
        <w:footnoteReference w:id="12"/>
      </w:r>
      <w:r w:rsidR="00E73D3F" w:rsidRPr="00EF553B">
        <w:t>,</w:t>
      </w:r>
      <w:r w:rsidRPr="00EF553B">
        <w:t xml:space="preserve"> sobre o desempenho, a gestão financeira e o controlo das agências.</w:t>
      </w:r>
    </w:p>
    <w:sectPr w:rsidR="00E365E1" w:rsidRPr="00EF553B" w:rsidSect="00072FC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4722FF" w14:textId="77777777" w:rsidR="00583828" w:rsidRPr="00072FCA" w:rsidRDefault="00583828">
      <w:r w:rsidRPr="00072FCA">
        <w:separator/>
      </w:r>
    </w:p>
  </w:endnote>
  <w:endnote w:type="continuationSeparator" w:id="0">
    <w:p w14:paraId="36B1FF7C" w14:textId="77777777" w:rsidR="00583828" w:rsidRPr="00072FCA" w:rsidRDefault="00583828">
      <w:r w:rsidRPr="00072F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4E2A82" w14:textId="77777777" w:rsidR="004C4E7F" w:rsidRPr="00072FCA" w:rsidRDefault="004C4E7F" w:rsidP="00135DA8">
    <w:pPr>
      <w:pStyle w:val="EPFooter"/>
    </w:pPr>
    <w:r w:rsidRPr="00072FCA">
      <w:t>PE</w:t>
    </w:r>
    <w:r w:rsidRPr="00072FCA">
      <w:rPr>
        <w:rStyle w:val="HideTWBExt"/>
      </w:rPr>
      <w:t>&lt;NoPE&gt;</w:t>
    </w:r>
    <w:r w:rsidRPr="00072FCA">
      <w:t>753.541</w:t>
    </w:r>
    <w:r w:rsidRPr="00072FCA">
      <w:rPr>
        <w:rStyle w:val="HideTWBExt"/>
      </w:rPr>
      <w:t>&lt;/NoPE&gt;&lt;Version&gt;</w:t>
    </w:r>
    <w:r w:rsidRPr="00072FCA">
      <w:t>v03-00</w:t>
    </w:r>
    <w:r w:rsidRPr="00072FCA">
      <w:rPr>
        <w:rStyle w:val="HideTWBExt"/>
      </w:rPr>
      <w:t>&lt;/Version&gt;</w:t>
    </w:r>
    <w:r w:rsidRPr="00072FCA">
      <w:tab/>
    </w:r>
    <w:r w:rsidRPr="00072FCA">
      <w:fldChar w:fldCharType="begin"/>
    </w:r>
    <w:r w:rsidRPr="00072FCA">
      <w:instrText xml:space="preserve"> PAGE  \* MERGEFORMAT </w:instrText>
    </w:r>
    <w:r w:rsidRPr="00072FCA">
      <w:fldChar w:fldCharType="separate"/>
    </w:r>
    <w:r w:rsidRPr="00072FCA">
      <w:rPr>
        <w:noProof/>
      </w:rPr>
      <w:t>4</w:t>
    </w:r>
    <w:r w:rsidRPr="00072FCA">
      <w:fldChar w:fldCharType="end"/>
    </w:r>
    <w:r w:rsidRPr="00072FCA">
      <w:t>/</w:t>
    </w:r>
    <w:r w:rsidR="005A1BCE">
      <w:fldChar w:fldCharType="begin"/>
    </w:r>
    <w:r w:rsidR="005A1BCE">
      <w:instrText xml:space="preserve"> NUMPAGES  \* MERGEFORMAT </w:instrText>
    </w:r>
    <w:r w:rsidR="005A1BCE">
      <w:fldChar w:fldCharType="separate"/>
    </w:r>
    <w:r w:rsidRPr="00072FCA">
      <w:rPr>
        <w:noProof/>
      </w:rPr>
      <w:t>4</w:t>
    </w:r>
    <w:r w:rsidR="005A1BCE">
      <w:rPr>
        <w:noProof/>
      </w:rPr>
      <w:fldChar w:fldCharType="end"/>
    </w:r>
    <w:r w:rsidRPr="00072FCA">
      <w:tab/>
    </w:r>
    <w:r w:rsidRPr="00072FCA">
      <w:rPr>
        <w:rStyle w:val="HideTWBExt"/>
      </w:rPr>
      <w:t>&lt;PathFdR&gt;</w:t>
    </w:r>
    <w:r w:rsidRPr="00072FCA">
      <w:t>RR\1299048PT.docx</w:t>
    </w:r>
    <w:r w:rsidRPr="00072FCA">
      <w:rPr>
        <w:rStyle w:val="HideTWBExt"/>
      </w:rPr>
      <w:t>&lt;/PathFdR&gt;</w:t>
    </w:r>
  </w:p>
  <w:p w14:paraId="40C19B56" w14:textId="77777777" w:rsidR="004C4E7F" w:rsidRPr="00072FCA" w:rsidRDefault="004C4E7F" w:rsidP="00135DA8">
    <w:pPr>
      <w:pStyle w:val="EPFooter2"/>
    </w:pPr>
    <w:r w:rsidRPr="00072FCA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849FE" w14:textId="77777777" w:rsidR="004C4E7F" w:rsidRPr="00F50EAA" w:rsidRDefault="004C4E7F" w:rsidP="00F50EAA">
    <w:pPr>
      <w:pStyle w:val="EPFooter2"/>
      <w:ind w:left="0"/>
      <w:rPr>
        <w:rFonts w:ascii="Times New Roman" w:hAnsi="Times New Roman" w:cs="Times New Roman"/>
        <w:b w:val="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986E9C" w14:textId="77777777" w:rsidR="004C4E7F" w:rsidRPr="00072FCA" w:rsidRDefault="004C4E7F" w:rsidP="00135DA8">
    <w:pPr>
      <w:pStyle w:val="EPFooter"/>
    </w:pPr>
    <w:r w:rsidRPr="00072FCA">
      <w:rPr>
        <w:rStyle w:val="HideTWBExt"/>
      </w:rPr>
      <w:t>&lt;PathFdR&gt;</w:t>
    </w:r>
    <w:r w:rsidRPr="00072FCA">
      <w:t>RR\1299048PT.docx</w:t>
    </w:r>
    <w:r w:rsidRPr="00072FCA">
      <w:rPr>
        <w:rStyle w:val="HideTWBExt"/>
      </w:rPr>
      <w:t>&lt;/PathFdR&gt;</w:t>
    </w:r>
    <w:r w:rsidRPr="00072FCA">
      <w:tab/>
    </w:r>
    <w:r w:rsidRPr="00072FCA">
      <w:tab/>
      <w:t>PE</w:t>
    </w:r>
    <w:r w:rsidRPr="00072FCA">
      <w:rPr>
        <w:rStyle w:val="HideTWBExt"/>
      </w:rPr>
      <w:t>&lt;NoPE&gt;</w:t>
    </w:r>
    <w:r w:rsidRPr="00072FCA">
      <w:t>753.541</w:t>
    </w:r>
    <w:r w:rsidRPr="00072FCA">
      <w:rPr>
        <w:rStyle w:val="HideTWBExt"/>
      </w:rPr>
      <w:t>&lt;/NoPE&gt;&lt;Version&gt;</w:t>
    </w:r>
    <w:r w:rsidRPr="00072FCA">
      <w:t>v03-00</w:t>
    </w:r>
    <w:r w:rsidRPr="00072FCA">
      <w:rPr>
        <w:rStyle w:val="HideTWBExt"/>
      </w:rPr>
      <w:t>&lt;/Version&gt;</w:t>
    </w:r>
  </w:p>
  <w:p w14:paraId="18D8316A" w14:textId="77777777" w:rsidR="004C4E7F" w:rsidRPr="00072FCA" w:rsidRDefault="004C4E7F" w:rsidP="00135DA8">
    <w:pPr>
      <w:pStyle w:val="EPFooter2"/>
    </w:pPr>
    <w:r w:rsidRPr="00072FCA">
      <w:t>PT</w:t>
    </w:r>
    <w:r w:rsidRPr="00072FCA">
      <w:tab/>
    </w:r>
    <w:r w:rsidRPr="00072FCA">
      <w:rPr>
        <w:b w:val="0"/>
        <w:i/>
        <w:color w:val="C0C0C0"/>
        <w:sz w:val="22"/>
      </w:rPr>
      <w:t>Unida na diversidade</w:t>
    </w:r>
    <w:r w:rsidRPr="00072FCA">
      <w:tab/>
      <w:t>PT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6516C4" w14:textId="77777777" w:rsidR="00064002" w:rsidRPr="00072FCA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21E496" w14:textId="77777777" w:rsidR="00064002" w:rsidRPr="00072FCA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5F1C4D" w14:textId="77777777" w:rsidR="00064002" w:rsidRPr="00072FC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DAB49A" w14:textId="77777777" w:rsidR="00583828" w:rsidRPr="00072FCA" w:rsidRDefault="00583828">
      <w:r w:rsidRPr="00072FCA">
        <w:separator/>
      </w:r>
    </w:p>
  </w:footnote>
  <w:footnote w:type="continuationSeparator" w:id="0">
    <w:p w14:paraId="087A43C6" w14:textId="77777777" w:rsidR="00583828" w:rsidRPr="00072FCA" w:rsidRDefault="00583828">
      <w:r w:rsidRPr="00072FCA">
        <w:continuationSeparator/>
      </w:r>
    </w:p>
  </w:footnote>
  <w:footnote w:id="1">
    <w:p w14:paraId="62E62C61" w14:textId="77777777" w:rsidR="004C4E7F" w:rsidRPr="00FA36A8" w:rsidRDefault="004C4E7F" w:rsidP="00072FCA">
      <w:pPr>
        <w:pStyle w:val="FootnoteText"/>
        <w:ind w:left="567" w:hanging="567"/>
        <w:rPr>
          <w:sz w:val="24"/>
          <w:lang w:val="fi-FI"/>
        </w:rPr>
      </w:pPr>
      <w:r w:rsidRPr="00072FCA">
        <w:rPr>
          <w:rStyle w:val="FootnoteReference"/>
          <w:sz w:val="24"/>
          <w:lang w:val="pt-PT"/>
        </w:rPr>
        <w:footnoteRef/>
      </w:r>
      <w:r w:rsidR="00072FCA" w:rsidRPr="00FA36A8">
        <w:rPr>
          <w:sz w:val="24"/>
          <w:lang w:val="fi-FI"/>
        </w:rPr>
        <w:t xml:space="preserve"> </w:t>
      </w:r>
      <w:r w:rsidR="00072FCA" w:rsidRPr="00FA36A8">
        <w:rPr>
          <w:sz w:val="24"/>
          <w:lang w:val="fi-FI"/>
        </w:rPr>
        <w:tab/>
      </w:r>
      <w:r w:rsidRPr="00FA36A8">
        <w:rPr>
          <w:sz w:val="24"/>
          <w:lang w:val="fi-FI"/>
        </w:rPr>
        <w:t>JO C, C/2023/594, 27.10.2023.</w:t>
      </w:r>
    </w:p>
  </w:footnote>
  <w:footnote w:id="2">
    <w:p w14:paraId="33416D8A" w14:textId="77777777" w:rsidR="004C4E7F" w:rsidRPr="00FA36A8" w:rsidRDefault="004C4E7F" w:rsidP="00072FCA">
      <w:pPr>
        <w:pStyle w:val="FootnoteText"/>
        <w:ind w:left="567" w:hanging="567"/>
        <w:rPr>
          <w:sz w:val="24"/>
          <w:lang w:val="fi-FI"/>
        </w:rPr>
      </w:pPr>
      <w:r w:rsidRPr="00072FCA">
        <w:rPr>
          <w:rStyle w:val="FootnoteReference"/>
          <w:sz w:val="24"/>
          <w:lang w:val="pt-PT"/>
        </w:rPr>
        <w:footnoteRef/>
      </w:r>
      <w:r w:rsidR="00072FCA" w:rsidRPr="00FA36A8">
        <w:rPr>
          <w:sz w:val="24"/>
          <w:lang w:val="fi-FI"/>
        </w:rPr>
        <w:t xml:space="preserve"> </w:t>
      </w:r>
      <w:r w:rsidR="00072FCA" w:rsidRPr="00FA36A8">
        <w:rPr>
          <w:sz w:val="24"/>
          <w:lang w:val="fi-FI"/>
        </w:rPr>
        <w:tab/>
      </w:r>
      <w:r w:rsidRPr="00FA36A8">
        <w:rPr>
          <w:sz w:val="24"/>
          <w:lang w:val="fi-FI"/>
        </w:rPr>
        <w:t>JO C, C/2023/112, 12.10.2023.</w:t>
      </w:r>
    </w:p>
  </w:footnote>
  <w:footnote w:id="3">
    <w:p w14:paraId="70141AFA" w14:textId="77777777" w:rsidR="004C4E7F" w:rsidRPr="00FA36A8" w:rsidRDefault="004C4E7F" w:rsidP="00072FCA">
      <w:pPr>
        <w:pStyle w:val="FootnoteText"/>
        <w:ind w:left="567" w:hanging="567"/>
        <w:rPr>
          <w:sz w:val="24"/>
          <w:lang w:val="fi-FI"/>
        </w:rPr>
      </w:pPr>
      <w:r w:rsidRPr="00072FCA">
        <w:rPr>
          <w:rStyle w:val="FootnoteReference"/>
          <w:sz w:val="24"/>
          <w:lang w:val="pt-PT"/>
        </w:rPr>
        <w:footnoteRef/>
      </w:r>
      <w:r w:rsidR="00072FCA" w:rsidRPr="00FA36A8">
        <w:rPr>
          <w:sz w:val="24"/>
          <w:lang w:val="fi-FI"/>
        </w:rPr>
        <w:t xml:space="preserve"> </w:t>
      </w:r>
      <w:r w:rsidR="00072FCA" w:rsidRPr="00FA36A8">
        <w:rPr>
          <w:sz w:val="24"/>
          <w:lang w:val="fi-FI"/>
        </w:rPr>
        <w:tab/>
      </w:r>
      <w:r w:rsidRPr="00FA36A8">
        <w:rPr>
          <w:sz w:val="24"/>
          <w:lang w:val="fi-FI"/>
        </w:rPr>
        <w:t>JO L 193 de 30.7.2018, p. 1.</w:t>
      </w:r>
    </w:p>
  </w:footnote>
  <w:footnote w:id="4">
    <w:p w14:paraId="4E5BCC79" w14:textId="77777777" w:rsidR="004C4E7F" w:rsidRPr="00FA36A8" w:rsidRDefault="004C4E7F" w:rsidP="00072FCA">
      <w:pPr>
        <w:pStyle w:val="FootnoteText"/>
        <w:ind w:left="567" w:hanging="567"/>
        <w:rPr>
          <w:sz w:val="24"/>
          <w:lang w:val="da-DK"/>
        </w:rPr>
      </w:pPr>
      <w:r w:rsidRPr="00072FCA">
        <w:rPr>
          <w:rStyle w:val="FootnoteReference"/>
          <w:sz w:val="24"/>
          <w:lang w:val="pt-PT"/>
        </w:rPr>
        <w:footnoteRef/>
      </w:r>
      <w:r w:rsidR="00072FCA" w:rsidRPr="00FA36A8">
        <w:rPr>
          <w:sz w:val="24"/>
          <w:lang w:val="da-DK"/>
        </w:rPr>
        <w:t xml:space="preserve"> </w:t>
      </w:r>
      <w:r w:rsidR="00072FCA" w:rsidRPr="00FA36A8">
        <w:rPr>
          <w:sz w:val="24"/>
          <w:lang w:val="da-DK"/>
        </w:rPr>
        <w:tab/>
      </w:r>
      <w:r w:rsidRPr="00FA36A8">
        <w:rPr>
          <w:sz w:val="24"/>
          <w:lang w:val="da-DK"/>
        </w:rPr>
        <w:t>JO L 170 de 12.5.2021, p. 69.</w:t>
      </w:r>
    </w:p>
  </w:footnote>
  <w:footnote w:id="5">
    <w:p w14:paraId="32C02E47" w14:textId="77777777" w:rsidR="004C4E7F" w:rsidRPr="00FA36A8" w:rsidRDefault="004C4E7F" w:rsidP="00072FCA">
      <w:pPr>
        <w:pStyle w:val="FootnoteText"/>
        <w:ind w:left="567" w:hanging="567"/>
        <w:rPr>
          <w:sz w:val="24"/>
          <w:lang w:val="da-DK"/>
        </w:rPr>
      </w:pPr>
      <w:r w:rsidRPr="00072FCA">
        <w:rPr>
          <w:rStyle w:val="FootnoteReference"/>
          <w:sz w:val="24"/>
          <w:lang w:val="pt-PT"/>
        </w:rPr>
        <w:footnoteRef/>
      </w:r>
      <w:r w:rsidR="00072FCA" w:rsidRPr="00FA36A8">
        <w:rPr>
          <w:sz w:val="24"/>
          <w:lang w:val="da-DK"/>
        </w:rPr>
        <w:t xml:space="preserve"> </w:t>
      </w:r>
      <w:r w:rsidR="00072FCA" w:rsidRPr="00FA36A8">
        <w:rPr>
          <w:sz w:val="24"/>
          <w:lang w:val="da-DK"/>
        </w:rPr>
        <w:tab/>
      </w:r>
      <w:r w:rsidRPr="00FA36A8">
        <w:rPr>
          <w:sz w:val="24"/>
          <w:lang w:val="da-DK"/>
        </w:rPr>
        <w:t>JO L 122 de 10.5.2019, p. 1.</w:t>
      </w:r>
    </w:p>
  </w:footnote>
  <w:footnote w:id="6">
    <w:p w14:paraId="11BC17FD" w14:textId="77777777" w:rsidR="004C4E7F" w:rsidRPr="00FA36A8" w:rsidRDefault="004C4E7F" w:rsidP="00072FCA">
      <w:pPr>
        <w:pStyle w:val="FootnoteText"/>
        <w:ind w:left="567" w:hanging="567"/>
        <w:rPr>
          <w:sz w:val="24"/>
          <w:lang w:val="fi-FI"/>
        </w:rPr>
      </w:pPr>
      <w:r w:rsidRPr="00072FCA">
        <w:rPr>
          <w:rStyle w:val="FootnoteReference"/>
          <w:sz w:val="24"/>
          <w:lang w:val="pt-PT"/>
        </w:rPr>
        <w:footnoteRef/>
      </w:r>
      <w:r w:rsidR="00072FCA" w:rsidRPr="00FA36A8">
        <w:rPr>
          <w:sz w:val="24"/>
          <w:lang w:val="fi-FI"/>
        </w:rPr>
        <w:t xml:space="preserve"> </w:t>
      </w:r>
      <w:r w:rsidR="00072FCA" w:rsidRPr="00FA36A8">
        <w:rPr>
          <w:sz w:val="24"/>
          <w:lang w:val="fi-FI"/>
        </w:rPr>
        <w:tab/>
      </w:r>
      <w:r w:rsidRPr="00FA36A8">
        <w:rPr>
          <w:sz w:val="24"/>
          <w:lang w:val="fi-FI"/>
        </w:rPr>
        <w:t xml:space="preserve">JO C, C/2023/594, 27.10.2023. </w:t>
      </w:r>
    </w:p>
  </w:footnote>
  <w:footnote w:id="7">
    <w:p w14:paraId="77F0EF3E" w14:textId="77777777" w:rsidR="004C4E7F" w:rsidRPr="00FA36A8" w:rsidRDefault="004C4E7F" w:rsidP="00072FCA">
      <w:pPr>
        <w:pStyle w:val="FootnoteText"/>
        <w:ind w:left="567" w:hanging="567"/>
        <w:rPr>
          <w:sz w:val="24"/>
          <w:lang w:val="fi-FI"/>
        </w:rPr>
      </w:pPr>
      <w:r w:rsidRPr="00072FCA">
        <w:rPr>
          <w:rStyle w:val="FootnoteReference"/>
          <w:sz w:val="24"/>
          <w:lang w:val="pt-PT"/>
        </w:rPr>
        <w:footnoteRef/>
      </w:r>
      <w:r w:rsidR="00072FCA" w:rsidRPr="00FA36A8">
        <w:rPr>
          <w:sz w:val="24"/>
          <w:lang w:val="fi-FI"/>
        </w:rPr>
        <w:t xml:space="preserve"> </w:t>
      </w:r>
      <w:r w:rsidR="00072FCA" w:rsidRPr="00FA36A8">
        <w:rPr>
          <w:sz w:val="24"/>
          <w:lang w:val="fi-FI"/>
        </w:rPr>
        <w:tab/>
      </w:r>
      <w:r w:rsidRPr="00FA36A8">
        <w:rPr>
          <w:sz w:val="24"/>
          <w:lang w:val="fi-FI"/>
        </w:rPr>
        <w:t xml:space="preserve">JO C, C/2023/112, 12.10.2023. </w:t>
      </w:r>
    </w:p>
  </w:footnote>
  <w:footnote w:id="8">
    <w:p w14:paraId="71170F69" w14:textId="77777777" w:rsidR="004C4E7F" w:rsidRPr="00FA36A8" w:rsidRDefault="004C4E7F" w:rsidP="00072FCA">
      <w:pPr>
        <w:pStyle w:val="FootnoteText"/>
        <w:ind w:left="567" w:hanging="567"/>
        <w:rPr>
          <w:sz w:val="24"/>
          <w:lang w:val="fi-FI"/>
        </w:rPr>
      </w:pPr>
      <w:r w:rsidRPr="00072FCA">
        <w:rPr>
          <w:rStyle w:val="FootnoteReference"/>
          <w:sz w:val="24"/>
          <w:lang w:val="pt-PT"/>
        </w:rPr>
        <w:footnoteRef/>
      </w:r>
      <w:r w:rsidR="00072FCA" w:rsidRPr="00FA36A8">
        <w:rPr>
          <w:sz w:val="24"/>
          <w:lang w:val="fi-FI"/>
        </w:rPr>
        <w:t xml:space="preserve"> </w:t>
      </w:r>
      <w:r w:rsidR="00072FCA" w:rsidRPr="00FA36A8">
        <w:rPr>
          <w:sz w:val="24"/>
          <w:lang w:val="fi-FI"/>
        </w:rPr>
        <w:tab/>
      </w:r>
      <w:r w:rsidRPr="00FA36A8">
        <w:rPr>
          <w:sz w:val="24"/>
          <w:lang w:val="fi-FI"/>
        </w:rPr>
        <w:t>JO L 193 de 30.7.2018, p. 1.</w:t>
      </w:r>
    </w:p>
  </w:footnote>
  <w:footnote w:id="9">
    <w:p w14:paraId="1CB732F2" w14:textId="77777777" w:rsidR="004C4E7F" w:rsidRPr="00FA36A8" w:rsidRDefault="004C4E7F" w:rsidP="00072FCA">
      <w:pPr>
        <w:pStyle w:val="FootnoteText"/>
        <w:ind w:left="567" w:hanging="567"/>
        <w:rPr>
          <w:sz w:val="24"/>
          <w:lang w:val="da-DK"/>
        </w:rPr>
      </w:pPr>
      <w:r w:rsidRPr="00072FCA">
        <w:rPr>
          <w:rStyle w:val="FootnoteReference"/>
          <w:sz w:val="24"/>
          <w:lang w:val="pt-PT"/>
        </w:rPr>
        <w:footnoteRef/>
      </w:r>
      <w:r w:rsidR="00072FCA" w:rsidRPr="00FA36A8">
        <w:rPr>
          <w:sz w:val="24"/>
          <w:lang w:val="da-DK"/>
        </w:rPr>
        <w:t xml:space="preserve"> </w:t>
      </w:r>
      <w:r w:rsidR="00072FCA" w:rsidRPr="00FA36A8">
        <w:rPr>
          <w:sz w:val="24"/>
          <w:lang w:val="da-DK"/>
        </w:rPr>
        <w:tab/>
      </w:r>
      <w:r w:rsidRPr="00FA36A8">
        <w:rPr>
          <w:sz w:val="24"/>
          <w:lang w:val="da-DK"/>
        </w:rPr>
        <w:t>JO L 170 de 12.5.2021, p. 69.</w:t>
      </w:r>
    </w:p>
  </w:footnote>
  <w:footnote w:id="10">
    <w:p w14:paraId="3B2A34DF" w14:textId="77777777" w:rsidR="004C4E7F" w:rsidRPr="00FA36A8" w:rsidRDefault="004C4E7F" w:rsidP="00072FCA">
      <w:pPr>
        <w:pStyle w:val="FootnoteText"/>
        <w:ind w:left="567" w:hanging="567"/>
        <w:rPr>
          <w:sz w:val="24"/>
          <w:lang w:val="da-DK"/>
        </w:rPr>
      </w:pPr>
      <w:r w:rsidRPr="00072FCA">
        <w:rPr>
          <w:rStyle w:val="FootnoteReference"/>
          <w:sz w:val="24"/>
          <w:lang w:val="pt-PT"/>
        </w:rPr>
        <w:footnoteRef/>
      </w:r>
      <w:r w:rsidR="00072FCA" w:rsidRPr="00FA36A8">
        <w:rPr>
          <w:sz w:val="24"/>
          <w:lang w:val="da-DK"/>
        </w:rPr>
        <w:t xml:space="preserve"> </w:t>
      </w:r>
      <w:r w:rsidR="00072FCA" w:rsidRPr="00FA36A8">
        <w:rPr>
          <w:sz w:val="24"/>
          <w:lang w:val="da-DK"/>
        </w:rPr>
        <w:tab/>
      </w:r>
      <w:r w:rsidRPr="00FA36A8">
        <w:rPr>
          <w:sz w:val="24"/>
          <w:lang w:val="da-DK"/>
        </w:rPr>
        <w:t>JO L 122 de 10.5.2019, p. 1.</w:t>
      </w:r>
    </w:p>
  </w:footnote>
  <w:footnote w:id="11">
    <w:p w14:paraId="5D3B2960" w14:textId="5BF2FC52" w:rsidR="004C4E7F" w:rsidRPr="00072FCA" w:rsidRDefault="004C4E7F" w:rsidP="00072FCA">
      <w:pPr>
        <w:pStyle w:val="FootnoteText"/>
        <w:ind w:left="567" w:hanging="567"/>
        <w:rPr>
          <w:sz w:val="24"/>
          <w:lang w:val="pt-PT"/>
        </w:rPr>
      </w:pPr>
      <w:r w:rsidRPr="00072FCA">
        <w:rPr>
          <w:rStyle w:val="FootnoteReference"/>
          <w:sz w:val="24"/>
          <w:lang w:val="pt-PT"/>
        </w:rPr>
        <w:footnoteRef/>
      </w:r>
      <w:r w:rsidR="00072FCA" w:rsidRPr="00072FCA">
        <w:rPr>
          <w:sz w:val="24"/>
          <w:lang w:val="pt-PT"/>
        </w:rPr>
        <w:t xml:space="preserve"> </w:t>
      </w:r>
      <w:r w:rsidR="00072FCA" w:rsidRPr="00072FCA">
        <w:rPr>
          <w:sz w:val="24"/>
          <w:lang w:val="pt-PT"/>
        </w:rPr>
        <w:tab/>
      </w:r>
      <w:r w:rsidRPr="00072FCA">
        <w:rPr>
          <w:sz w:val="24"/>
          <w:lang w:val="pt-PT"/>
        </w:rPr>
        <w:t>JO C 453 de 29.11.2022, p. 56.</w:t>
      </w:r>
    </w:p>
  </w:footnote>
  <w:footnote w:id="12">
    <w:p w14:paraId="41AF23F6" w14:textId="5DCDBE5F" w:rsidR="004C4E7F" w:rsidRPr="00072FCA" w:rsidRDefault="004C4E7F" w:rsidP="00072FCA">
      <w:pPr>
        <w:pStyle w:val="FootnoteText"/>
        <w:ind w:left="567" w:hanging="567"/>
        <w:rPr>
          <w:sz w:val="24"/>
          <w:lang w:val="pt-PT"/>
        </w:rPr>
      </w:pPr>
      <w:r w:rsidRPr="00072FCA">
        <w:rPr>
          <w:rStyle w:val="FootnoteReference"/>
          <w:sz w:val="24"/>
          <w:lang w:val="pt-PT"/>
        </w:rPr>
        <w:footnoteRef/>
      </w:r>
      <w:r w:rsidR="00072FCA" w:rsidRPr="00072FCA">
        <w:rPr>
          <w:sz w:val="24"/>
          <w:lang w:val="pt-PT"/>
        </w:rPr>
        <w:t xml:space="preserve"> </w:t>
      </w:r>
      <w:r w:rsidR="00072FCA" w:rsidRPr="00072FCA">
        <w:rPr>
          <w:sz w:val="24"/>
          <w:lang w:val="pt-PT"/>
        </w:rPr>
        <w:tab/>
      </w:r>
      <w:r w:rsidRPr="00072FCA">
        <w:rPr>
          <w:sz w:val="24"/>
          <w:lang w:val="pt-PT"/>
        </w:rPr>
        <w:t xml:space="preserve">Textos </w:t>
      </w:r>
      <w:r w:rsidR="00F50EAA">
        <w:rPr>
          <w:sz w:val="24"/>
          <w:lang w:val="pt-PT"/>
        </w:rPr>
        <w:t>A</w:t>
      </w:r>
      <w:r w:rsidR="00F50EAA" w:rsidRPr="00072FCA">
        <w:rPr>
          <w:sz w:val="24"/>
          <w:lang w:val="pt-PT"/>
        </w:rPr>
        <w:t>provados</w:t>
      </w:r>
      <w:r w:rsidRPr="00072FCA">
        <w:rPr>
          <w:sz w:val="24"/>
          <w:lang w:val="pt-PT"/>
        </w:rPr>
        <w:t>, P9_</w:t>
      </w:r>
      <w:proofErr w:type="gramStart"/>
      <w:r w:rsidRPr="00072FCA">
        <w:rPr>
          <w:sz w:val="24"/>
          <w:lang w:val="pt-PT"/>
        </w:rPr>
        <w:t>TA(</w:t>
      </w:r>
      <w:proofErr w:type="gramEnd"/>
      <w:r w:rsidRPr="00072FCA">
        <w:rPr>
          <w:sz w:val="24"/>
          <w:lang w:val="pt-PT"/>
        </w:rPr>
        <w:t>2024)</w:t>
      </w:r>
      <w:r w:rsidR="00EF553B" w:rsidRPr="00072FCA">
        <w:rPr>
          <w:sz w:val="24"/>
          <w:lang w:val="pt-PT"/>
        </w:rPr>
        <w:t>0</w:t>
      </w:r>
      <w:r w:rsidR="00EF553B">
        <w:rPr>
          <w:sz w:val="24"/>
          <w:lang w:val="pt-PT"/>
        </w:rPr>
        <w:t>280</w:t>
      </w:r>
      <w:r w:rsidRPr="00072FCA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6D516A" w14:textId="77777777" w:rsidR="00064002" w:rsidRPr="00072FC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2B713" w14:textId="77777777" w:rsidR="00064002" w:rsidRPr="00072FC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F1F88C" w14:textId="77777777" w:rsidR="00064002" w:rsidRPr="00072FC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1/2024"/>
    <w:docVar w:name="dvlangue" w:val="PT"/>
    <w:docVar w:name="dvnumam" w:val="0"/>
    <w:docVar w:name="dvpe" w:val="753.541"/>
    <w:docVar w:name="dvrapporteur" w:val="Relator: "/>
    <w:docVar w:name="dvtitre" w:val="Decisão do Parlamento Europeu, de ... de ... de 2024,_x000d__x000a_ sobre a quitação pela execução do orçamento da Agência da União Europeia para o Programa Espacial para o exercício de 2022(2023/2170(DEC))"/>
  </w:docVars>
  <w:rsids>
    <w:rsidRoot w:val="00583828"/>
    <w:rsid w:val="00002272"/>
    <w:rsid w:val="00064002"/>
    <w:rsid w:val="000677B9"/>
    <w:rsid w:val="00072FCA"/>
    <w:rsid w:val="000831BA"/>
    <w:rsid w:val="00084475"/>
    <w:rsid w:val="000A42CC"/>
    <w:rsid w:val="000E7DD9"/>
    <w:rsid w:val="0010095E"/>
    <w:rsid w:val="00125B37"/>
    <w:rsid w:val="001274CC"/>
    <w:rsid w:val="00187494"/>
    <w:rsid w:val="001F32AE"/>
    <w:rsid w:val="0020057F"/>
    <w:rsid w:val="002767FF"/>
    <w:rsid w:val="002B18FE"/>
    <w:rsid w:val="002B5493"/>
    <w:rsid w:val="00343214"/>
    <w:rsid w:val="00361C00"/>
    <w:rsid w:val="00393F08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4E7F"/>
    <w:rsid w:val="004C5D52"/>
    <w:rsid w:val="0050519A"/>
    <w:rsid w:val="005072A1"/>
    <w:rsid w:val="00514517"/>
    <w:rsid w:val="00545827"/>
    <w:rsid w:val="00560270"/>
    <w:rsid w:val="00583828"/>
    <w:rsid w:val="005A1BCE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3BAA"/>
    <w:rsid w:val="00E365E1"/>
    <w:rsid w:val="00E73D3F"/>
    <w:rsid w:val="00E820A4"/>
    <w:rsid w:val="00EB006A"/>
    <w:rsid w:val="00EB4772"/>
    <w:rsid w:val="00ED169E"/>
    <w:rsid w:val="00ED4235"/>
    <w:rsid w:val="00EF553B"/>
    <w:rsid w:val="00F04346"/>
    <w:rsid w:val="00F075DC"/>
    <w:rsid w:val="00F149E9"/>
    <w:rsid w:val="00F50EAA"/>
    <w:rsid w:val="00F5134D"/>
    <w:rsid w:val="00F74202"/>
    <w:rsid w:val="00F87713"/>
    <w:rsid w:val="00FA36A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C8F5B7"/>
  <w15:chartTrackingRefBased/>
  <w15:docId w15:val="{199D7FE3-67CC-4EF5-BFEB-6B24EFCC5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C4E7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C4E7F"/>
    <w:pPr>
      <w:spacing w:before="480" w:after="240"/>
    </w:pPr>
  </w:style>
  <w:style w:type="paragraph" w:customStyle="1" w:styleId="PageHeading">
    <w:name w:val="PageHeading"/>
    <w:basedOn w:val="Normal"/>
    <w:rsid w:val="004C4E7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C4E7F"/>
    <w:rPr>
      <w:b/>
    </w:rPr>
  </w:style>
  <w:style w:type="paragraph" w:customStyle="1" w:styleId="NormalHanging12a">
    <w:name w:val="NormalHanging12a"/>
    <w:basedOn w:val="Normal"/>
    <w:link w:val="NormalHanging12aChar"/>
    <w:rsid w:val="004C4E7F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4C4E7F"/>
    <w:pPr>
      <w:spacing w:after="240"/>
      <w:jc w:val="center"/>
    </w:pPr>
  </w:style>
  <w:style w:type="paragraph" w:styleId="Header">
    <w:name w:val="header"/>
    <w:basedOn w:val="Normal"/>
    <w:link w:val="HeaderChar"/>
    <w:rsid w:val="004C4E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C4E7F"/>
    <w:rPr>
      <w:sz w:val="24"/>
      <w:lang w:val="pt-PT"/>
    </w:rPr>
  </w:style>
  <w:style w:type="paragraph" w:customStyle="1" w:styleId="EPFooter">
    <w:name w:val="EPFooter"/>
    <w:basedOn w:val="Normal"/>
    <w:rsid w:val="004C4E7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12Hanging">
    <w:name w:val="Normal12Hanging"/>
    <w:basedOn w:val="Normal"/>
    <w:rsid w:val="004C4E7F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4C4E7F"/>
    <w:rPr>
      <w:sz w:val="24"/>
      <w:lang w:val="pt-PT"/>
    </w:rPr>
  </w:style>
  <w:style w:type="character" w:styleId="CommentReference">
    <w:name w:val="annotation reference"/>
    <w:basedOn w:val="DefaultParagraphFont"/>
    <w:rsid w:val="00F50EA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50EA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50EAA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F50E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0EAA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F50E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50EAA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261AE-026A-42B4-A1D4-52D387A58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4372</Words>
  <Characters>23044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Karina Pesa</cp:lastModifiedBy>
  <cp:revision>3</cp:revision>
  <cp:lastPrinted>2004-11-19T15:42:00Z</cp:lastPrinted>
  <dcterms:created xsi:type="dcterms:W3CDTF">2024-05-22T14:50:00Z</dcterms:created>
  <dcterms:modified xsi:type="dcterms:W3CDTF">2024-10-30T16:53:00Z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P9_TA(2024)0256_</vt:lpwstr>
  </property>
  <property fmtid="{D5CDD505-2E9C-101B-9397-08002B2CF9AE}" pid="4" name="&lt;Type&gt;">
    <vt:lpwstr>RR</vt:lpwstr>
  </property>
</Properties>
</file>