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220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2208" w:rsidRDefault="006171AB" w:rsidP="0010095E">
            <w:pPr>
              <w:pStyle w:val="EPName"/>
            </w:pPr>
            <w:r w:rsidRPr="000A2208">
              <w:t>Evropský parlament</w:t>
            </w:r>
          </w:p>
          <w:p w:rsidR="00751A4A" w:rsidRPr="000A220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220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A2208" w:rsidRDefault="00187494" w:rsidP="0010095E">
            <w:pPr>
              <w:pStyle w:val="EPLogo"/>
            </w:pPr>
            <w:r w:rsidRPr="000A220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2208" w:rsidRDefault="00D058B8" w:rsidP="004C5D52">
      <w:pPr>
        <w:pStyle w:val="LineTop"/>
      </w:pPr>
    </w:p>
    <w:p w:rsidR="00680577" w:rsidRPr="000A2208" w:rsidRDefault="006171AB" w:rsidP="00680577">
      <w:pPr>
        <w:pStyle w:val="EPBodyTA1"/>
      </w:pPr>
      <w:r w:rsidRPr="000A2208">
        <w:t>PŘIJATÉ TEXTY</w:t>
      </w:r>
    </w:p>
    <w:p w:rsidR="00D058B8" w:rsidRPr="000A2208" w:rsidRDefault="00D058B8" w:rsidP="00D058B8">
      <w:pPr>
        <w:pStyle w:val="LineBottom"/>
      </w:pPr>
    </w:p>
    <w:p w:rsidR="006171AB" w:rsidRPr="000A2208" w:rsidRDefault="006171AB" w:rsidP="006171AB">
      <w:pPr>
        <w:pStyle w:val="ATHeading1"/>
      </w:pPr>
      <w:bookmarkStart w:id="0" w:name="TANumber"/>
      <w:r w:rsidRPr="000A2208">
        <w:t>P9_TA(2024)0</w:t>
      </w:r>
      <w:r w:rsidR="00312307">
        <w:t>257</w:t>
      </w:r>
      <w:bookmarkEnd w:id="0"/>
    </w:p>
    <w:p w:rsidR="006171AB" w:rsidRPr="000A2208" w:rsidRDefault="006171AB" w:rsidP="006171AB">
      <w:pPr>
        <w:pStyle w:val="ATHeading2"/>
      </w:pPr>
      <w:bookmarkStart w:id="1" w:name="title"/>
      <w:r w:rsidRPr="000A2208">
        <w:t>Udělení absolutoria za rok 2022: Evropská agentura pro kontrolu rybolovu</w:t>
      </w:r>
      <w:bookmarkEnd w:id="1"/>
    </w:p>
    <w:p w:rsidR="006171AB" w:rsidRPr="000A2208" w:rsidRDefault="006171AB" w:rsidP="006171AB">
      <w:pPr>
        <w:rPr>
          <w:i/>
          <w:vanish/>
        </w:rPr>
      </w:pPr>
      <w:r w:rsidRPr="000A2208">
        <w:rPr>
          <w:i/>
        </w:rPr>
        <w:fldChar w:fldCharType="begin"/>
      </w:r>
      <w:r w:rsidRPr="000A2208">
        <w:rPr>
          <w:i/>
        </w:rPr>
        <w:instrText xml:space="preserve"> TC"(</w:instrText>
      </w:r>
      <w:bookmarkStart w:id="2" w:name="DocNumber"/>
      <w:r w:rsidRPr="000A2208">
        <w:rPr>
          <w:i/>
        </w:rPr>
        <w:instrText>A9-0100/2024</w:instrText>
      </w:r>
      <w:bookmarkEnd w:id="2"/>
      <w:r w:rsidRPr="000A2208">
        <w:rPr>
          <w:i/>
        </w:rPr>
        <w:instrText xml:space="preserve"> - Zpravodaj: Petri Sarvamaa)"\l3 \n&gt; \* MERGEFORMAT </w:instrText>
      </w:r>
      <w:r w:rsidRPr="000A2208">
        <w:rPr>
          <w:i/>
        </w:rPr>
        <w:fldChar w:fldCharType="end"/>
      </w:r>
    </w:p>
    <w:p w:rsidR="006171AB" w:rsidRPr="000A2208" w:rsidRDefault="006171AB" w:rsidP="006171AB">
      <w:pPr>
        <w:rPr>
          <w:vanish/>
        </w:rPr>
      </w:pPr>
      <w:bookmarkStart w:id="3" w:name="Commission"/>
      <w:r w:rsidRPr="000A2208">
        <w:rPr>
          <w:vanish/>
        </w:rPr>
        <w:t>Výbor pro rozpočtovou kontrolu</w:t>
      </w:r>
      <w:bookmarkEnd w:id="3"/>
    </w:p>
    <w:p w:rsidR="006171AB" w:rsidRPr="000A2208" w:rsidRDefault="006171AB" w:rsidP="006171AB">
      <w:pPr>
        <w:rPr>
          <w:vanish/>
        </w:rPr>
      </w:pPr>
      <w:bookmarkStart w:id="4" w:name="PE"/>
      <w:r w:rsidRPr="000A2208">
        <w:rPr>
          <w:vanish/>
        </w:rPr>
        <w:t>PE753.518</w:t>
      </w:r>
      <w:bookmarkEnd w:id="4"/>
    </w:p>
    <w:p w:rsidR="006171AB" w:rsidRPr="000A2208" w:rsidRDefault="006171AB" w:rsidP="006171AB">
      <w:pPr>
        <w:pStyle w:val="ATHeading3"/>
      </w:pPr>
      <w:bookmarkStart w:id="5" w:name="Sujet"/>
      <w:r w:rsidRPr="000A2208">
        <w:t>1. Rozhodnutí Evropského parlamentu ze dne 11. dubna 2024 o udělení absolutoria za plnění rozpočtu Evropské agentury pro kontrolu rybolovu na rozpočtový rok 2022</w:t>
      </w:r>
      <w:bookmarkEnd w:id="5"/>
      <w:r w:rsidRPr="000A2208">
        <w:t xml:space="preserve"> </w:t>
      </w:r>
      <w:bookmarkStart w:id="6" w:name="References"/>
      <w:r w:rsidRPr="000A2208">
        <w:t>(2023/2150(DEC))</w:t>
      </w:r>
      <w:bookmarkEnd w:id="6"/>
    </w:p>
    <w:p w:rsidR="00077ED7" w:rsidRPr="000A2208" w:rsidRDefault="00077ED7" w:rsidP="00077ED7">
      <w:pPr>
        <w:pStyle w:val="EPComma"/>
      </w:pPr>
      <w:bookmarkStart w:id="7" w:name="TextBodyBegin"/>
      <w:bookmarkEnd w:id="7"/>
      <w:r w:rsidRPr="000A2208">
        <w:rPr>
          <w:i/>
        </w:rPr>
        <w:t>Evropský parlament</w:t>
      </w:r>
      <w:r w:rsidRPr="000A2208">
        <w:t>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konečnou roční účetní závěrku Evropské agentury pro kontrolu rybolovu za rozpočtový rok 2022,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výroční zprávu Účetního dvora o agenturách EU za rozpočtový rok 2022 spolu s odpověďmi agentur</w:t>
      </w:r>
      <w:r w:rsidRPr="000A2208">
        <w:rPr>
          <w:rStyle w:val="FootnoteReference"/>
        </w:rPr>
        <w:footnoteReference w:id="1"/>
      </w:r>
      <w:r w:rsidRPr="000A2208">
        <w:t>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prohlášení o věrohodnosti</w:t>
      </w:r>
      <w:r w:rsidRPr="000A2208">
        <w:rPr>
          <w:rStyle w:val="FootnoteReference"/>
        </w:rPr>
        <w:footnoteReference w:id="2"/>
      </w:r>
      <w:r w:rsidRPr="000A2208">
        <w:t xml:space="preserve"> účetnictví a o legalitě a správnosti uskutečněných operací, které předložil Účetní dvůr za rozpočtový rok 2022 podle článku 287 Smlouvy o fungování Evropské unie,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doporučení Rady ze dne 22. února 2024 o udělení absolutoria agentuře za plnění rozpočtu na rozpočtový rok 2022 (0</w:t>
      </w:r>
      <w:r w:rsidR="003E7FB0">
        <w:t>618</w:t>
      </w:r>
      <w:r w:rsidRPr="000A2208">
        <w:t>0/2024 – C9</w:t>
      </w:r>
      <w:r w:rsidRPr="000A2208">
        <w:noBreakHyphen/>
        <w:t>00</w:t>
      </w:r>
      <w:r w:rsidR="0038763C">
        <w:t>88</w:t>
      </w:r>
      <w:r w:rsidRPr="000A2208">
        <w:t>/2024),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článek 319 Smlouvy o fungování Evropské unie,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0A2208">
        <w:rPr>
          <w:rStyle w:val="FootnoteReference"/>
        </w:rPr>
        <w:footnoteReference w:id="3"/>
      </w:r>
      <w:r w:rsidRPr="000A2208">
        <w:t>, a zejména článek 70 tohoto nařízení,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nařízení Evropského parlamentu a Rady (EU) 2019/473 ze dne 19. března 2019 o Evropské agentuře pro kontrolu rybolovu</w:t>
      </w:r>
      <w:r w:rsidRPr="000A2208">
        <w:rPr>
          <w:rStyle w:val="FootnoteReference"/>
        </w:rPr>
        <w:footnoteReference w:id="4"/>
      </w:r>
      <w:r w:rsidRPr="000A2208">
        <w:t xml:space="preserve">, a zejména na článek 45 tohoto </w:t>
      </w:r>
      <w:r w:rsidRPr="000A2208">
        <w:lastRenderedPageBreak/>
        <w:t>nařízení,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nařízení Komise v přenesené pravomoci (EU) 2019/715 ze dne 18. prosince 2018 o rámcovém finančním nařízení pro subjekty zřízené podle S</w:t>
      </w:r>
      <w:r w:rsidR="00D86F69">
        <w:t xml:space="preserve">mlouvy o fungování </w:t>
      </w:r>
      <w:r w:rsidRPr="000A2208">
        <w:t>E</w:t>
      </w:r>
      <w:r w:rsidR="00D86F69">
        <w:t>vropské unie</w:t>
      </w:r>
      <w:r w:rsidRPr="000A2208">
        <w:t xml:space="preserve"> a Smlouvy o Euratomu a uvedené v článku 70 nařízení Evropského parlamentu a Rady (EU, Euratom) 2018/1046</w:t>
      </w:r>
      <w:r w:rsidRPr="000A2208">
        <w:rPr>
          <w:rStyle w:val="FootnoteReference"/>
        </w:rPr>
        <w:footnoteReference w:id="5"/>
      </w:r>
      <w:r w:rsidRPr="000A2208">
        <w:t>, a zejména na článek 105 tohoto nařízení,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článek 100 a přílohu V jednacího řádu,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stanovisko Výboru pro rybolov,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zprávu Výboru pro rozpočtovou kontrolu (A9</w:t>
      </w:r>
      <w:r w:rsidRPr="000A2208">
        <w:noBreakHyphen/>
        <w:t>0100/2024),</w:t>
      </w:r>
    </w:p>
    <w:p w:rsidR="00077ED7" w:rsidRPr="000A2208" w:rsidRDefault="00077ED7" w:rsidP="00AC6079">
      <w:pPr>
        <w:pStyle w:val="NormalHanging12a"/>
      </w:pPr>
      <w:r w:rsidRPr="000A2208">
        <w:t>1.</w:t>
      </w:r>
      <w:r w:rsidRPr="000A2208">
        <w:tab/>
        <w:t>uděluje absolutorium výkonné ředitelce Evropské agentury pro kontrolu rybolovu za plnění rozpočtu agentury na rozpočtový rok 2022;</w:t>
      </w:r>
    </w:p>
    <w:p w:rsidR="00077ED7" w:rsidRPr="000A2208" w:rsidRDefault="00077ED7" w:rsidP="00AC6079">
      <w:pPr>
        <w:pStyle w:val="NormalHanging12a"/>
      </w:pPr>
      <w:r w:rsidRPr="000A2208">
        <w:t>2.</w:t>
      </w:r>
      <w:r w:rsidRPr="000A2208">
        <w:tab/>
        <w:t>předkládá své připomínky v níže uvedeném usnesení;</w:t>
      </w:r>
    </w:p>
    <w:p w:rsidR="00077ED7" w:rsidRPr="000A2208" w:rsidRDefault="00077ED7" w:rsidP="00AC6079">
      <w:pPr>
        <w:pStyle w:val="NormalHanging12a"/>
      </w:pPr>
      <w:r w:rsidRPr="000A2208">
        <w:t>3.</w:t>
      </w:r>
      <w:r w:rsidRPr="000A2208">
        <w:tab/>
        <w:t>pověřuje svou předsedkyni, aby předala toto rozhodnutí a usnesení, které je jeho nedílnou součástí, výkonné ředitelce Evropské agentury pro kontrolu rybolovu, Radě, Komisi a Účetnímu dvoru a aby zajistila jejich zveřejnění v </w:t>
      </w:r>
      <w:r w:rsidRPr="000A2208">
        <w:rPr>
          <w:i/>
        </w:rPr>
        <w:t>Úředním věstníku Evropské uni</w:t>
      </w:r>
      <w:r w:rsidRPr="000A2208">
        <w:t>e (řada L).</w:t>
      </w:r>
    </w:p>
    <w:p w:rsidR="00077ED7" w:rsidRPr="000A2208" w:rsidRDefault="00077ED7" w:rsidP="00AC6079">
      <w:pPr>
        <w:spacing w:after="240"/>
      </w:pPr>
    </w:p>
    <w:p w:rsidR="00077ED7" w:rsidRPr="000A2208" w:rsidRDefault="00077ED7" w:rsidP="00077ED7">
      <w:pPr>
        <w:widowControl/>
        <w:rPr>
          <w:rFonts w:ascii="Arial" w:hAnsi="Arial" w:cs="Arial"/>
          <w:b/>
        </w:rPr>
        <w:sectPr w:rsidR="00077ED7" w:rsidRPr="000A2208" w:rsidSect="000A2208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077ED7" w:rsidRPr="000A2208" w:rsidRDefault="00077ED7" w:rsidP="00AC6079">
      <w:pPr>
        <w:pStyle w:val="ATHeading3"/>
      </w:pPr>
      <w:bookmarkStart w:id="8" w:name="_Toc146806751"/>
      <w:bookmarkStart w:id="9" w:name="_Toc161914487"/>
      <w:r w:rsidRPr="000A2208">
        <w:lastRenderedPageBreak/>
        <w:t xml:space="preserve">2. </w:t>
      </w:r>
      <w:r w:rsidR="00AC6079" w:rsidRPr="000A2208">
        <w:t>Rozhodnutí Evropského parlamentu</w:t>
      </w:r>
      <w:bookmarkEnd w:id="8"/>
      <w:bookmarkEnd w:id="9"/>
      <w:r w:rsidR="00AC6079">
        <w:t xml:space="preserve"> </w:t>
      </w:r>
      <w:r w:rsidR="0012774E" w:rsidRPr="000A2208">
        <w:t xml:space="preserve">ze dne 11. dubna 2024 </w:t>
      </w:r>
      <w:r w:rsidRPr="000A2208">
        <w:t>o uzavření účtů Evropské agentury pro kontrolu rybolovu za rozpočtový rok 2022</w:t>
      </w:r>
      <w:r w:rsidR="00AC6079">
        <w:t xml:space="preserve"> </w:t>
      </w:r>
      <w:r w:rsidRPr="000A2208">
        <w:t>(2023/2150(DEC))</w:t>
      </w:r>
    </w:p>
    <w:p w:rsidR="00077ED7" w:rsidRPr="000A2208" w:rsidRDefault="00077ED7" w:rsidP="00077ED7">
      <w:pPr>
        <w:pStyle w:val="EPComma"/>
      </w:pPr>
      <w:r w:rsidRPr="000A2208">
        <w:rPr>
          <w:i/>
        </w:rPr>
        <w:t>Evropský parlament</w:t>
      </w:r>
      <w:r w:rsidRPr="000A2208">
        <w:t>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konečnou roční účetní závěrku Evropské agentury pro kontrolu rybolovu za rozpočtový rok 2022,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výroční zprávu Účetního dvora o agenturách EU za rozpočtový rok 2022 spolu s odpověďmi agentur</w:t>
      </w:r>
      <w:r w:rsidRPr="000A2208">
        <w:rPr>
          <w:rStyle w:val="FootnoteReference"/>
        </w:rPr>
        <w:footnoteReference w:id="6"/>
      </w:r>
      <w:r w:rsidRPr="000A2208">
        <w:t>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prohlášení o věrohodnosti</w:t>
      </w:r>
      <w:r w:rsidRPr="000A2208">
        <w:rPr>
          <w:rStyle w:val="FootnoteReference"/>
        </w:rPr>
        <w:footnoteReference w:id="7"/>
      </w:r>
      <w:r w:rsidRPr="000A2208">
        <w:t xml:space="preserve"> účetnictví a o legalitě a správnosti uskutečněných operací, které předložil Účetní dvůr za rozpočtový rok 2022 podle článku 287 Smlouvy o fungování Evropské unie,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doporučení Rady ze dne 22. února 2024 o udělení absolutoria agentuře za plnění rozpočtu na rozpočtový rok 2022 (0</w:t>
      </w:r>
      <w:r w:rsidR="003E7FB0">
        <w:t>618</w:t>
      </w:r>
      <w:r w:rsidRPr="000A2208">
        <w:t>0/2024 – C9</w:t>
      </w:r>
      <w:r w:rsidRPr="000A2208">
        <w:noBreakHyphen/>
        <w:t>00</w:t>
      </w:r>
      <w:r w:rsidR="0038763C">
        <w:t>88</w:t>
      </w:r>
      <w:r w:rsidRPr="000A2208">
        <w:t>/2024),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článek 319 Smlouvy o fungování Evropské unie,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0A2208">
        <w:rPr>
          <w:rStyle w:val="FootnoteReference"/>
        </w:rPr>
        <w:footnoteReference w:id="8"/>
      </w:r>
      <w:r w:rsidRPr="000A2208">
        <w:t>, a zejména článek 70 tohoto nařízení,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nařízení Evropského parlamentu a Rady (EU) 2019/473 ze dne 19. března 2019 o Evropské agentuře pro kontrolu rybolovu</w:t>
      </w:r>
      <w:r w:rsidRPr="000A2208">
        <w:rPr>
          <w:rStyle w:val="FootnoteReference"/>
        </w:rPr>
        <w:footnoteReference w:id="9"/>
      </w:r>
      <w:r w:rsidRPr="000A2208">
        <w:t>, a zejména na článek 45 tohoto nařízení,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nařízení Komise v přenesené pravomoci (EU) 2019/715 ze dne 18. prosince 2018 o rámcovém finančním nařízení pro subjekty zřízené podle S</w:t>
      </w:r>
      <w:r w:rsidR="00D86F69">
        <w:t xml:space="preserve">mlouvy o fungování </w:t>
      </w:r>
      <w:r w:rsidRPr="000A2208">
        <w:t>E</w:t>
      </w:r>
      <w:r w:rsidR="00D86F69">
        <w:t>vropské unie</w:t>
      </w:r>
      <w:r w:rsidRPr="000A2208">
        <w:t xml:space="preserve"> a Smlouvy o Euratomu a uvedené v článku 70 nařízení Evropského parlamentu a Rady (EU, Euratom) 2018/1046</w:t>
      </w:r>
      <w:r w:rsidRPr="000A2208">
        <w:rPr>
          <w:rStyle w:val="FootnoteReference"/>
        </w:rPr>
        <w:footnoteReference w:id="10"/>
      </w:r>
      <w:r w:rsidRPr="000A2208">
        <w:t>, a zejména na článek 105 tohoto nařízení,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článek 100 a přílohu V jednacího řádu,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stanovisko Výboru pro rybolov,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zprávu Výboru pro rozpočtovou kontrolu (A9</w:t>
      </w:r>
      <w:r w:rsidRPr="000A2208">
        <w:noBreakHyphen/>
        <w:t>0100/2024),</w:t>
      </w:r>
    </w:p>
    <w:p w:rsidR="00077ED7" w:rsidRPr="000A2208" w:rsidRDefault="00077ED7" w:rsidP="00AC6079">
      <w:pPr>
        <w:pStyle w:val="NormalHanging12a"/>
      </w:pPr>
      <w:r w:rsidRPr="000A2208">
        <w:t>1.</w:t>
      </w:r>
      <w:r w:rsidRPr="000A2208">
        <w:tab/>
        <w:t>schvaluje uzavření účtů Evropské agentury pro kontrolu rybolovu za rozpočtový rok 2022;</w:t>
      </w:r>
    </w:p>
    <w:p w:rsidR="00077ED7" w:rsidRPr="000A2208" w:rsidRDefault="00077ED7" w:rsidP="00AC6079">
      <w:pPr>
        <w:pStyle w:val="NormalHanging12a"/>
      </w:pPr>
      <w:r w:rsidRPr="000A2208">
        <w:lastRenderedPageBreak/>
        <w:t>2.</w:t>
      </w:r>
      <w:r w:rsidRPr="000A2208">
        <w:tab/>
        <w:t>pověřuje svou předsedkyni, aby předala toto rozhodnutí výkonné ředitelce Evropské agentury pro kontrolu rybolovu, Radě, Komisi a Účetnímu dvoru a aby zajistila jeho zveřejnění v </w:t>
      </w:r>
      <w:r w:rsidRPr="000A2208">
        <w:rPr>
          <w:i/>
        </w:rPr>
        <w:t>Úředním věstníku Evropské unie</w:t>
      </w:r>
      <w:r w:rsidRPr="000A2208">
        <w:t xml:space="preserve"> (řada L).</w:t>
      </w:r>
    </w:p>
    <w:p w:rsidR="00077ED7" w:rsidRPr="000A2208" w:rsidRDefault="00077ED7" w:rsidP="00077ED7"/>
    <w:p w:rsidR="00077ED7" w:rsidRPr="000A2208" w:rsidRDefault="00077ED7" w:rsidP="00077ED7">
      <w:pPr>
        <w:widowControl/>
        <w:rPr>
          <w:rFonts w:ascii="Arial" w:hAnsi="Arial" w:cs="Arial"/>
          <w:b/>
        </w:rPr>
        <w:sectPr w:rsidR="00077ED7" w:rsidRPr="000A2208" w:rsidSect="000A2208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077ED7" w:rsidRPr="000A2208" w:rsidRDefault="00077ED7" w:rsidP="00AC6079">
      <w:pPr>
        <w:pStyle w:val="ATHeading3"/>
      </w:pPr>
      <w:bookmarkStart w:id="10" w:name="_Toc146806752"/>
      <w:bookmarkStart w:id="11" w:name="_Toc161914488"/>
      <w:r w:rsidRPr="000A2208">
        <w:lastRenderedPageBreak/>
        <w:t>3</w:t>
      </w:r>
      <w:r w:rsidR="00AC6079" w:rsidRPr="000A2208">
        <w:t>. Usnesení Evropského parlamentu</w:t>
      </w:r>
      <w:bookmarkEnd w:id="10"/>
      <w:bookmarkEnd w:id="11"/>
      <w:r w:rsidR="00AC6079">
        <w:t xml:space="preserve"> </w:t>
      </w:r>
      <w:r w:rsidR="0012774E" w:rsidRPr="000A2208">
        <w:t xml:space="preserve">ze dne 11. dubna 2024 </w:t>
      </w:r>
      <w:r w:rsidRPr="000A2208">
        <w:t>obsahující připomínky, které jsou nedílnou součástí rozhodnutí o udělení absolutoria za plnění rozpočtu Evropské agentury pro kontrolu rybolovu na rozpočtový rok 2022</w:t>
      </w:r>
      <w:r w:rsidR="00AC6079">
        <w:t xml:space="preserve"> </w:t>
      </w:r>
      <w:r w:rsidRPr="000A2208">
        <w:t>(2023/2150(DEC))</w:t>
      </w:r>
    </w:p>
    <w:p w:rsidR="00077ED7" w:rsidRPr="000A2208" w:rsidRDefault="00077ED7" w:rsidP="00077ED7">
      <w:pPr>
        <w:pStyle w:val="EPComma"/>
      </w:pPr>
      <w:r w:rsidRPr="000A2208">
        <w:rPr>
          <w:i/>
        </w:rPr>
        <w:t>Evropský parlament</w:t>
      </w:r>
      <w:r w:rsidRPr="000A2208">
        <w:t>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své rozhodnutí o udělení absolutoria za plnění rozpočtu Evropské agentury pro kontrolu rybolovu na rozpočtový rok 2022,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článek 100 a přílohu V jednacího řádu,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stanovisko Výboru pro rybolov,</w:t>
      </w:r>
    </w:p>
    <w:p w:rsidR="00077ED7" w:rsidRPr="000A2208" w:rsidRDefault="00077ED7" w:rsidP="00AC6079">
      <w:pPr>
        <w:pStyle w:val="NormalHanging12a"/>
      </w:pPr>
      <w:r w:rsidRPr="000A2208">
        <w:t>–</w:t>
      </w:r>
      <w:r w:rsidRPr="000A2208">
        <w:tab/>
        <w:t>s ohledem na zprávu Výboru pro rozpočtovou kontrolu (A9</w:t>
      </w:r>
      <w:r w:rsidRPr="000A2208">
        <w:noBreakHyphen/>
        <w:t>0100/2024),</w:t>
      </w:r>
    </w:p>
    <w:p w:rsidR="00077ED7" w:rsidRPr="000A2208" w:rsidRDefault="00077ED7" w:rsidP="00AC6079">
      <w:pPr>
        <w:widowControl/>
        <w:spacing w:after="240"/>
        <w:ind w:left="567" w:hanging="567"/>
        <w:rPr>
          <w:szCs w:val="24"/>
        </w:rPr>
      </w:pPr>
      <w:r w:rsidRPr="000A2208">
        <w:t>A.</w:t>
      </w:r>
      <w:r w:rsidRPr="000A2208">
        <w:tab/>
        <w:t>vzhledem k tomu, že konečný rozpočet Evropské agentury pro kontrolu rybolovu (dále jen „agentura“) na rozpočtový rok 2022 činil podle jejího výkazu příjmů a výdajů</w:t>
      </w:r>
      <w:r w:rsidRPr="000A2208">
        <w:rPr>
          <w:szCs w:val="24"/>
          <w:vertAlign w:val="superscript"/>
        </w:rPr>
        <w:footnoteReference w:id="11"/>
      </w:r>
      <w:r w:rsidRPr="000A2208">
        <w:t xml:space="preserve"> 34 967 797 EUR, což ve srovnání s rokem 2021 představuje nárůst o 61,73 %, přičemž přibližně o 41 % vzrostla obecná dotace EU a výrazně se zvýšily účelově vázané příjmy z víceletých dohod o přiznání příspěvku a grantů; vzhledem k tomu, že dodatečná dotace EU poskytnutá Evropské agentuře pro kontrolu rybolovu, která započala v roce 2021, souvisela s legislativním finančním výkazem, který řešil zvýšené požadavky na sledování ve vodách EU sousedících se Spojeným královstvím; vzhledem k tomu, že přibližně 84 % rozpočtu agentury pochází z rozpočtu Unie a přibližně 16 % z účelově vázaných příjmů;</w:t>
      </w:r>
    </w:p>
    <w:p w:rsidR="00077ED7" w:rsidRPr="000A2208" w:rsidRDefault="00077ED7" w:rsidP="00AC6079">
      <w:pPr>
        <w:widowControl/>
        <w:spacing w:after="240"/>
        <w:ind w:left="567" w:hanging="567"/>
        <w:rPr>
          <w:szCs w:val="24"/>
        </w:rPr>
      </w:pPr>
      <w:r w:rsidRPr="000A2208">
        <w:t>B.</w:t>
      </w:r>
      <w:r w:rsidRPr="000A2208">
        <w:tab/>
        <w:t>vzhledem k tomu, že Účetní dvůr ve své zprávě o roční účetní závěrce agentury za rozpočtový rok 2022 (dále jen „zpráva Účetního dvora“) uvedl, že získal přiměřenou jistotu, že účetní závěrka agentury je spolehlivá a že uskutečněné operace jsou legální a správné;</w:t>
      </w:r>
    </w:p>
    <w:p w:rsidR="00077ED7" w:rsidRPr="000A2208" w:rsidRDefault="00077ED7" w:rsidP="00AC6079">
      <w:pPr>
        <w:widowControl/>
        <w:spacing w:after="240"/>
        <w:ind w:left="567" w:hanging="567"/>
        <w:rPr>
          <w:b/>
          <w:i/>
          <w:szCs w:val="24"/>
        </w:rPr>
      </w:pPr>
      <w:r w:rsidRPr="000A2208">
        <w:rPr>
          <w:b/>
          <w:i/>
        </w:rPr>
        <w:t>Rozpočtové a finanční řízení</w:t>
      </w:r>
    </w:p>
    <w:p w:rsidR="00077ED7" w:rsidRPr="000A2208" w:rsidRDefault="00077ED7" w:rsidP="00AC6079">
      <w:pPr>
        <w:widowControl/>
        <w:spacing w:after="240"/>
        <w:ind w:left="567" w:hanging="567"/>
        <w:rPr>
          <w:szCs w:val="24"/>
        </w:rPr>
      </w:pPr>
      <w:r w:rsidRPr="000A2208">
        <w:t>1.</w:t>
      </w:r>
      <w:r w:rsidRPr="000A2208">
        <w:tab/>
        <w:t>s uspokojením bere na vědomí, že díky monitorování rozpočtu v rozpočtovém roce 2022 dosáhla míra plnění u prostředků na závazky v běžném roce 99,41 %, což ve srovnání s rokem 2021 představuje mírný nárůst o 0,34 %; bere na vědomí, že míra čerpání prostředků na platby v běžném roce činila 57,78 %, což ve srovnání s rokem 2021 představuje pokles o 16,7 %;</w:t>
      </w:r>
    </w:p>
    <w:p w:rsidR="00077ED7" w:rsidRPr="000A2208" w:rsidRDefault="00077ED7" w:rsidP="00AC6079">
      <w:pPr>
        <w:widowControl/>
        <w:spacing w:after="240"/>
        <w:ind w:left="567" w:hanging="567"/>
        <w:rPr>
          <w:szCs w:val="24"/>
        </w:rPr>
      </w:pPr>
      <w:r w:rsidRPr="000A2208">
        <w:t>2.</w:t>
      </w:r>
      <w:r w:rsidRPr="000A2208">
        <w:tab/>
        <w:t xml:space="preserve">se znepokojením bere na vědomí informaci Účetního dvora, že agentura do roku 2023 přenesla 11,9 milionu EUR (41 %) z dostupných prostředků na závazky na rok 2022; poznamenává, že to zahrnovalo 1,6 milionu EUR (53 %) z prostředků v rámci hlavy II vyhrazených na administrativní činnosti (34 % v roce 2021) a 10,1 milionu EUR (63 %) z prostředků v rámci hlavy III vyhrazených na operativní činnosti (42 % v roce 2021); zdůrazňuje, že vysoký objem přenesených prostředků je v rozporu se zásadou ročního rozpočtu a svědčí o strukturálních problémech v rozpočtovém procesu a cyklu plnění rozpočtu; bere na vědomí odpověď agentury, v níž se zdůrazňuje, že vysoký objem </w:t>
      </w:r>
      <w:r w:rsidRPr="000A2208">
        <w:lastRenderedPageBreak/>
        <w:t>přenesených prostředků z roku 2022 je důsledkem zcela zvláštních okolností, které by se neměly opakovat;</w:t>
      </w:r>
    </w:p>
    <w:p w:rsidR="00077ED7" w:rsidRPr="000A2208" w:rsidRDefault="00077ED7" w:rsidP="00AC6079">
      <w:pPr>
        <w:pStyle w:val="NormalHanging12a"/>
      </w:pPr>
      <w:r w:rsidRPr="000A2208">
        <w:t>3.</w:t>
      </w:r>
      <w:r w:rsidRPr="000A2208">
        <w:tab/>
        <w:t>konstatuje, že v rozpočtovém roce 2022 se agentura zotavovala z pandemie COVID-19, která měla negativní dopady na předchozí dva rozpočtové roky, a že současně dále rostl její rozpočet a zdroje, aby mohla plnit dodatečné úkoly a projekty naplánované v jednotném programovém dokumentu na rok 2022; poukazuje na to, že válka na Ukrajině by mohla mít dopad na vykazování a oceňování některých aktiv a pasiv v rozvaze a také na některé příjmy a výdaje uvedené ve výkazu o finanční výkonnosti pro následující vykazovaná období;</w:t>
      </w:r>
    </w:p>
    <w:p w:rsidR="00077ED7" w:rsidRPr="000A2208" w:rsidRDefault="00077ED7" w:rsidP="00AC6079">
      <w:pPr>
        <w:pStyle w:val="NormalHanging12a"/>
      </w:pPr>
      <w:r w:rsidRPr="000A2208">
        <w:t>4.</w:t>
      </w:r>
      <w:r w:rsidRPr="000A2208">
        <w:tab/>
        <w:t>zdůrazňuje, že za kontrolu rybolovných činností jsou primárně odpovědné členské státy, zatímco úkoly agentury jsou podpůrné povahy; zdůrazňuje, že po nedávné revizi systému Unie pro kontrolu rybolovu se pracovní zátěž agentury ve spojitosti s podpůrnou činností zvýší; poukazuje na to, že je důležité si uvědomit, že rostoucí povinnosti nelze plnit bez dostatečných zdrojů; vyzdvihuje proto, že agentura musí mít v nadcházejících letech dostatečné finanční a lidské zdroje;</w:t>
      </w:r>
    </w:p>
    <w:p w:rsidR="00077ED7" w:rsidRPr="000A2208" w:rsidRDefault="00077ED7" w:rsidP="00AC6079">
      <w:pPr>
        <w:widowControl/>
        <w:spacing w:after="240"/>
        <w:ind w:left="567" w:hanging="567"/>
        <w:rPr>
          <w:b/>
          <w:i/>
          <w:szCs w:val="24"/>
        </w:rPr>
      </w:pPr>
      <w:r w:rsidRPr="000A2208">
        <w:rPr>
          <w:b/>
          <w:i/>
        </w:rPr>
        <w:t>Výkonnost</w:t>
      </w:r>
    </w:p>
    <w:p w:rsidR="00077ED7" w:rsidRPr="000A2208" w:rsidRDefault="00077ED7" w:rsidP="00AC6079">
      <w:pPr>
        <w:pStyle w:val="NormalHanging12a"/>
        <w:widowControl/>
      </w:pPr>
      <w:r w:rsidRPr="000A2208">
        <w:t>5.</w:t>
      </w:r>
      <w:r w:rsidRPr="000A2208">
        <w:tab/>
        <w:t>s potěšením konstatuje, že agentura v roce 2022 splnila 95,4 % ročního pracovního programu, který přijala správní rada v jednotném programovém dokumentu;</w:t>
      </w:r>
    </w:p>
    <w:p w:rsidR="00077ED7" w:rsidRPr="000A2208" w:rsidRDefault="00077ED7" w:rsidP="00AC6079">
      <w:pPr>
        <w:pStyle w:val="NormalHanging12a"/>
        <w:widowControl/>
      </w:pPr>
      <w:r w:rsidRPr="000A2208">
        <w:t>6.</w:t>
      </w:r>
      <w:r w:rsidRPr="000A2208">
        <w:tab/>
        <w:t>s uspokojením bere na vědomí, že agentura používá klíčové ukazatele výkonnosti k hodnocení výsledků svých činností ve dvou hlavních oblastech: operativní činnosti a horizontální činnosti; dále uznává, že operativní činnosti zahrnují klíčové oblasti, jako je operativní spolupráce, podpora spolupráce, mezinárodní rozměr a spolupráce Unie při výkonu funkcí pobřežní stráže; bere na vědomí, že horizontální činnosti zahrnují komunikaci a reprezentaci, informační a komunikační technologie a zabezpečení informací, jakož i správní a řídící postupy;</w:t>
      </w:r>
    </w:p>
    <w:p w:rsidR="00077ED7" w:rsidRPr="000A2208" w:rsidRDefault="00077ED7" w:rsidP="00AC6079">
      <w:pPr>
        <w:pStyle w:val="NormalHanging12a"/>
        <w:widowControl/>
      </w:pPr>
      <w:r w:rsidRPr="000A2208">
        <w:t>7.</w:t>
      </w:r>
      <w:r w:rsidRPr="000A2208">
        <w:tab/>
        <w:t>konstatuje, že agentura v roce 2022 obdržela dodatečné zdroje na zajištění nezbytné provozní kapacity pro pomoc členským státům a Komisi v rámci režimu sledování, kontroly a dohledu spojeného se společnou rybářskou politikou (SRP), včetně opatření vyplývajících z dohody o obchodu a spolupráci se Spojeným královstvím; bere na vědomí, že v roce 2022 byly navíc zařazeny tři nové projekty dotované granty v rámci připravovaného Evropského námořního, rybářského a akvakulturního fondu (ENRAF); poznamenává, že tyto projekty zahrnovaly studii o postupech vážení produktů rybolovu v celé Unii, virtuální regionální akademii odborné přípravy v západním Středomoří pro kontrolu a inspekci rybolovu a aktualizaci příručky a online odvětvového kvalifikačního rámce pro unijní spolupráci při výkonu funkcí pobřežní stráže;</w:t>
      </w:r>
    </w:p>
    <w:p w:rsidR="00077ED7" w:rsidRPr="000A2208" w:rsidRDefault="00077ED7" w:rsidP="00AC6079">
      <w:pPr>
        <w:pStyle w:val="NormalHanging12a"/>
        <w:widowControl/>
      </w:pPr>
      <w:r w:rsidRPr="000A2208">
        <w:t>8.</w:t>
      </w:r>
      <w:r w:rsidRPr="000A2208">
        <w:tab/>
        <w:t>připomíná, že agentura je povinna v souladu se zákonnou povinností stanovenou v článku 48 nařízení Evropského parlamentu a Rady (EU) 2019/473</w:t>
      </w:r>
      <w:r w:rsidRPr="000A2208">
        <w:rPr>
          <w:rStyle w:val="FootnoteReference"/>
        </w:rPr>
        <w:footnoteReference w:id="12"/>
      </w:r>
      <w:r w:rsidRPr="000A2208">
        <w:t xml:space="preserve"> nechat vypracovat každých pět let nezávislé hodnocení; poznamenává, že externí hodnotitel vypracoval v červenci 2022 návrh závěrečné zprávy za období 2017–2021, který byl předložen členům správní rady k připomínkování; bere na vědomí, že hodnocení posuzovalo výkonnost agentury podle pěti kritérií, kterými jsou v souladu s pokyny Komise pro </w:t>
      </w:r>
      <w:r w:rsidRPr="000A2208">
        <w:lastRenderedPageBreak/>
        <w:t>zlepšování právní úpravy účinnost, účelnost, relevance, soudržnost a přidaná hodnota Unie; zdůrazňuje, že hodnocení obsahuje deset doporučení zaměřených na různé aspekty, konkrétně na organizační otázky, zda úloha a činnosti i nadále vyhovují plnění cílů stanovených v nařízení (EU) 2019/473, a na konkrétní činnosti agentury;</w:t>
      </w:r>
    </w:p>
    <w:p w:rsidR="00077ED7" w:rsidRPr="000A2208" w:rsidRDefault="00077ED7" w:rsidP="00AC6079">
      <w:pPr>
        <w:pStyle w:val="NormalHanging12a"/>
      </w:pPr>
      <w:r w:rsidRPr="000A2208">
        <w:t>9.</w:t>
      </w:r>
      <w:r w:rsidRPr="000A2208">
        <w:tab/>
        <w:t>připomíná zásadní příspěvek agentury k provádění SRP, zejména ke kontrole rybolovu a boji proti nezákonnému, nehlášenému a neregulovanému rybolovu; vítá posílení najatých operativních hlídkovacích plavidel agentury, které umožní provádět kontroly rybolovu a inspekce v unijních i mezinárodních vodách a podpoří vnitrostátní orgány; vyzdvihuje účast agentury na významných mezinárodních koalicích proti nezákonnému rybolovu, jako je operace PESCAO (Program pro zlepšení regionálního rybolovu v západní Africe);</w:t>
      </w:r>
    </w:p>
    <w:p w:rsidR="00077ED7" w:rsidRPr="000A2208" w:rsidRDefault="00077ED7" w:rsidP="00AC6079">
      <w:pPr>
        <w:spacing w:after="240"/>
        <w:ind w:left="567" w:hanging="567"/>
      </w:pPr>
      <w:r w:rsidRPr="000A2208">
        <w:t>10.</w:t>
      </w:r>
      <w:r w:rsidRPr="000A2208">
        <w:tab/>
        <w:t>konstatuje, že agentura v roce 2022 oznámila 47 592 inspekcí (na moři a na pevnině), které vedly k odhalení 5 167 podezření na porušení předpisů, což oproti údajům za rok 2021 představuje pokles počtu inspekcí o 11 % a zvýšení počtu podezření na porušení předpisů o 28 %; poukazuje na to, že pozorovaný pokles nemusí nutně souviset s menším úsilím členských států o provádění kontrol; vyzývá agenturu, aby poskytla podrobnější informace o důvodech těchto změn; poukazuje na to, že inspekce a další následná opatření jsou důležitá nejen pro řádné řízení rybolovných zdrojů, ale také při zajišťování rovných podmínek pro rybáře Unie;</w:t>
      </w:r>
    </w:p>
    <w:p w:rsidR="00077ED7" w:rsidRPr="000A2208" w:rsidRDefault="00077ED7" w:rsidP="00AC6079">
      <w:pPr>
        <w:pStyle w:val="NormalHanging12a"/>
      </w:pPr>
      <w:r w:rsidRPr="000A2208">
        <w:t>11.</w:t>
      </w:r>
      <w:r w:rsidRPr="000A2208">
        <w:tab/>
        <w:t>upozorňuje na to, že agentura poskytuje pomoc třetím zemím v oblasti budování kapacit a odborné přípravy, a vyzdvihuje její zásadní roli při zajišťování rovných podmínek pro všechny pobřežní státy;</w:t>
      </w:r>
    </w:p>
    <w:p w:rsidR="00077ED7" w:rsidRPr="000A2208" w:rsidRDefault="00077ED7" w:rsidP="00AC6079">
      <w:pPr>
        <w:widowControl/>
        <w:spacing w:after="240"/>
        <w:ind w:left="567" w:hanging="567"/>
        <w:rPr>
          <w:b/>
          <w:i/>
        </w:rPr>
      </w:pPr>
      <w:r w:rsidRPr="000A2208">
        <w:rPr>
          <w:b/>
          <w:i/>
        </w:rPr>
        <w:t>Účinnost a přínosy</w:t>
      </w:r>
    </w:p>
    <w:p w:rsidR="00077ED7" w:rsidRPr="000A2208" w:rsidRDefault="00077ED7" w:rsidP="00AC6079">
      <w:pPr>
        <w:widowControl/>
        <w:spacing w:after="240"/>
        <w:ind w:left="567" w:hanging="567"/>
      </w:pPr>
      <w:r w:rsidRPr="000A2208">
        <w:t>12.</w:t>
      </w:r>
      <w:r w:rsidRPr="000A2208">
        <w:tab/>
        <w:t xml:space="preserve">poukazuje na to, že agentura stále využívá výhod vyšší efektivity, kterých dosáhla dodržováním plánu Komise pro zavádění jejích existujících podnikových systémů IT (SUMMA, moduly pro postupy předcházející elektronickému zadávání zakázek a moduly pro fázi po zadání elektronické zakázky, MIPS, AGM, moduly systému </w:t>
      </w:r>
      <w:proofErr w:type="spellStart"/>
      <w:r w:rsidRPr="000A2208">
        <w:t>Sysper</w:t>
      </w:r>
      <w:proofErr w:type="spellEnd"/>
      <w:r w:rsidRPr="000A2208">
        <w:t>, PPMT atd.); konstatuje, že kromě výhod vyplývajících z integrace všech těchto systémů je jednoznačným přínosem i snížení nákladů na údržbu, které jsou spojeny s podporou změn a aktualizací;</w:t>
      </w:r>
    </w:p>
    <w:p w:rsidR="00077ED7" w:rsidRPr="000A2208" w:rsidRDefault="00077ED7" w:rsidP="00AC6079">
      <w:pPr>
        <w:widowControl/>
        <w:spacing w:after="240"/>
        <w:ind w:left="567" w:hanging="567"/>
      </w:pPr>
      <w:r w:rsidRPr="000A2208">
        <w:t>13.</w:t>
      </w:r>
      <w:r w:rsidRPr="000A2208">
        <w:tab/>
        <w:t>s potěšením bere na vědomí, že agentura se účastní interinstitucionálních nabídkových řízení na základě výzev Komise a dalších agentur; bere na vědomí, že agentura v současnosti využívá více než 45 rámcových smluv uzavřených jinými subjekty; konstatuje, že díky tomu se agentury střídají v zahájení iniciativy, což celkově zefektivňuje zadávání veřejných zakázek agenturami;</w:t>
      </w:r>
    </w:p>
    <w:p w:rsidR="00077ED7" w:rsidRPr="000A2208" w:rsidRDefault="00077ED7" w:rsidP="00AC6079">
      <w:pPr>
        <w:widowControl/>
        <w:spacing w:after="240"/>
        <w:ind w:left="567" w:hanging="567"/>
      </w:pPr>
      <w:r w:rsidRPr="000A2208">
        <w:t>14.</w:t>
      </w:r>
      <w:r w:rsidRPr="000A2208">
        <w:tab/>
        <w:t>upozorňuje na to, že při zvyšování efektivity se rovněž osvědčila centralizace běžných administrativních úkolů; bere na vědomí, že pokračuje centralizace zahajování a ověřování finančních operací, což umožňuje jejich lepší kontrolu, sjednocení metodik a rozšíření znalostí v těchto oblastech;</w:t>
      </w:r>
    </w:p>
    <w:p w:rsidR="00077ED7" w:rsidRPr="000A2208" w:rsidRDefault="00077ED7" w:rsidP="00AC6079">
      <w:pPr>
        <w:widowControl/>
        <w:spacing w:after="240"/>
        <w:ind w:left="567" w:hanging="567"/>
      </w:pPr>
      <w:r w:rsidRPr="000A2208">
        <w:t>15.</w:t>
      </w:r>
      <w:r w:rsidRPr="000A2208">
        <w:tab/>
        <w:t xml:space="preserve">bere na vědomí, že dalších úspor z důvodu vyšší efektivity bylo dosaženo v oblasti lidských zdrojů sdílením rezervních seznamů, které byly sestaveny na základě výběrových řízení, s jinými agenturami, pokud profil rezervního seznamu odpovídá </w:t>
      </w:r>
      <w:r w:rsidRPr="000A2208">
        <w:lastRenderedPageBreak/>
        <w:t>potřebám žádající agentury; konstatuje, že tento postup umožňuje využít rezervní seznam jiné agentury, aniž by bylo nutné pořádat nákladné výběrové řízení;</w:t>
      </w:r>
    </w:p>
    <w:p w:rsidR="00077ED7" w:rsidRPr="000A2208" w:rsidRDefault="00077ED7" w:rsidP="00AC6079">
      <w:pPr>
        <w:pStyle w:val="NormalHanging12a"/>
      </w:pPr>
      <w:r w:rsidRPr="000A2208">
        <w:t>16.</w:t>
      </w:r>
      <w:r w:rsidRPr="000A2208">
        <w:tab/>
        <w:t>bere na vědomí pokračující spolupráci agentury s Evropskou agenturou pro pohraniční a pobřežní stráž (FRONTEX) a Evropskou agenturou pro námořní bezpečnost (EMSA) při podpoře vnitrostátních orgánů, které plní funkce pobřežní stráže v souladu s článkem 8 nařízení (EU) 2019/473; považuje tuto spolupráci za příklad synergie mezi agenturami Unie, který by měl agentury inspirovat i v jiných oblastech; vyzývá agenturu, aby v tomto úsilí pokračovala, a považuje za vhodné, aby rovněž posílila spolupráci s Evropskou agenturou pro životní prostředí;</w:t>
      </w:r>
    </w:p>
    <w:p w:rsidR="00077ED7" w:rsidRPr="000A2208" w:rsidRDefault="00077ED7" w:rsidP="00AC6079">
      <w:pPr>
        <w:widowControl/>
        <w:spacing w:after="240"/>
        <w:ind w:left="567" w:hanging="567"/>
        <w:rPr>
          <w:b/>
          <w:i/>
          <w:szCs w:val="24"/>
        </w:rPr>
      </w:pPr>
      <w:r w:rsidRPr="000A2208">
        <w:rPr>
          <w:b/>
          <w:i/>
        </w:rPr>
        <w:t>Personální politika</w:t>
      </w:r>
    </w:p>
    <w:p w:rsidR="00077ED7" w:rsidRPr="000A2208" w:rsidRDefault="00077ED7" w:rsidP="00AC6079">
      <w:pPr>
        <w:widowControl/>
        <w:spacing w:after="240"/>
        <w:ind w:left="567" w:hanging="567"/>
        <w:rPr>
          <w:szCs w:val="24"/>
        </w:rPr>
      </w:pPr>
      <w:r w:rsidRPr="000A2208">
        <w:t>17.</w:t>
      </w:r>
      <w:r w:rsidRPr="000A2208">
        <w:tab/>
        <w:t xml:space="preserve">bere na vědomí, že k 31. prosinci 2022 byl plán pracovních míst naplněn z 96,1 %, přičemž ze 77 schválených pracovních míst v rámci rozpočtu Unie bylo jmenováno 74 dočasných zaměstnanců (v roce 2021 měla agentura 65 schválených pracovních míst); bere na vědomí, že agentura v roce 2022 zaměstnávala ještě 11 smluvních zaměstnanců, šest vyslaných národních odborníků a 16 dočasných zaměstnanců a konzultantů; bere na vědomí, že kromě toho bylo v rámci různých projektů podporováno celkem 13 smluvních zaměstnanců z </w:t>
      </w:r>
      <w:r w:rsidRPr="00C879CB">
        <w:rPr>
          <w:i/>
        </w:rPr>
        <w:t>ad hoc</w:t>
      </w:r>
      <w:r w:rsidRPr="000A2208">
        <w:t xml:space="preserve"> grantů a z dohod o přiznání příspěvku;</w:t>
      </w:r>
    </w:p>
    <w:p w:rsidR="00077ED7" w:rsidRPr="000A2208" w:rsidRDefault="00077ED7" w:rsidP="00AC6079">
      <w:pPr>
        <w:widowControl/>
        <w:spacing w:after="240"/>
        <w:ind w:left="567" w:hanging="567"/>
        <w:rPr>
          <w:szCs w:val="24"/>
        </w:rPr>
      </w:pPr>
      <w:r w:rsidRPr="000A2208">
        <w:t>18.</w:t>
      </w:r>
      <w:r w:rsidRPr="000A2208">
        <w:tab/>
        <w:t>bere na vědomí, že v únoru 2022 proběhla reorganizace agentury s cílem přizpůsobit její strukturu dodatečně svěřeným úkolům a zdrojům tak, aby se posílila potřebná operační kapacita pro pomoc při sledování, kontrole a dohledu nad rybolovem v souladu s požadavky SRP, včetně opatření vyplývajících z dohody o obchodu a spolupráci se Spojeným královstvím a několika nových projektů v rámci dohod o přiznání příspěvku; zdůrazňuje, že v porovnání se situací na začátku roku 2021 se počet zaměstnanců zvýšil o téměř 50 %, včetně dočasných zaměstnanců, smluvních zaměstnanců a vyslaných národních odborníků;</w:t>
      </w:r>
    </w:p>
    <w:p w:rsidR="00077ED7" w:rsidRPr="000A2208" w:rsidRDefault="00077ED7" w:rsidP="00AC6079">
      <w:pPr>
        <w:pStyle w:val="NormalHanging12a"/>
      </w:pPr>
      <w:r w:rsidRPr="000A2208">
        <w:t>19.</w:t>
      </w:r>
      <w:r w:rsidRPr="000A2208">
        <w:tab/>
        <w:t>bere na vědomí politiku agentury v oblasti rovného zacházení se zaměstnanci a její cíl genderové vyváženosti, pokud jde o počet zaměstnanců, jejich platovou třídu a úroveň odpovědnosti; uznává, že agentura dosáhla genderové rovnováhy, kdy z celkových 106 zaměstnanců je 54 žen (51 %); vyjadřuje politování nad tím, že ženy tvořily 38 % zaměstnanců v platové třídě AD 8 (8. platová třída funkční skupiny administrátor) a vyšší (stejně jako v roce 2021); připomíná, že je důležité zajistit vyvážené zastoupení žen a mužů, a vyzývá agenturu, aby tento aspekt zohlednila při jmenování členů vrcholného vedení a středního managementu; bere na vědomí, že ačkoli agentura v roce 2022 nepřijala Chartu rozmanitosti a začleňování, její opatření byla zaměřena na dodržování 5. cíle udržitelného rozvoje týkajícího se rovnosti žen a mužů, jak je uvedeno v jejích cílech;</w:t>
      </w:r>
    </w:p>
    <w:p w:rsidR="00077ED7" w:rsidRPr="000A2208" w:rsidRDefault="00077ED7" w:rsidP="00AC6079">
      <w:pPr>
        <w:pStyle w:val="NormalHanging12a"/>
      </w:pPr>
      <w:r w:rsidRPr="000A2208">
        <w:t>20.</w:t>
      </w:r>
      <w:r w:rsidRPr="000A2208">
        <w:tab/>
        <w:t>konstatuje, že k 31. prosinci 2022 agentura zaměstnávala pracovníky z 18 členských států; konstatuje, že 33 % jejích zaměstnanců jsou státní příslušníci členského státu, v němž se agentura nachází; připomíná význam zeměpisné vyváženosti a vyzývá agenturu, aby i nadále přijímala nezbytná opatření pro vyvážené a spravedlivé zeměpisné zastoupení;</w:t>
      </w:r>
    </w:p>
    <w:p w:rsidR="00077ED7" w:rsidRPr="000A2208" w:rsidRDefault="00077ED7" w:rsidP="00AC6079">
      <w:pPr>
        <w:pStyle w:val="NormalHanging12a"/>
        <w:widowControl/>
      </w:pPr>
      <w:r w:rsidRPr="000A2208">
        <w:t>21.</w:t>
      </w:r>
      <w:r w:rsidRPr="000A2208">
        <w:tab/>
        <w:t>bere na vědomí, že od 1. října 2022 agentura obdobně uplatňuje pravidla Komise pro pracovní dobu a hybridní způsob práce;</w:t>
      </w:r>
    </w:p>
    <w:p w:rsidR="00077ED7" w:rsidRPr="000A2208" w:rsidRDefault="00077ED7" w:rsidP="00AC6079">
      <w:pPr>
        <w:pStyle w:val="NormalHanging12a"/>
        <w:widowControl/>
      </w:pPr>
      <w:r w:rsidRPr="000A2208">
        <w:lastRenderedPageBreak/>
        <w:t>22.</w:t>
      </w:r>
      <w:r w:rsidRPr="000A2208">
        <w:tab/>
        <w:t xml:space="preserve">poznamenává, že zavádění modulů systému </w:t>
      </w:r>
      <w:proofErr w:type="spellStart"/>
      <w:r w:rsidRPr="000A2208">
        <w:t>Sysper</w:t>
      </w:r>
      <w:proofErr w:type="spellEnd"/>
      <w:r w:rsidRPr="000A2208">
        <w:t xml:space="preserve"> v roce 2022 zahrnovalo zavedení funkce „pracovní volno z osobních důvodů“, přidání výplatních pásek v digitalizovaných osobních složkách dočasných a smluvních zaměstnanců, zavedení nové funkce umožňující podávat žádost o práci na dálku ze zahraničí (příležitostná práce na dálku) pro dočasné a smluvní zaměstnance a „dočasný“ pracovní postup ADI; dále byly v systému </w:t>
      </w:r>
      <w:proofErr w:type="spellStart"/>
      <w:r w:rsidRPr="000A2208">
        <w:t>Sysper</w:t>
      </w:r>
      <w:proofErr w:type="spellEnd"/>
      <w:r w:rsidRPr="000A2208">
        <w:t xml:space="preserve"> zavedeny funkce související s prováděním nových pravidel pro pracovní dobu a hybridní způsob práce a modul STAGE a byly provedeny přípravné práce pro zavedení modulů EVAL a OBJ;</w:t>
      </w:r>
    </w:p>
    <w:p w:rsidR="00077ED7" w:rsidRPr="000A2208" w:rsidRDefault="00077ED7" w:rsidP="00AC6079">
      <w:pPr>
        <w:pStyle w:val="NormalHanging12a"/>
        <w:rPr>
          <w:b/>
          <w:i/>
          <w:szCs w:val="24"/>
        </w:rPr>
      </w:pPr>
      <w:r w:rsidRPr="000A2208">
        <w:rPr>
          <w:b/>
          <w:i/>
        </w:rPr>
        <w:t>Prevence a řešení střetů zájmů a transparentnost</w:t>
      </w:r>
    </w:p>
    <w:p w:rsidR="00077ED7" w:rsidRPr="000A2208" w:rsidRDefault="00077ED7" w:rsidP="00AC6079">
      <w:pPr>
        <w:pStyle w:val="NormalHanging12a"/>
        <w:rPr>
          <w:szCs w:val="24"/>
        </w:rPr>
      </w:pPr>
      <w:r w:rsidRPr="000A2208">
        <w:t>23.</w:t>
      </w:r>
      <w:r w:rsidRPr="000A2208">
        <w:tab/>
        <w:t>bere na vědomí, že agentura na svých internetových stránkách zveřejňuje prohlášení o zájmech a životopisy členů správní rady a vrcholného vedení; dále konstatuje, že agentura pravidelně aktualizuje tabulku se všemi schůzkami její výkonné ředitelky a zaměstnanců s organizacemi a samostatně výdělečně činnými osobami zapojenými do tvorby a provádění politik Unie, aby byla zajištěna plná transparentnost a důvěra v činnost agentury, a že tato tabulka je dostupná na jejích internetových stránkách;</w:t>
      </w:r>
    </w:p>
    <w:p w:rsidR="00077ED7" w:rsidRPr="000A2208" w:rsidRDefault="00077ED7" w:rsidP="00AC6079">
      <w:pPr>
        <w:pStyle w:val="NormalHanging12a"/>
      </w:pPr>
      <w:r w:rsidRPr="000A2208">
        <w:t>24.</w:t>
      </w:r>
      <w:r w:rsidRPr="000A2208">
        <w:tab/>
        <w:t>vyzývá agenturu, aby v zájmu zajištění plné transparentnosti a důvěry ve svou činnost nadále pravidelně aktualizovala a zveřejňovala informace o relevantních schůzkách své výkonné ředitelky a zaměstnanců s organizacemi nebo osobami samostatně výdělečně činnými, které se podílejí na tvorbě a provádění politik Unie;</w:t>
      </w:r>
    </w:p>
    <w:p w:rsidR="00077ED7" w:rsidRPr="000A2208" w:rsidRDefault="00077ED7" w:rsidP="00AC6079">
      <w:pPr>
        <w:pStyle w:val="NormalHanging12a"/>
        <w:rPr>
          <w:szCs w:val="24"/>
        </w:rPr>
      </w:pPr>
      <w:r w:rsidRPr="000A2208">
        <w:t>25.</w:t>
      </w:r>
      <w:r w:rsidRPr="000A2208">
        <w:tab/>
        <w:t>bere na vědomí, že agentura na své zaměstnance, vyslané národní odborníky, placené externí odborníky, stážisty a členy správní a poradní rady uplatňuje politiku v oblasti střetu zájmů; bere na vědomí, že o ní zaměstnance informuje prostřednictvím intranetu a školení a že ostatní pracovníci a odborníci se k jejímu dodržování zavazují podpisem prohlášení o zachování důvěrnosti; dále bere na vědomí, že zvláštní ustanovení o střetu zájmů pro smluvní partnery agentury, včetně dočasných zaměstnanců zprostředkovaných agenturou práce, kteří poskytují služby, jsou uvedena ve všeobecných podmínkách smluv agentury;</w:t>
      </w:r>
    </w:p>
    <w:p w:rsidR="00077ED7" w:rsidRPr="000A2208" w:rsidRDefault="00077ED7" w:rsidP="00AC6079">
      <w:pPr>
        <w:pStyle w:val="NormalHanging12a"/>
        <w:rPr>
          <w:szCs w:val="24"/>
        </w:rPr>
      </w:pPr>
      <w:r w:rsidRPr="000A2208">
        <w:t>26.</w:t>
      </w:r>
      <w:r w:rsidRPr="000A2208">
        <w:tab/>
        <w:t>bere na vědomí, že agentura v roce 2014 zavedla strategii boje proti podvodům, která je pravidelně aktualizována a v současné době se zaměřuje na provádění opatření ke zmírnění rizik podvodů zjištěných při hodnocení rizik; bere na vědomí, že poslední změna z roku 2022, kterou schválila správní rada, klade důraz na trvalé úsilí o zvyšování povědomí o etice a bezúhonnosti;</w:t>
      </w:r>
    </w:p>
    <w:p w:rsidR="00077ED7" w:rsidRPr="000A2208" w:rsidRDefault="00077ED7" w:rsidP="00AC6079">
      <w:pPr>
        <w:widowControl/>
        <w:spacing w:after="240"/>
        <w:ind w:left="567" w:hanging="567"/>
        <w:rPr>
          <w:szCs w:val="24"/>
        </w:rPr>
      </w:pPr>
      <w:r w:rsidRPr="000A2208">
        <w:rPr>
          <w:b/>
          <w:i/>
        </w:rPr>
        <w:t>Zadávání veřejných zakázek</w:t>
      </w:r>
    </w:p>
    <w:p w:rsidR="00077ED7" w:rsidRPr="000A2208" w:rsidRDefault="00077ED7" w:rsidP="00AC6079">
      <w:pPr>
        <w:widowControl/>
        <w:spacing w:after="240"/>
        <w:ind w:left="567" w:hanging="567"/>
        <w:rPr>
          <w:szCs w:val="24"/>
        </w:rPr>
      </w:pPr>
      <w:r w:rsidRPr="000A2208">
        <w:t>27.</w:t>
      </w:r>
      <w:r w:rsidRPr="000A2208">
        <w:tab/>
        <w:t>bere na vědomí, že podle Účetního dvora agentura v roce 2022 podepsala rámcovou smlouvu v hodnotě 90 milionů EUR na pronájem tří operativních hlídkovacích plavidel s počáteční dobou trvání 24 měsíců, která má být následně čtyřikrát automaticky prodloužena vždy o dalších 12 měsíců, celkem až na šest let; připomíná, že podle bodu 1.1 přílohy I nařízení Evropského parlamentu a Rady (EU, Euratom) 2018/1046</w:t>
      </w:r>
      <w:r w:rsidRPr="000A2208">
        <w:rPr>
          <w:rStyle w:val="FootnoteReference"/>
          <w:szCs w:val="24"/>
        </w:rPr>
        <w:footnoteReference w:id="13"/>
      </w:r>
      <w:r w:rsidRPr="000A2208">
        <w:t xml:space="preserve"> </w:t>
      </w:r>
      <w:r w:rsidRPr="000A2208">
        <w:lastRenderedPageBreak/>
        <w:t>(finanční nařízení) je možné uzavírat rámcové smlouvy na dobu delší než čtyři roky, avšak pouze ve výjimečných a řádně odůvodněných případech; bere na vědomí, že agentura delší smlouvu odůvodnila potřebou zajistit přiměřenou návratnost investic pro dodavatele, kteří byli povinni vybavit plavidla nafukovacími čluny s pevným trupem; dále bere na vědomí, že Účetní dvůr shledal odůvodnění agentury jako nedostatečné, protože náklady na vybavení byly odhadnuty pouze na 1 % celkové hodnoty zakázky a agentura si navíc ponechala možnost jednostranně ukončit smlouvu po prvních dvou letech a po každém následujícím roce, což zpochybňuje tvrzení, že dodavatel potřeboval zaručenou šestiletou dobu trvání smlouvy, aby byla zajištěna návratnost investic; zdůrazňuje, že Účetní dvůr bude považovat následné související platby za neoprávněné, pokud bude smlouva po čtyřech letech prodloužena; poznamenává, že agentura uvedla, že při přípravě postupu zadání veřejné zakázky usoudila, že standardní čtyřletá doba trvání smlouvy by nemusela být trhem vnímána jako dostatečně dlouhá pro adekvátní návratnost investic a že úspěšné poskytování a kontinuita služeb, které jsou předmětem související rámcové smlouvy, mají pro její hlavní činnosti zásadní význam;</w:t>
      </w:r>
    </w:p>
    <w:p w:rsidR="00077ED7" w:rsidRPr="000A2208" w:rsidRDefault="00077ED7" w:rsidP="00AC6079">
      <w:pPr>
        <w:widowControl/>
        <w:spacing w:after="240"/>
        <w:ind w:left="567" w:hanging="567"/>
        <w:rPr>
          <w:szCs w:val="24"/>
        </w:rPr>
      </w:pPr>
      <w:r w:rsidRPr="000A2208">
        <w:t>28.</w:t>
      </w:r>
      <w:r w:rsidRPr="000A2208">
        <w:tab/>
        <w:t>připomíná, že u všech postupů zadávání veřejných zakázek je třeba zajistit spravedlivou soutěž mezi uchazeči a pořídit zboží a služby za nejlepší cenu a dodržovat zásady transparentnosti, proporcionality, rovného zacházení a zákazu diskriminace; vyzývá agenturu, aby zlepšovala postupy zadávání veřejných zakázek a zajistila jejich plný soulad s platnými pravidly, aby za veřejné prostředky získala co nejvýhodnější nabídku;</w:t>
      </w:r>
    </w:p>
    <w:p w:rsidR="00077ED7" w:rsidRPr="000A2208" w:rsidRDefault="00077ED7" w:rsidP="00AC6079">
      <w:pPr>
        <w:widowControl/>
        <w:spacing w:after="240"/>
        <w:ind w:left="567" w:hanging="567"/>
        <w:rPr>
          <w:b/>
          <w:i/>
          <w:szCs w:val="24"/>
        </w:rPr>
      </w:pPr>
      <w:r w:rsidRPr="000A2208">
        <w:rPr>
          <w:b/>
          <w:i/>
        </w:rPr>
        <w:t>Interní audit</w:t>
      </w:r>
    </w:p>
    <w:p w:rsidR="00077ED7" w:rsidRPr="000A2208" w:rsidRDefault="00077ED7" w:rsidP="00AC6079">
      <w:pPr>
        <w:widowControl/>
        <w:spacing w:after="240"/>
        <w:ind w:left="567" w:hanging="567"/>
        <w:rPr>
          <w:szCs w:val="24"/>
        </w:rPr>
      </w:pPr>
      <w:r w:rsidRPr="000A2208">
        <w:t>29.</w:t>
      </w:r>
      <w:r w:rsidRPr="000A2208">
        <w:tab/>
        <w:t>vyjadřuje znepokojení nad zjištěním Účetního dvora, že u postupů pro výběr a najímání externích odborníků systematicky chyběla přiměřená auditní stopa, jak ji požaduje čl. 36 odst. 3 finančního nařízení; konkrétně konstatuje, že nebyly získány dostatečné důkazy o tom, že odborníci byli pověřováni úkoly na základě předem stanovených výběrových kritérií vztahujících se k jejich kompetencím a že byly dodrženy zásady nediskriminace a rovného zacházení stanovené v článku 237 finančního nařízení; vyzývá agenturu, aby posílila interní postupy pro výběr a najímání externích odborníků a aby orgánu příslušnému pro udělení absolutoria podala zprávu o všech krocích, které v tomto ohledu podnikla;</w:t>
      </w:r>
    </w:p>
    <w:p w:rsidR="00077ED7" w:rsidRPr="000A2208" w:rsidRDefault="00077ED7" w:rsidP="00AC6079">
      <w:pPr>
        <w:widowControl/>
        <w:spacing w:after="240"/>
        <w:ind w:left="567" w:hanging="567"/>
        <w:rPr>
          <w:szCs w:val="24"/>
        </w:rPr>
      </w:pPr>
      <w:r w:rsidRPr="000A2208">
        <w:t>30.</w:t>
      </w:r>
      <w:r w:rsidRPr="000A2208">
        <w:tab/>
        <w:t>se znepokojením bere na vědomí, že podle Účetního dvora zahájila agentura v květnu 2022 jednací řízení o pronájmu operativního hlídkovacího plavidla pro vody mezi Unií a Spojeným královstvím, aniž by předem zveřejnila oznámení o zahájení zadávacího řízení, a že v červnu podepsala smlouvu s cílem překlenout mezeru mezi skončením platnosti předchozí smlouvy a vstupem nové smlouvy v platnost v rámci probíhajícího otevřeného řízení, které trvá déle, než se původně očekávalo; bere na vědomí, že agentura naléhavost situace odůvodnila použitím výjimky podle finančního nařízení a odkázala na nepředvídatelné události, které povolují výjimku podle bodu 11.1 písm. c) přílohy I finančního nařízení; poznamenává, že Účetní dvůr dospěl k závěru, že některé faktory, kvůli nimž naléhavá situace vznikla, sice nemusely být předvídatelné, avšak že jiné faktory předvídatelné byly, a že skutečnost, že nebyly náležitě zohledněny, svědčí o nedostatečném plánování a řízení agentury při zadávání veřejných zakázek na pronájem tří plavidel; vyzývá agenturu, aby se zabývala nedostatky v plánování a řízení veřejných zakázek, na něž poukázal Účetní dvůr, a aby co nejdříve podala orgánu příslušnému k udělení absolutoria zprávu o přijatých opatřeních;</w:t>
      </w:r>
    </w:p>
    <w:p w:rsidR="00077ED7" w:rsidRPr="000A2208" w:rsidRDefault="00077ED7" w:rsidP="00AC6079">
      <w:pPr>
        <w:widowControl/>
        <w:spacing w:after="240"/>
        <w:ind w:left="567" w:hanging="567"/>
        <w:rPr>
          <w:b/>
          <w:i/>
          <w:szCs w:val="24"/>
        </w:rPr>
      </w:pPr>
      <w:r w:rsidRPr="000A2208">
        <w:rPr>
          <w:b/>
          <w:i/>
        </w:rPr>
        <w:t>Další připomínky</w:t>
      </w:r>
    </w:p>
    <w:p w:rsidR="00077ED7" w:rsidRPr="000A2208" w:rsidRDefault="00077ED7" w:rsidP="00AC6079">
      <w:pPr>
        <w:widowControl/>
        <w:spacing w:after="240"/>
        <w:ind w:left="567" w:hanging="567"/>
        <w:rPr>
          <w:szCs w:val="24"/>
        </w:rPr>
      </w:pPr>
      <w:r w:rsidRPr="000A2208">
        <w:lastRenderedPageBreak/>
        <w:t>31.</w:t>
      </w:r>
      <w:r w:rsidRPr="000A2208">
        <w:tab/>
        <w:t>bere na vědomí, že agentura nezavedla certifikaci systému pro environmentální řízení podniků a audit (EMAS), protože své úsilí zaměřila na podporu jiných projektů;</w:t>
      </w:r>
      <w:r w:rsidRPr="000A2208">
        <w:rPr>
          <w:rFonts w:ascii="Segoe UI" w:hAnsi="Segoe UI"/>
          <w:color w:val="374151"/>
        </w:rPr>
        <w:t xml:space="preserve"> </w:t>
      </w:r>
      <w:r w:rsidRPr="000A2208">
        <w:t>připomíná, že cílem systému je podpora neustálého zlepšování dopadu činnosti subjektů na životní prostředí; vybízí agenturu, aby podnikla kroky k zavedení systému EMAS;</w:t>
      </w:r>
    </w:p>
    <w:p w:rsidR="00AC6079" w:rsidRDefault="00AC6079" w:rsidP="00AC6079">
      <w:pPr>
        <w:pStyle w:val="NormalCenter12a"/>
        <w:widowControl/>
      </w:pPr>
      <w:r>
        <w:t>°</w:t>
      </w:r>
    </w:p>
    <w:p w:rsidR="00AC6079" w:rsidRDefault="00AC6079" w:rsidP="00AC6079">
      <w:pPr>
        <w:pStyle w:val="NormalCenter12a"/>
        <w:widowControl/>
      </w:pPr>
      <w:r>
        <w:t>°     °</w:t>
      </w:r>
    </w:p>
    <w:p w:rsidR="00077ED7" w:rsidRPr="000A2208" w:rsidRDefault="00077ED7" w:rsidP="00AC6079">
      <w:pPr>
        <w:pStyle w:val="NormalHanging12a"/>
      </w:pPr>
      <w:r w:rsidRPr="000A2208">
        <w:t>32.</w:t>
      </w:r>
      <w:r w:rsidRPr="000A2208">
        <w:tab/>
        <w:t xml:space="preserve">pokud jde o další připomínky, které jsou připojeny k rozhodnutí o udělení absolutoria a jsou horizontální povahy, odkazuje na své usnesení ze dne </w:t>
      </w:r>
      <w:r w:rsidR="00AC6079">
        <w:t>11. dubna 2024</w:t>
      </w:r>
      <w:r w:rsidRPr="000A2208">
        <w:rPr>
          <w:vertAlign w:val="superscript"/>
        </w:rPr>
        <w:footnoteReference w:id="14"/>
      </w:r>
      <w:r w:rsidRPr="000A2208">
        <w:t xml:space="preserve"> o výkonnosti, finančním řízení a kontrole agentur.</w:t>
      </w:r>
    </w:p>
    <w:sectPr w:rsidR="00077ED7" w:rsidRPr="000A2208" w:rsidSect="000A22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1AB" w:rsidRPr="000A2208" w:rsidRDefault="006171AB">
      <w:r w:rsidRPr="000A2208">
        <w:separator/>
      </w:r>
    </w:p>
  </w:endnote>
  <w:endnote w:type="continuationSeparator" w:id="0">
    <w:p w:rsidR="006171AB" w:rsidRPr="000A2208" w:rsidRDefault="006171AB">
      <w:r w:rsidRPr="000A22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ED7" w:rsidRPr="000A2208" w:rsidRDefault="00077ED7" w:rsidP="00DF6325">
    <w:pPr>
      <w:pStyle w:val="EPFooter"/>
    </w:pPr>
    <w:r w:rsidRPr="000A2208">
      <w:t>PE</w:t>
    </w:r>
    <w:r w:rsidRPr="000A2208">
      <w:rPr>
        <w:rStyle w:val="HideTWBExt"/>
      </w:rPr>
      <w:t>&lt;NoPE&gt;</w:t>
    </w:r>
    <w:r w:rsidRPr="000A2208">
      <w:t>753.518</w:t>
    </w:r>
    <w:r w:rsidRPr="000A2208">
      <w:rPr>
        <w:rStyle w:val="HideTWBExt"/>
      </w:rPr>
      <w:t>&lt;/NoPE&gt;&lt;Version&gt;</w:t>
    </w:r>
    <w:r w:rsidRPr="000A2208">
      <w:t>v02-00</w:t>
    </w:r>
    <w:r w:rsidRPr="000A2208">
      <w:rPr>
        <w:rStyle w:val="HideTWBExt"/>
      </w:rPr>
      <w:t>&lt;/Version&gt;</w:t>
    </w:r>
    <w:r w:rsidRPr="000A2208">
      <w:tab/>
    </w:r>
    <w:r w:rsidRPr="000A2208">
      <w:fldChar w:fldCharType="begin"/>
    </w:r>
    <w:r w:rsidRPr="000A2208">
      <w:instrText xml:space="preserve"> PAGE  \* MERGEFORMAT </w:instrText>
    </w:r>
    <w:r w:rsidRPr="000A2208">
      <w:fldChar w:fldCharType="separate"/>
    </w:r>
    <w:r w:rsidR="000A2208" w:rsidRPr="000A2208">
      <w:rPr>
        <w:noProof/>
      </w:rPr>
      <w:t>2</w:t>
    </w:r>
    <w:r w:rsidRPr="000A2208">
      <w:fldChar w:fldCharType="end"/>
    </w:r>
    <w:r w:rsidRPr="000A2208">
      <w:t>/</w:t>
    </w:r>
    <w:fldSimple w:instr=" NUMPAGES  \* MERGEFORMAT ">
      <w:r w:rsidR="000A2208" w:rsidRPr="000A2208">
        <w:rPr>
          <w:noProof/>
        </w:rPr>
        <w:t>4</w:t>
      </w:r>
    </w:fldSimple>
    <w:r w:rsidRPr="000A2208">
      <w:tab/>
    </w:r>
    <w:r w:rsidRPr="000A2208">
      <w:rPr>
        <w:rStyle w:val="HideTWBExt"/>
      </w:rPr>
      <w:t>&lt;PathFdR&gt;</w:t>
    </w:r>
    <w:r w:rsidRPr="000A2208">
      <w:t>RR\1298773CS.docx</w:t>
    </w:r>
    <w:r w:rsidRPr="000A2208">
      <w:rPr>
        <w:rStyle w:val="HideTWBExt"/>
      </w:rPr>
      <w:t>&lt;/PathFdR&gt;</w:t>
    </w:r>
  </w:p>
  <w:p w:rsidR="00077ED7" w:rsidRPr="000A2208" w:rsidRDefault="00077ED7" w:rsidP="00DF6325">
    <w:pPr>
      <w:pStyle w:val="EPFooter2"/>
    </w:pPr>
    <w:r w:rsidRPr="000A2208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ED7" w:rsidRPr="000A2208" w:rsidRDefault="00077ED7" w:rsidP="00DF6325">
    <w:pPr>
      <w:pStyle w:val="EPFooter"/>
    </w:pPr>
    <w:r w:rsidRPr="000A2208">
      <w:rPr>
        <w:rStyle w:val="HideTWBExt"/>
      </w:rPr>
      <w:t>&lt;PathFdR&gt;</w:t>
    </w:r>
    <w:r w:rsidRPr="000A2208">
      <w:t>RR\1298773CS.docx</w:t>
    </w:r>
    <w:r w:rsidRPr="000A2208">
      <w:rPr>
        <w:rStyle w:val="HideTWBExt"/>
      </w:rPr>
      <w:t>&lt;/PathFdR&gt;</w:t>
    </w:r>
    <w:r w:rsidRPr="000A2208">
      <w:tab/>
    </w:r>
    <w:r w:rsidRPr="000A2208">
      <w:tab/>
      <w:t>PE</w:t>
    </w:r>
    <w:r w:rsidRPr="000A2208">
      <w:rPr>
        <w:rStyle w:val="HideTWBExt"/>
      </w:rPr>
      <w:t>&lt;NoPE&gt;</w:t>
    </w:r>
    <w:r w:rsidRPr="000A2208">
      <w:t>753.518</w:t>
    </w:r>
    <w:r w:rsidRPr="000A2208">
      <w:rPr>
        <w:rStyle w:val="HideTWBExt"/>
      </w:rPr>
      <w:t>&lt;/NoPE&gt;&lt;Version&gt;</w:t>
    </w:r>
    <w:r w:rsidRPr="000A2208">
      <w:t>v02-00</w:t>
    </w:r>
    <w:r w:rsidRPr="000A2208">
      <w:rPr>
        <w:rStyle w:val="HideTWBExt"/>
      </w:rPr>
      <w:t>&lt;/Version&gt;</w:t>
    </w:r>
  </w:p>
  <w:p w:rsidR="00077ED7" w:rsidRPr="000A2208" w:rsidRDefault="00077ED7" w:rsidP="00DF6325">
    <w:pPr>
      <w:pStyle w:val="EPFooter2"/>
    </w:pPr>
    <w:r w:rsidRPr="000A2208">
      <w:t>CS</w:t>
    </w:r>
    <w:r w:rsidRPr="000A2208">
      <w:tab/>
    </w:r>
    <w:r w:rsidRPr="000A2208">
      <w:rPr>
        <w:b w:val="0"/>
        <w:i/>
        <w:color w:val="C0C0C0"/>
        <w:sz w:val="22"/>
      </w:rPr>
      <w:t>Jednotná v rozmanitosti</w:t>
    </w:r>
    <w:r w:rsidRPr="000A2208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220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220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22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1AB" w:rsidRPr="000A2208" w:rsidRDefault="006171AB">
      <w:r w:rsidRPr="000A2208">
        <w:separator/>
      </w:r>
    </w:p>
  </w:footnote>
  <w:footnote w:type="continuationSeparator" w:id="0">
    <w:p w:rsidR="006171AB" w:rsidRPr="000A2208" w:rsidRDefault="006171AB">
      <w:r w:rsidRPr="000A2208">
        <w:continuationSeparator/>
      </w:r>
    </w:p>
  </w:footnote>
  <w:footnote w:id="1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C, C/2023/594, 27.10.2023.</w:t>
      </w:r>
    </w:p>
  </w:footnote>
  <w:footnote w:id="2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C, C/2023/112, 12.10.2023.</w:t>
      </w:r>
    </w:p>
  </w:footnote>
  <w:footnote w:id="3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L 193, 30.7.2018, s. 1.</w:t>
      </w:r>
    </w:p>
  </w:footnote>
  <w:footnote w:id="4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L 83, 25.3.2019, s. 18.</w:t>
      </w:r>
    </w:p>
  </w:footnote>
  <w:footnote w:id="5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L 122, 10.5.2019, s. 1.</w:t>
      </w:r>
    </w:p>
  </w:footnote>
  <w:footnote w:id="6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C, C/2023/594, 27.10.2023.</w:t>
      </w:r>
    </w:p>
  </w:footnote>
  <w:footnote w:id="7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C, C/2023/112, 12.10.2023.</w:t>
      </w:r>
    </w:p>
  </w:footnote>
  <w:footnote w:id="8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L 193, 30.7.2018, s. 1.</w:t>
      </w:r>
    </w:p>
  </w:footnote>
  <w:footnote w:id="9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L 83, 25.3.2019, s. 18.</w:t>
      </w:r>
    </w:p>
  </w:footnote>
  <w:footnote w:id="10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L 122, 10.5.2019, s. 1.</w:t>
      </w:r>
    </w:p>
  </w:footnote>
  <w:footnote w:id="11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C 38, 31.1.2023, s. 65.</w:t>
      </w:r>
    </w:p>
  </w:footnote>
  <w:footnote w:id="12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r w:rsidRPr="000A2208">
        <w:rPr>
          <w:sz w:val="24"/>
          <w:lang w:val="cs-CZ"/>
        </w:rPr>
        <w:t>Nařízení Evropského parlamentu a Rady (EU) 2019/473 ze dne 19. března 2019 o Evropské agentuře pro kontrolu rybolovu (</w:t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L 83, 25.3.2019, s. 18).</w:t>
      </w:r>
    </w:p>
  </w:footnote>
  <w:footnote w:id="13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r w:rsidRPr="000A2208">
        <w:rPr>
          <w:sz w:val="24"/>
          <w:lang w:val="cs-CZ"/>
        </w:rPr>
        <w:t>Nařízení Evropského parlamentu a Rady (EU, Euratom) 2018/1046 ze dne 18. července 2018, kterým se stanoví finanční pravidla pro souhrnný rozpočet Unie, mění nařízení (EU) č. 1296/2013, (EU) č. 1301/2013, (EU) č. 1303/2013, (EU) č. 1304/2013, (EU) č. 1309/2013, (EU) č. 1316/2013, (EU) č. 223/2014, (EU) č. 283/2014, a rozhodnutí č. 541/2014/EU a zrušuje nařízení (EU, Euratom) č. 966/2012 (</w:t>
      </w:r>
      <w:proofErr w:type="spellStart"/>
      <w:r w:rsidRPr="000A2208">
        <w:rPr>
          <w:sz w:val="24"/>
          <w:lang w:val="cs-CZ"/>
        </w:rPr>
        <w:t>Úř</w:t>
      </w:r>
      <w:proofErr w:type="spellEnd"/>
      <w:r w:rsidRPr="000A2208">
        <w:rPr>
          <w:sz w:val="24"/>
          <w:lang w:val="cs-CZ"/>
        </w:rPr>
        <w:t xml:space="preserve">. </w:t>
      </w:r>
      <w:proofErr w:type="spellStart"/>
      <w:r w:rsidRPr="000A2208">
        <w:rPr>
          <w:sz w:val="24"/>
          <w:lang w:val="cs-CZ"/>
        </w:rPr>
        <w:t>věst</w:t>
      </w:r>
      <w:proofErr w:type="spellEnd"/>
      <w:r w:rsidRPr="000A2208">
        <w:rPr>
          <w:sz w:val="24"/>
          <w:lang w:val="cs-CZ"/>
        </w:rPr>
        <w:t>. L 193, 30.7.2018, s. 1).</w:t>
      </w:r>
    </w:p>
  </w:footnote>
  <w:footnote w:id="14">
    <w:p w:rsidR="00077ED7" w:rsidRPr="000A2208" w:rsidRDefault="00077ED7" w:rsidP="000A2208">
      <w:pPr>
        <w:pStyle w:val="FootnoteText"/>
        <w:ind w:left="567" w:hanging="567"/>
        <w:rPr>
          <w:sz w:val="24"/>
          <w:lang w:val="cs-CZ"/>
        </w:rPr>
      </w:pPr>
      <w:r w:rsidRPr="000A2208">
        <w:rPr>
          <w:rStyle w:val="FootnoteReference"/>
          <w:sz w:val="24"/>
          <w:lang w:val="cs-CZ"/>
        </w:rPr>
        <w:footnoteRef/>
      </w:r>
      <w:r w:rsidR="000A2208" w:rsidRPr="000A2208">
        <w:rPr>
          <w:sz w:val="24"/>
          <w:lang w:val="cs-CZ"/>
        </w:rPr>
        <w:t xml:space="preserve"> </w:t>
      </w:r>
      <w:r w:rsidR="000A2208" w:rsidRPr="000A2208">
        <w:rPr>
          <w:sz w:val="24"/>
          <w:lang w:val="cs-CZ"/>
        </w:rPr>
        <w:tab/>
      </w:r>
      <w:r w:rsidRPr="000A2208">
        <w:rPr>
          <w:sz w:val="24"/>
          <w:lang w:val="cs-CZ"/>
        </w:rPr>
        <w:t xml:space="preserve">Přijaté texty, </w:t>
      </w:r>
      <w:r w:rsidRPr="000A2208">
        <w:rPr>
          <w:sz w:val="24"/>
          <w:lang w:val="cs-CZ"/>
        </w:rPr>
        <w:t>P9_TA(2024)0</w:t>
      </w:r>
      <w:r w:rsidR="00312307">
        <w:rPr>
          <w:sz w:val="24"/>
          <w:lang w:val="cs-CZ"/>
        </w:rPr>
        <w:t>28</w:t>
      </w:r>
      <w:r w:rsidRPr="000A2208">
        <w:rPr>
          <w:sz w:val="24"/>
          <w:lang w:val="cs-CZ"/>
        </w:rPr>
        <w:t>0</w:t>
      </w:r>
      <w:bookmarkStart w:id="12" w:name="_GoBack"/>
      <w:bookmarkEnd w:id="12"/>
      <w:r w:rsidRPr="000A2208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22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22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22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0/2024"/>
    <w:docVar w:name="dvlangue" w:val="CS"/>
    <w:docVar w:name="dvnumam" w:val="0"/>
    <w:docVar w:name="dvpe" w:val="753.518"/>
    <w:docVar w:name="dvrapporteur" w:val="Zpravodaj: "/>
    <w:docVar w:name="dvtitre" w:val="1. Rozhodnutí Evropského parlamentu ze dne 11. dubna 2024 o udělení absolutoria za plnění rozpočtu Evropské agentury pro kontrolu rybolovu na rozpočtový rok 2022(2023/2150(DEC))"/>
  </w:docVars>
  <w:rsids>
    <w:rsidRoot w:val="006171AB"/>
    <w:rsid w:val="00002272"/>
    <w:rsid w:val="00064002"/>
    <w:rsid w:val="000677B9"/>
    <w:rsid w:val="00077ED7"/>
    <w:rsid w:val="000831BA"/>
    <w:rsid w:val="000A2208"/>
    <w:rsid w:val="000A42CC"/>
    <w:rsid w:val="000E7DD9"/>
    <w:rsid w:val="0010095E"/>
    <w:rsid w:val="00125B37"/>
    <w:rsid w:val="0012774E"/>
    <w:rsid w:val="00187494"/>
    <w:rsid w:val="001F32AE"/>
    <w:rsid w:val="002767FF"/>
    <w:rsid w:val="002B18FE"/>
    <w:rsid w:val="002B5493"/>
    <w:rsid w:val="00312307"/>
    <w:rsid w:val="00343214"/>
    <w:rsid w:val="00361C00"/>
    <w:rsid w:val="0038763C"/>
    <w:rsid w:val="00395FA1"/>
    <w:rsid w:val="003E15D4"/>
    <w:rsid w:val="003E7FB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71A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07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79CB"/>
    <w:rsid w:val="00C941CB"/>
    <w:rsid w:val="00CC2357"/>
    <w:rsid w:val="00CF071A"/>
    <w:rsid w:val="00D058B8"/>
    <w:rsid w:val="00D56C11"/>
    <w:rsid w:val="00D834A0"/>
    <w:rsid w:val="00D86F69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A4651"/>
  <w15:chartTrackingRefBased/>
  <w15:docId w15:val="{4E7003D0-5A37-4A11-92B3-B0EDEBCB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77ED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77ED7"/>
    <w:pPr>
      <w:spacing w:before="480" w:after="240"/>
    </w:pPr>
  </w:style>
  <w:style w:type="paragraph" w:customStyle="1" w:styleId="PageHeading">
    <w:name w:val="PageHeading"/>
    <w:basedOn w:val="Normal"/>
    <w:rsid w:val="00077ED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77ED7"/>
    <w:rPr>
      <w:b/>
    </w:rPr>
  </w:style>
  <w:style w:type="paragraph" w:customStyle="1" w:styleId="NormalHanging12a">
    <w:name w:val="NormalHanging12a"/>
    <w:basedOn w:val="Normal"/>
    <w:link w:val="NormalHanging12aChar"/>
    <w:rsid w:val="00077ED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77ED7"/>
    <w:pPr>
      <w:spacing w:after="240"/>
      <w:jc w:val="center"/>
    </w:pPr>
  </w:style>
  <w:style w:type="paragraph" w:styleId="Header">
    <w:name w:val="header"/>
    <w:basedOn w:val="Normal"/>
    <w:link w:val="HeaderChar"/>
    <w:rsid w:val="00077E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7ED7"/>
    <w:rPr>
      <w:sz w:val="24"/>
      <w:lang w:val="cs-CZ"/>
    </w:rPr>
  </w:style>
  <w:style w:type="paragraph" w:customStyle="1" w:styleId="EPFooter">
    <w:name w:val="EPFooter"/>
    <w:basedOn w:val="Normal"/>
    <w:rsid w:val="00077ED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077ED7"/>
    <w:rPr>
      <w:sz w:val="24"/>
      <w:lang w:val="cs-CZ"/>
    </w:rPr>
  </w:style>
  <w:style w:type="paragraph" w:styleId="Footer">
    <w:name w:val="footer"/>
    <w:basedOn w:val="Normal"/>
    <w:link w:val="FooterChar"/>
    <w:rsid w:val="00AC60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C6079"/>
    <w:rPr>
      <w:sz w:val="24"/>
      <w:lang w:val="cs-CZ"/>
    </w:rPr>
  </w:style>
  <w:style w:type="paragraph" w:styleId="BalloonText">
    <w:name w:val="Balloon Text"/>
    <w:basedOn w:val="Normal"/>
    <w:link w:val="BalloonTextChar"/>
    <w:rsid w:val="00D86F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86F69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ADA9C-E3A3-4FDA-9B21-334EE22A0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3608</Words>
  <Characters>20572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2024-04-11T11:27:00Z</dcterms:created>
  <dcterms:modified xsi:type="dcterms:W3CDTF">2024-04-11T11:27:00Z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A9-0100/2024</vt:lpwstr>
  </property>
  <property fmtid="{D5CDD505-2E9C-101B-9397-08002B2CF9AE}" pid="4" name="&lt;Type&gt;">
    <vt:lpwstr>RR</vt:lpwstr>
  </property>
</Properties>
</file>