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55C" w14:paraId="01514563" w14:textId="77777777" w:rsidTr="0010095E">
        <w:trPr>
          <w:trHeight w:hRule="exact" w:val="1418"/>
        </w:trPr>
        <w:tc>
          <w:tcPr>
            <w:tcW w:w="6804" w:type="dxa"/>
            <w:shd w:val="clear" w:color="auto" w:fill="auto"/>
            <w:vAlign w:val="center"/>
          </w:tcPr>
          <w:p w14:paraId="6CDA0650" w14:textId="77777777" w:rsidR="00751A4A" w:rsidRPr="0026455C" w:rsidRDefault="00772DF5" w:rsidP="0010095E">
            <w:pPr>
              <w:pStyle w:val="EPName"/>
            </w:pPr>
            <w:r w:rsidRPr="0026455C">
              <w:t>Europa-Parlamentet</w:t>
            </w:r>
          </w:p>
          <w:p w14:paraId="033122E0" w14:textId="77777777" w:rsidR="00751A4A" w:rsidRPr="0026455C" w:rsidRDefault="00817416" w:rsidP="00756632">
            <w:pPr>
              <w:pStyle w:val="EPTerm"/>
              <w:rPr>
                <w:rStyle w:val="HideTWBExt"/>
                <w:noProof w:val="0"/>
                <w:vanish w:val="0"/>
                <w:color w:val="auto"/>
              </w:rPr>
            </w:pPr>
            <w:r w:rsidRPr="0026455C">
              <w:t>2019-2024</w:t>
            </w:r>
          </w:p>
        </w:tc>
        <w:tc>
          <w:tcPr>
            <w:tcW w:w="2268" w:type="dxa"/>
            <w:shd w:val="clear" w:color="auto" w:fill="auto"/>
          </w:tcPr>
          <w:p w14:paraId="0F13AFF0" w14:textId="77777777" w:rsidR="00751A4A" w:rsidRPr="0026455C" w:rsidRDefault="00187494" w:rsidP="0010095E">
            <w:pPr>
              <w:pStyle w:val="EPLogo"/>
            </w:pPr>
            <w:r w:rsidRPr="0026455C">
              <w:rPr>
                <w:noProof/>
                <w:lang w:eastAsia="da-DK"/>
              </w:rPr>
              <w:drawing>
                <wp:inline distT="0" distB="0" distL="0" distR="0" wp14:anchorId="7EEBA2C4" wp14:editId="30D045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DF9E1D" w14:textId="77777777" w:rsidR="00D058B8" w:rsidRPr="0026455C" w:rsidRDefault="00D058B8" w:rsidP="004C5D52">
      <w:pPr>
        <w:pStyle w:val="LineTop"/>
      </w:pPr>
    </w:p>
    <w:p w14:paraId="0EC18C64" w14:textId="77777777" w:rsidR="00680577" w:rsidRPr="0026455C" w:rsidRDefault="00772DF5" w:rsidP="00680577">
      <w:pPr>
        <w:pStyle w:val="EPBodyTA1"/>
      </w:pPr>
      <w:r w:rsidRPr="0026455C">
        <w:t>VEDTAGNE TEKSTER</w:t>
      </w:r>
    </w:p>
    <w:p w14:paraId="32338CBE" w14:textId="77777777" w:rsidR="00D058B8" w:rsidRPr="0026455C" w:rsidRDefault="00D058B8" w:rsidP="00D058B8">
      <w:pPr>
        <w:pStyle w:val="LineBottom"/>
      </w:pPr>
    </w:p>
    <w:p w14:paraId="7EAB1DE3" w14:textId="19DD2607" w:rsidR="00772DF5" w:rsidRPr="0026455C" w:rsidRDefault="00772DF5" w:rsidP="00772DF5">
      <w:pPr>
        <w:pStyle w:val="ATHeading1"/>
      </w:pPr>
      <w:bookmarkStart w:id="0" w:name="TANumber"/>
      <w:r w:rsidRPr="0026455C">
        <w:t>P9_TA(2024)0</w:t>
      </w:r>
      <w:bookmarkEnd w:id="0"/>
      <w:r w:rsidR="005957A1">
        <w:t>257</w:t>
      </w:r>
    </w:p>
    <w:p w14:paraId="05A69341" w14:textId="77777777" w:rsidR="00772DF5" w:rsidRPr="0026455C" w:rsidRDefault="00B626F5" w:rsidP="00772DF5">
      <w:pPr>
        <w:pStyle w:val="ATHeading2"/>
      </w:pPr>
      <w:r w:rsidRPr="00B626F5">
        <w:t>Decharge 2022: Det Europæiske Fiskerikontrolagentur</w:t>
      </w:r>
    </w:p>
    <w:p w14:paraId="626BD132" w14:textId="77777777" w:rsidR="00772DF5" w:rsidRPr="0026455C" w:rsidRDefault="00772DF5" w:rsidP="00772DF5">
      <w:pPr>
        <w:rPr>
          <w:i/>
          <w:vanish/>
        </w:rPr>
      </w:pPr>
      <w:r w:rsidRPr="0026455C">
        <w:rPr>
          <w:i/>
        </w:rPr>
        <w:fldChar w:fldCharType="begin"/>
      </w:r>
      <w:r w:rsidRPr="0026455C">
        <w:rPr>
          <w:i/>
        </w:rPr>
        <w:instrText xml:space="preserve"> TC"(</w:instrText>
      </w:r>
      <w:bookmarkStart w:id="1" w:name="DocNumber"/>
      <w:r w:rsidRPr="0026455C">
        <w:rPr>
          <w:i/>
        </w:rPr>
        <w:instrText>A9-0100/2024</w:instrText>
      </w:r>
      <w:bookmarkEnd w:id="1"/>
      <w:r w:rsidRPr="0026455C">
        <w:rPr>
          <w:i/>
        </w:rPr>
        <w:instrText xml:space="preserve"> - Ordfører: Petri Sarvamaa)"\l3 \n&gt; \* MERGEFORMAT </w:instrText>
      </w:r>
      <w:r w:rsidRPr="0026455C">
        <w:rPr>
          <w:i/>
        </w:rPr>
        <w:fldChar w:fldCharType="end"/>
      </w:r>
    </w:p>
    <w:p w14:paraId="5D4547EC" w14:textId="77777777" w:rsidR="00772DF5" w:rsidRPr="0026455C" w:rsidRDefault="00772DF5" w:rsidP="00772DF5">
      <w:pPr>
        <w:rPr>
          <w:vanish/>
        </w:rPr>
      </w:pPr>
      <w:bookmarkStart w:id="2" w:name="Commission"/>
      <w:r w:rsidRPr="0026455C">
        <w:rPr>
          <w:vanish/>
        </w:rPr>
        <w:t>Budgetkontroludvalget</w:t>
      </w:r>
      <w:bookmarkEnd w:id="2"/>
    </w:p>
    <w:p w14:paraId="45E523FE" w14:textId="77777777" w:rsidR="00772DF5" w:rsidRPr="0026455C" w:rsidRDefault="00772DF5" w:rsidP="00772DF5">
      <w:pPr>
        <w:rPr>
          <w:vanish/>
        </w:rPr>
      </w:pPr>
      <w:bookmarkStart w:id="3" w:name="PE"/>
      <w:r w:rsidRPr="0026455C">
        <w:rPr>
          <w:vanish/>
        </w:rPr>
        <w:t>PE753.518</w:t>
      </w:r>
      <w:bookmarkEnd w:id="3"/>
    </w:p>
    <w:p w14:paraId="02A29966" w14:textId="77777777" w:rsidR="00772DF5" w:rsidRPr="0026455C" w:rsidRDefault="002C7615" w:rsidP="00772DF5">
      <w:pPr>
        <w:pStyle w:val="ATHeading3"/>
      </w:pPr>
      <w:bookmarkStart w:id="4" w:name="Sujet"/>
      <w:r>
        <w:t xml:space="preserve">1. </w:t>
      </w:r>
      <w:r w:rsidRPr="009574E6">
        <w:t xml:space="preserve">Europa-Parlamentets </w:t>
      </w:r>
      <w:r>
        <w:t xml:space="preserve">afgørelse af 11. april 2024 </w:t>
      </w:r>
      <w:r w:rsidRPr="009574E6">
        <w:t>om decharge</w:t>
      </w:r>
      <w:r w:rsidR="00772DF5" w:rsidRPr="0026455C">
        <w:t xml:space="preserve"> for gennemførelsen af budgettet for Det Europæiske Fiskerikontrolagentur for regnskabsåret 2022</w:t>
      </w:r>
      <w:bookmarkEnd w:id="4"/>
      <w:r w:rsidR="00772DF5" w:rsidRPr="0026455C">
        <w:t xml:space="preserve"> </w:t>
      </w:r>
      <w:bookmarkStart w:id="5" w:name="References"/>
      <w:r w:rsidR="00772DF5" w:rsidRPr="0026455C">
        <w:t>(2023/2150(DEC))</w:t>
      </w:r>
      <w:bookmarkEnd w:id="5"/>
    </w:p>
    <w:p w14:paraId="32E39487" w14:textId="77777777" w:rsidR="004703AC" w:rsidRPr="0026455C" w:rsidRDefault="004703AC" w:rsidP="004703AC">
      <w:pPr>
        <w:pStyle w:val="EPComma"/>
      </w:pPr>
      <w:bookmarkStart w:id="6" w:name="TextBodyBegin"/>
      <w:bookmarkEnd w:id="6"/>
      <w:r w:rsidRPr="0026455C">
        <w:rPr>
          <w:i/>
        </w:rPr>
        <w:t>Europa-Parlamentet</w:t>
      </w:r>
      <w:r w:rsidRPr="0026455C">
        <w:t>,</w:t>
      </w:r>
    </w:p>
    <w:p w14:paraId="5FC5DAE8" w14:textId="77777777" w:rsidR="004703AC" w:rsidRPr="0026455C" w:rsidRDefault="004703AC" w:rsidP="004703AC">
      <w:pPr>
        <w:pStyle w:val="NormalHanging12a"/>
      </w:pPr>
      <w:r w:rsidRPr="0026455C">
        <w:t>–</w:t>
      </w:r>
      <w:r w:rsidRPr="0026455C">
        <w:tab/>
        <w:t>der henviser til det endelige årsregnskab for Det Europæiske Fiskerikontrolagentur for regnskabsåret 2022,</w:t>
      </w:r>
    </w:p>
    <w:p w14:paraId="446BDB49" w14:textId="77777777" w:rsidR="004703AC" w:rsidRPr="0026455C" w:rsidRDefault="004703AC" w:rsidP="004703AC">
      <w:pPr>
        <w:pStyle w:val="NormalHanging12a"/>
      </w:pPr>
      <w:r w:rsidRPr="0026455C">
        <w:t>–</w:t>
      </w:r>
      <w:r w:rsidRPr="0026455C">
        <w:tab/>
        <w:t>der henviser til Revisionsrettens årsberetning om EU-agenturerne for regnskabsåret 2022, med agenturernes svar</w:t>
      </w:r>
      <w:r w:rsidRPr="0026455C">
        <w:rPr>
          <w:rStyle w:val="FootnoteReference"/>
        </w:rPr>
        <w:footnoteReference w:id="1"/>
      </w:r>
      <w:r w:rsidRPr="0026455C">
        <w:t>,</w:t>
      </w:r>
    </w:p>
    <w:p w14:paraId="78C853A9" w14:textId="77777777" w:rsidR="004703AC" w:rsidRPr="0026455C" w:rsidRDefault="004703AC" w:rsidP="004703AC">
      <w:pPr>
        <w:pStyle w:val="NormalHanging12a"/>
      </w:pPr>
      <w:r w:rsidRPr="0026455C">
        <w:t>–</w:t>
      </w:r>
      <w:r w:rsidRPr="0026455C">
        <w:tab/>
        <w:t>der henviser til Revisionsrettens erklæring</w:t>
      </w:r>
      <w:r w:rsidRPr="0026455C">
        <w:rPr>
          <w:rStyle w:val="FootnoteReference"/>
        </w:rPr>
        <w:footnoteReference w:id="2"/>
      </w:r>
      <w:r w:rsidRPr="0026455C">
        <w:t xml:space="preserve"> for regnskabsåret 2022 om regnskabernes rigtighed og de underliggende transaktioners lovlighed og formelle rigtighed, jf. artikel 287 i traktaten om Den Europæiske Unions funktionsmåde,</w:t>
      </w:r>
    </w:p>
    <w:p w14:paraId="383E79EC" w14:textId="1185E4C1" w:rsidR="004703AC" w:rsidRPr="0026455C" w:rsidRDefault="004703AC" w:rsidP="004703AC">
      <w:pPr>
        <w:pStyle w:val="NormalHanging12a"/>
      </w:pPr>
      <w:r w:rsidRPr="0026455C">
        <w:t>–</w:t>
      </w:r>
      <w:r w:rsidRPr="0026455C">
        <w:tab/>
        <w:t>der henviser til Rådets henstilling af 22. februar 2024 om decharge til agenturet for gennemførelsen af budgettet for regnskabsåret 2022 (</w:t>
      </w:r>
      <w:r w:rsidR="000531CD" w:rsidRPr="00E96803">
        <w:t>06180</w:t>
      </w:r>
      <w:r w:rsidRPr="0026455C">
        <w:t>/2024 – C9</w:t>
      </w:r>
      <w:r w:rsidRPr="0026455C">
        <w:noBreakHyphen/>
        <w:t>00</w:t>
      </w:r>
      <w:r w:rsidR="000531CD">
        <w:t>88</w:t>
      </w:r>
      <w:r w:rsidRPr="0026455C">
        <w:t>/2024),</w:t>
      </w:r>
    </w:p>
    <w:p w14:paraId="4FD83291" w14:textId="77777777" w:rsidR="004703AC" w:rsidRPr="0026455C" w:rsidRDefault="004703AC" w:rsidP="004703AC">
      <w:pPr>
        <w:pStyle w:val="NormalHanging12a"/>
      </w:pPr>
      <w:r w:rsidRPr="0026455C">
        <w:t>–</w:t>
      </w:r>
      <w:r w:rsidRPr="0026455C">
        <w:tab/>
        <w:t>der henviser til artikel 319 i traktaten om Den Europæiske Unions funktionsmåde,</w:t>
      </w:r>
    </w:p>
    <w:p w14:paraId="3418CABB" w14:textId="77777777" w:rsidR="004703AC" w:rsidRPr="0026455C" w:rsidRDefault="004703AC" w:rsidP="004703AC">
      <w:pPr>
        <w:pStyle w:val="NormalHanging12a"/>
      </w:pPr>
      <w:r w:rsidRPr="0026455C">
        <w:t>–</w:t>
      </w:r>
      <w:r w:rsidRPr="0026455C">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26455C">
        <w:rPr>
          <w:rStyle w:val="FootnoteReference"/>
        </w:rPr>
        <w:footnoteReference w:id="3"/>
      </w:r>
      <w:r w:rsidRPr="0026455C">
        <w:t>, særlig artikel 70,</w:t>
      </w:r>
    </w:p>
    <w:p w14:paraId="36262A8C" w14:textId="77777777" w:rsidR="004703AC" w:rsidRPr="0026455C" w:rsidRDefault="004703AC" w:rsidP="004703AC">
      <w:pPr>
        <w:pStyle w:val="NormalHanging12a"/>
      </w:pPr>
      <w:r w:rsidRPr="0026455C">
        <w:t>–</w:t>
      </w:r>
      <w:r w:rsidRPr="0026455C">
        <w:tab/>
        <w:t xml:space="preserve">der henviser til Europa-Parlamentets og Rådets forordning (EU) 2019/473 af 19. marts </w:t>
      </w:r>
      <w:r w:rsidRPr="0026455C">
        <w:lastRenderedPageBreak/>
        <w:t>2019 om Det Europæiske Fiskerikontrolagentur</w:t>
      </w:r>
      <w:r w:rsidRPr="0026455C">
        <w:rPr>
          <w:rStyle w:val="FootnoteReference"/>
        </w:rPr>
        <w:footnoteReference w:id="4"/>
      </w:r>
      <w:r w:rsidRPr="0026455C">
        <w:t>, særlig artikel 45,</w:t>
      </w:r>
    </w:p>
    <w:p w14:paraId="713B02B1" w14:textId="77777777" w:rsidR="004703AC" w:rsidRPr="0026455C" w:rsidRDefault="004703AC" w:rsidP="004703AC">
      <w:pPr>
        <w:pStyle w:val="NormalHanging12a"/>
      </w:pPr>
      <w:r w:rsidRPr="0026455C">
        <w:t>–</w:t>
      </w:r>
      <w:r w:rsidRPr="0026455C">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26455C">
        <w:rPr>
          <w:rStyle w:val="FootnoteReference"/>
        </w:rPr>
        <w:footnoteReference w:id="5"/>
      </w:r>
      <w:r w:rsidRPr="0026455C">
        <w:t>, særlig artikel 105,</w:t>
      </w:r>
    </w:p>
    <w:p w14:paraId="7FE3253A" w14:textId="77777777" w:rsidR="004703AC" w:rsidRPr="0026455C" w:rsidRDefault="004703AC" w:rsidP="004703AC">
      <w:pPr>
        <w:pStyle w:val="NormalHanging12a"/>
      </w:pPr>
      <w:r w:rsidRPr="0026455C">
        <w:t>–</w:t>
      </w:r>
      <w:r w:rsidRPr="0026455C">
        <w:tab/>
        <w:t>der henviser til forretningsordenens artikel 100 og bilag V,</w:t>
      </w:r>
    </w:p>
    <w:p w14:paraId="481815AF" w14:textId="77777777" w:rsidR="004703AC" w:rsidRPr="0026455C" w:rsidRDefault="004703AC" w:rsidP="004703AC">
      <w:pPr>
        <w:pStyle w:val="NormalHanging12a"/>
      </w:pPr>
      <w:r w:rsidRPr="0026455C">
        <w:t>–</w:t>
      </w:r>
      <w:r w:rsidRPr="0026455C">
        <w:tab/>
        <w:t>der henviser til udtalelse fra Fiskeriudvalget,</w:t>
      </w:r>
    </w:p>
    <w:p w14:paraId="5F04BEE7" w14:textId="77777777" w:rsidR="004703AC" w:rsidRPr="0026455C" w:rsidRDefault="004703AC" w:rsidP="004703AC">
      <w:pPr>
        <w:pStyle w:val="NormalHanging12a"/>
      </w:pPr>
      <w:r w:rsidRPr="0026455C">
        <w:t>–</w:t>
      </w:r>
      <w:r w:rsidRPr="0026455C">
        <w:tab/>
        <w:t>der henviser til betænkning fra Budgetkontroludvalget (A9-0100/2024),</w:t>
      </w:r>
    </w:p>
    <w:p w14:paraId="541C8613" w14:textId="77777777" w:rsidR="004703AC" w:rsidRPr="0026455C" w:rsidRDefault="004703AC" w:rsidP="004703AC">
      <w:pPr>
        <w:pStyle w:val="NormalHanging12a"/>
      </w:pPr>
      <w:r w:rsidRPr="0026455C">
        <w:t>1.</w:t>
      </w:r>
      <w:r w:rsidRPr="0026455C">
        <w:tab/>
        <w:t>meddeler den administrerende direktør for Det Europæiske Fiskerikontrolagentur decharge for gennemførelsen af agenturets budget for regnskabsåret 2022;</w:t>
      </w:r>
    </w:p>
    <w:p w14:paraId="65505ECB" w14:textId="77777777" w:rsidR="004703AC" w:rsidRPr="0026455C" w:rsidRDefault="004703AC" w:rsidP="004703AC">
      <w:pPr>
        <w:pStyle w:val="NormalHanging12a"/>
      </w:pPr>
      <w:r w:rsidRPr="0026455C">
        <w:t>2.</w:t>
      </w:r>
      <w:r w:rsidRPr="0026455C">
        <w:tab/>
        <w:t>fremsætter sine bemærkninger i nedenstående beslutning;</w:t>
      </w:r>
    </w:p>
    <w:p w14:paraId="57516E0F" w14:textId="77777777" w:rsidR="004703AC" w:rsidRPr="0026455C" w:rsidRDefault="004703AC" w:rsidP="004703AC">
      <w:pPr>
        <w:pStyle w:val="NormalHanging12a"/>
      </w:pPr>
      <w:r w:rsidRPr="0026455C">
        <w:t>3.</w:t>
      </w:r>
      <w:r w:rsidRPr="0026455C">
        <w:tab/>
        <w:t xml:space="preserve">pålægger sin formand at sende denne afgørelse og beslutningen, der er en integrerende del heraf, til den administrerende direktør for Det Europæiske Fiskerikontrolagentur, Rådet, Kommissionen og Revisionsretten og drage omsorg for, at de offentliggøres i </w:t>
      </w:r>
      <w:r w:rsidRPr="0026455C">
        <w:rPr>
          <w:i/>
          <w:iCs/>
        </w:rPr>
        <w:t>Den Europæiske Unions Tidende</w:t>
      </w:r>
      <w:r w:rsidRPr="0026455C">
        <w:t xml:space="preserve"> (L-udgaven).</w:t>
      </w:r>
    </w:p>
    <w:p w14:paraId="69F806E5" w14:textId="77777777" w:rsidR="004703AC" w:rsidRPr="0026455C" w:rsidRDefault="004703AC" w:rsidP="004703AC"/>
    <w:p w14:paraId="6B2D6A09" w14:textId="77777777" w:rsidR="004703AC" w:rsidRPr="0026455C" w:rsidRDefault="004703AC" w:rsidP="004703AC">
      <w:pPr>
        <w:widowControl/>
        <w:rPr>
          <w:rFonts w:ascii="Arial" w:hAnsi="Arial" w:cs="Arial"/>
          <w:b/>
        </w:rPr>
        <w:sectPr w:rsidR="004703AC" w:rsidRPr="0026455C" w:rsidSect="002645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4849DC39" w14:textId="77777777" w:rsidR="002C7615" w:rsidRPr="009574E6" w:rsidRDefault="002C7615" w:rsidP="002C7615">
      <w:pPr>
        <w:pStyle w:val="ATHeading3"/>
      </w:pPr>
      <w:r>
        <w:lastRenderedPageBreak/>
        <w:t xml:space="preserve">2. </w:t>
      </w:r>
      <w:r w:rsidRPr="009574E6">
        <w:t xml:space="preserve">Europa-Parlamentets afgørelse af </w:t>
      </w:r>
      <w:r>
        <w:t>11. april 2024</w:t>
      </w:r>
      <w:r w:rsidRPr="009574E6">
        <w:t xml:space="preserve"> </w:t>
      </w:r>
      <w:r w:rsidRPr="0026455C">
        <w:t>om afslutning af regnskaberne for Det Europæiske Fiskerikontrolagentur for regnskabsåret 2022</w:t>
      </w:r>
      <w:r>
        <w:t xml:space="preserve"> </w:t>
      </w:r>
      <w:r w:rsidRPr="0026455C">
        <w:t>(2023/2150(DEC))</w:t>
      </w:r>
    </w:p>
    <w:p w14:paraId="54924169" w14:textId="77777777" w:rsidR="004703AC" w:rsidRPr="0026455C" w:rsidRDefault="004703AC" w:rsidP="004703AC">
      <w:pPr>
        <w:pStyle w:val="EPComma"/>
      </w:pPr>
      <w:r w:rsidRPr="0026455C">
        <w:rPr>
          <w:i/>
        </w:rPr>
        <w:t>Europa-Parlamentet,</w:t>
      </w:r>
    </w:p>
    <w:p w14:paraId="09E436A9" w14:textId="77777777" w:rsidR="004703AC" w:rsidRPr="0026455C" w:rsidRDefault="004703AC" w:rsidP="004703AC">
      <w:pPr>
        <w:pStyle w:val="NormalHanging12a"/>
      </w:pPr>
      <w:r w:rsidRPr="0026455C">
        <w:t>–</w:t>
      </w:r>
      <w:r w:rsidRPr="0026455C">
        <w:tab/>
        <w:t>der henviser til det endelige årsregnskab for Det Europæiske Fiskerikontrolagentur for regnskabsåret 2022,</w:t>
      </w:r>
    </w:p>
    <w:p w14:paraId="131198E3" w14:textId="77777777" w:rsidR="004703AC" w:rsidRPr="0026455C" w:rsidRDefault="004703AC" w:rsidP="004703AC">
      <w:pPr>
        <w:pStyle w:val="NormalHanging12a"/>
      </w:pPr>
      <w:r w:rsidRPr="0026455C">
        <w:t>–</w:t>
      </w:r>
      <w:r w:rsidRPr="0026455C">
        <w:tab/>
        <w:t>der henviser til Revisionsrettens årsberetning om EU-agenturerne for regnskabsåret 2022, med agenturernes svar</w:t>
      </w:r>
      <w:r w:rsidRPr="0026455C">
        <w:rPr>
          <w:rStyle w:val="FootnoteReference"/>
        </w:rPr>
        <w:footnoteReference w:id="6"/>
      </w:r>
      <w:r w:rsidRPr="0026455C">
        <w:t>,</w:t>
      </w:r>
    </w:p>
    <w:p w14:paraId="2522E561" w14:textId="77777777" w:rsidR="004703AC" w:rsidRPr="0026455C" w:rsidRDefault="004703AC" w:rsidP="004703AC">
      <w:pPr>
        <w:pStyle w:val="NormalHanging12a"/>
      </w:pPr>
      <w:r w:rsidRPr="0026455C">
        <w:t>–</w:t>
      </w:r>
      <w:r w:rsidRPr="0026455C">
        <w:tab/>
        <w:t>der henviser til Revisionsrettens erklæring</w:t>
      </w:r>
      <w:r w:rsidRPr="0026455C">
        <w:rPr>
          <w:rStyle w:val="FootnoteReference"/>
        </w:rPr>
        <w:footnoteReference w:id="7"/>
      </w:r>
      <w:r w:rsidRPr="0026455C">
        <w:t xml:space="preserve"> for regnskabsåret 2022 om regnskabernes rigtighed og de underliggende transaktioners lovlighed og formelle rigtighed, jf. artikel 287 i traktaten om Den Europæiske Unions funktionsmåde,</w:t>
      </w:r>
    </w:p>
    <w:p w14:paraId="46C67475" w14:textId="6828F47A" w:rsidR="004703AC" w:rsidRPr="0026455C" w:rsidRDefault="004703AC" w:rsidP="004703AC">
      <w:pPr>
        <w:pStyle w:val="NormalHanging12a"/>
      </w:pPr>
      <w:r w:rsidRPr="0026455C">
        <w:t>–</w:t>
      </w:r>
      <w:r w:rsidRPr="0026455C">
        <w:tab/>
        <w:t>der henviser til Rådets henstilling af 22. februar 2024 om decharge til agenturet for gennemførelsen af budgettet for regnskabsåret 2022 (</w:t>
      </w:r>
      <w:r w:rsidR="000531CD" w:rsidRPr="00E96803">
        <w:t>06180</w:t>
      </w:r>
      <w:r w:rsidRPr="0026455C">
        <w:t>/2024 – C9</w:t>
      </w:r>
      <w:r w:rsidRPr="0026455C">
        <w:noBreakHyphen/>
        <w:t>00</w:t>
      </w:r>
      <w:r w:rsidR="000531CD">
        <w:t>88</w:t>
      </w:r>
      <w:r w:rsidRPr="0026455C">
        <w:t>/2024),</w:t>
      </w:r>
    </w:p>
    <w:p w14:paraId="466E8B83" w14:textId="77777777" w:rsidR="004703AC" w:rsidRPr="0026455C" w:rsidRDefault="004703AC" w:rsidP="004703AC">
      <w:pPr>
        <w:pStyle w:val="NormalHanging12a"/>
      </w:pPr>
      <w:r w:rsidRPr="0026455C">
        <w:t>–</w:t>
      </w:r>
      <w:r w:rsidRPr="0026455C">
        <w:tab/>
        <w:t>der henviser til artikel 319 i traktaten om Den Europæiske Unions funktionsmåde,</w:t>
      </w:r>
    </w:p>
    <w:p w14:paraId="19EB06B8" w14:textId="77777777" w:rsidR="004703AC" w:rsidRPr="0026455C" w:rsidRDefault="004703AC" w:rsidP="004703AC">
      <w:pPr>
        <w:pStyle w:val="NormalHanging12a"/>
      </w:pPr>
      <w:r w:rsidRPr="0026455C">
        <w:t>–</w:t>
      </w:r>
      <w:r w:rsidRPr="0026455C">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26455C">
        <w:rPr>
          <w:rStyle w:val="FootnoteReference"/>
        </w:rPr>
        <w:footnoteReference w:id="8"/>
      </w:r>
      <w:r w:rsidRPr="0026455C">
        <w:t>, særlig artikel 70,</w:t>
      </w:r>
    </w:p>
    <w:p w14:paraId="686D8A6C" w14:textId="77777777" w:rsidR="004703AC" w:rsidRPr="0026455C" w:rsidRDefault="004703AC" w:rsidP="004703AC">
      <w:pPr>
        <w:pStyle w:val="NormalHanging12a"/>
      </w:pPr>
      <w:r w:rsidRPr="0026455C">
        <w:t>–</w:t>
      </w:r>
      <w:r w:rsidRPr="0026455C">
        <w:tab/>
        <w:t>der henviser til Europa-Parlamentets og Rådets forordning (EU) 2019/473 af 19. marts 2019 om Det Europæiske Fiskerikontrolagentur</w:t>
      </w:r>
      <w:r w:rsidRPr="0026455C">
        <w:rPr>
          <w:rStyle w:val="FootnoteReference"/>
        </w:rPr>
        <w:footnoteReference w:id="9"/>
      </w:r>
      <w:r w:rsidRPr="0026455C">
        <w:t>, særlig artikel 45,</w:t>
      </w:r>
    </w:p>
    <w:p w14:paraId="4D64394F" w14:textId="77777777" w:rsidR="004703AC" w:rsidRPr="0026455C" w:rsidRDefault="004703AC" w:rsidP="004703AC">
      <w:pPr>
        <w:pStyle w:val="NormalHanging12a"/>
      </w:pPr>
      <w:r w:rsidRPr="0026455C">
        <w:t>–</w:t>
      </w:r>
      <w:r w:rsidRPr="0026455C">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26455C">
        <w:rPr>
          <w:rStyle w:val="FootnoteReference"/>
        </w:rPr>
        <w:footnoteReference w:id="10"/>
      </w:r>
      <w:r w:rsidRPr="0026455C">
        <w:t>, særlig artikel 105,</w:t>
      </w:r>
    </w:p>
    <w:p w14:paraId="18F77101" w14:textId="77777777" w:rsidR="004703AC" w:rsidRPr="0026455C" w:rsidRDefault="004703AC" w:rsidP="004703AC">
      <w:pPr>
        <w:pStyle w:val="NormalHanging12a"/>
      </w:pPr>
      <w:r w:rsidRPr="0026455C">
        <w:t>–</w:t>
      </w:r>
      <w:r w:rsidRPr="0026455C">
        <w:tab/>
        <w:t>der henviser til forretningsordenens artikel 100 og bilag V,</w:t>
      </w:r>
    </w:p>
    <w:p w14:paraId="67B6FD04" w14:textId="77777777" w:rsidR="004703AC" w:rsidRPr="0026455C" w:rsidRDefault="004703AC" w:rsidP="004703AC">
      <w:pPr>
        <w:pStyle w:val="NormalHanging12a"/>
      </w:pPr>
      <w:r w:rsidRPr="0026455C">
        <w:t>–</w:t>
      </w:r>
      <w:r w:rsidRPr="0026455C">
        <w:tab/>
        <w:t>der henviser til udtalelse fra Fiskeriudvalget,</w:t>
      </w:r>
    </w:p>
    <w:p w14:paraId="7215717E" w14:textId="77777777" w:rsidR="004703AC" w:rsidRPr="0026455C" w:rsidRDefault="004703AC" w:rsidP="004703AC">
      <w:pPr>
        <w:pStyle w:val="NormalHanging12a"/>
      </w:pPr>
      <w:r w:rsidRPr="0026455C">
        <w:t>–</w:t>
      </w:r>
      <w:r w:rsidRPr="0026455C">
        <w:tab/>
        <w:t>der henviser til betænkning fra Budgetkontroludvalget (A9-0100/2024),</w:t>
      </w:r>
    </w:p>
    <w:p w14:paraId="3BAFF652" w14:textId="77777777" w:rsidR="004703AC" w:rsidRPr="0026455C" w:rsidRDefault="004703AC" w:rsidP="004703AC">
      <w:pPr>
        <w:pStyle w:val="NormalHanging12a"/>
      </w:pPr>
      <w:r w:rsidRPr="0026455C">
        <w:t>1.</w:t>
      </w:r>
      <w:r w:rsidRPr="0026455C">
        <w:tab/>
        <w:t>godkender afslutningen af regnskaberne for Det Europæiske Fiskerikontrolagentur for regnskabsåret 2022;</w:t>
      </w:r>
    </w:p>
    <w:p w14:paraId="688971E4" w14:textId="77777777" w:rsidR="004703AC" w:rsidRPr="0026455C" w:rsidRDefault="004703AC" w:rsidP="004703AC">
      <w:pPr>
        <w:pStyle w:val="NormalHanging12a"/>
      </w:pPr>
      <w:r w:rsidRPr="0026455C">
        <w:t>2.</w:t>
      </w:r>
      <w:r w:rsidRPr="0026455C">
        <w:tab/>
        <w:t xml:space="preserve">pålægger sin formand at sende denne afgørelse til den administrerende direktør for Det Europæiske Fiskerikontrolagentur-Fiskerikontrolagenturet, Rådet, Kommissionen og </w:t>
      </w:r>
      <w:r w:rsidRPr="0026455C">
        <w:lastRenderedPageBreak/>
        <w:t xml:space="preserve">Revisionsretten og drage omsorg for, at den offentliggøres i </w:t>
      </w:r>
      <w:r w:rsidRPr="0026455C">
        <w:rPr>
          <w:i/>
        </w:rPr>
        <w:t>Den Europæiske Unions Tidende</w:t>
      </w:r>
      <w:r w:rsidRPr="0026455C">
        <w:t xml:space="preserve"> (L-udgaven).</w:t>
      </w:r>
    </w:p>
    <w:p w14:paraId="7BE32A51" w14:textId="77777777" w:rsidR="004703AC" w:rsidRPr="0026455C" w:rsidRDefault="004703AC" w:rsidP="004703AC"/>
    <w:p w14:paraId="54DB543E" w14:textId="77777777" w:rsidR="004703AC" w:rsidRPr="0026455C" w:rsidRDefault="004703AC" w:rsidP="004703AC">
      <w:pPr>
        <w:widowControl/>
        <w:rPr>
          <w:rFonts w:ascii="Arial" w:hAnsi="Arial" w:cs="Arial"/>
          <w:b/>
        </w:rPr>
        <w:sectPr w:rsidR="004703AC" w:rsidRPr="0026455C" w:rsidSect="0026455C">
          <w:footnotePr>
            <w:numRestart w:val="eachPage"/>
          </w:footnotePr>
          <w:endnotePr>
            <w:numFmt w:val="decimal"/>
          </w:endnotePr>
          <w:pgSz w:w="11906" w:h="16838"/>
          <w:pgMar w:top="1134" w:right="1418" w:bottom="1418" w:left="1418" w:header="567" w:footer="567" w:gutter="0"/>
          <w:cols w:space="720"/>
          <w:docGrid w:linePitch="326"/>
        </w:sectPr>
      </w:pPr>
    </w:p>
    <w:p w14:paraId="7D3BC13C" w14:textId="77777777" w:rsidR="002C7615" w:rsidRPr="009574E6" w:rsidRDefault="002C7615" w:rsidP="002C7615">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26455C">
        <w:t>med bemærkningerne, der er en integrerende del af afgørelsen om decharge for gennemførelsen af budgettet for Det Europæiske Fiskerikontrolagentur for regnskabsåret 2022</w:t>
      </w:r>
      <w:r>
        <w:t xml:space="preserve"> </w:t>
      </w:r>
      <w:r w:rsidRPr="0026455C">
        <w:t>(2023/2150(DEC))</w:t>
      </w:r>
    </w:p>
    <w:p w14:paraId="78711E85" w14:textId="77777777" w:rsidR="004703AC" w:rsidRPr="0026455C" w:rsidRDefault="004703AC" w:rsidP="004703AC">
      <w:pPr>
        <w:pStyle w:val="EPComma"/>
      </w:pPr>
      <w:r w:rsidRPr="0026455C">
        <w:rPr>
          <w:i/>
        </w:rPr>
        <w:t>Europa-Parlamentet,</w:t>
      </w:r>
    </w:p>
    <w:p w14:paraId="26ACBABF" w14:textId="77777777" w:rsidR="004703AC" w:rsidRPr="0026455C" w:rsidRDefault="004703AC" w:rsidP="004703AC">
      <w:pPr>
        <w:pStyle w:val="NormalHanging12a"/>
      </w:pPr>
      <w:r w:rsidRPr="0026455C">
        <w:t>–</w:t>
      </w:r>
      <w:r w:rsidRPr="0026455C">
        <w:tab/>
        <w:t>der henviser til sin afgørelse om decharge for gennemførelsen af budgettet for Det Europæiske Fiskerikontrolagentur for regnskabsåret 2022,</w:t>
      </w:r>
    </w:p>
    <w:p w14:paraId="4B84F08D" w14:textId="77777777" w:rsidR="004703AC" w:rsidRPr="0026455C" w:rsidRDefault="004703AC" w:rsidP="004703AC">
      <w:pPr>
        <w:pStyle w:val="NormalHanging12a"/>
      </w:pPr>
      <w:r w:rsidRPr="0026455C">
        <w:t>–</w:t>
      </w:r>
      <w:r w:rsidRPr="0026455C">
        <w:tab/>
        <w:t>der henviser til forretningsordenens artikel 100 og bilag V,</w:t>
      </w:r>
    </w:p>
    <w:p w14:paraId="460D2FC8" w14:textId="77777777" w:rsidR="004703AC" w:rsidRPr="0026455C" w:rsidRDefault="004703AC" w:rsidP="004703AC">
      <w:pPr>
        <w:pStyle w:val="NormalHanging12a"/>
      </w:pPr>
      <w:r w:rsidRPr="0026455C">
        <w:t>–</w:t>
      </w:r>
      <w:r w:rsidRPr="0026455C">
        <w:tab/>
        <w:t>der henviser til udtalelse fra Fiskeriudvalget,</w:t>
      </w:r>
    </w:p>
    <w:p w14:paraId="02EEEE57" w14:textId="77777777" w:rsidR="004703AC" w:rsidRPr="0026455C" w:rsidRDefault="004703AC" w:rsidP="004703AC">
      <w:pPr>
        <w:pStyle w:val="NormalHanging12a"/>
      </w:pPr>
      <w:r w:rsidRPr="0026455C">
        <w:t>–</w:t>
      </w:r>
      <w:r w:rsidRPr="0026455C">
        <w:tab/>
        <w:t>der henviser til betænkning fra Budgetkontroludvalget (A9-0100/2024),</w:t>
      </w:r>
    </w:p>
    <w:p w14:paraId="233A3B8D" w14:textId="77777777" w:rsidR="004703AC" w:rsidRPr="0026455C" w:rsidRDefault="004703AC" w:rsidP="004703AC">
      <w:pPr>
        <w:widowControl/>
        <w:spacing w:after="240"/>
        <w:ind w:left="567" w:hanging="567"/>
        <w:rPr>
          <w:szCs w:val="24"/>
        </w:rPr>
      </w:pPr>
      <w:r w:rsidRPr="0026455C">
        <w:t>A.</w:t>
      </w:r>
      <w:r w:rsidRPr="0026455C">
        <w:tab/>
        <w:t>der henviser til, at det endelige budget for Det Europæiske Fiskerikontrolagentur ("agenturet") for regnskabsåret 2022 ifølge dets oversigt over indtægter og udgifter</w:t>
      </w:r>
      <w:r w:rsidRPr="0026455C">
        <w:rPr>
          <w:szCs w:val="24"/>
          <w:vertAlign w:val="superscript"/>
        </w:rPr>
        <w:footnoteReference w:id="11"/>
      </w:r>
      <w:r w:rsidRPr="0026455C">
        <w:t xml:space="preserve"> var på 34 967 797 EUR, hvilket svarer til en stigning på 61,73 % sammenlignet med 2021, med en stigning på ca. 41 % i tilskuddet fra det almindelige budget og en betydelig stigning i de formålsbestemte indtægter fra flerårige bidragsaftaler og tilskud; der henviser til, at det yderligere EU-tilskud til EFCA, der blev ydet fra 2021, var knyttet til finansieringsoversigten vedrørende de eskalerede overvågningskrav i EU-farvande, der grænser op til Det Forenede Kongerige; der henviser til, at ca. 84 % af agenturets budget stammer fra Unionens budget og ca. 16 % fra formålsbestemte indtægter;</w:t>
      </w:r>
    </w:p>
    <w:p w14:paraId="0C0B4FB1" w14:textId="77777777" w:rsidR="004703AC" w:rsidRPr="0026455C" w:rsidRDefault="004703AC" w:rsidP="004703AC">
      <w:pPr>
        <w:widowControl/>
        <w:spacing w:after="240"/>
        <w:ind w:left="567" w:hanging="567"/>
        <w:rPr>
          <w:szCs w:val="24"/>
        </w:rPr>
      </w:pPr>
      <w:r w:rsidRPr="0026455C">
        <w:t>B.</w:t>
      </w:r>
      <w:r w:rsidRPr="0026455C">
        <w:tab/>
        <w:t>der henviser til, at Revisionsretten i sin beretning om agenturets årsregnskab for regnskabsåret 2022 ("Revisionsrettens beretning") fastslog, at den havde fået rimelig sikkerhed for, at agenturets årsregnskab er rigtigt, og at de underliggende transaktioner er lovlige og formelt rigtige;</w:t>
      </w:r>
    </w:p>
    <w:p w14:paraId="28FCFE03" w14:textId="77777777" w:rsidR="004703AC" w:rsidRPr="0026455C" w:rsidRDefault="004703AC" w:rsidP="004703AC">
      <w:pPr>
        <w:widowControl/>
        <w:spacing w:after="240"/>
        <w:ind w:left="567" w:hanging="567"/>
        <w:rPr>
          <w:b/>
          <w:i/>
          <w:szCs w:val="24"/>
        </w:rPr>
      </w:pPr>
      <w:r w:rsidRPr="0026455C">
        <w:rPr>
          <w:b/>
          <w:i/>
        </w:rPr>
        <w:t>Budgetmæssig og økonomisk forvaltning</w:t>
      </w:r>
    </w:p>
    <w:p w14:paraId="0CA98239" w14:textId="77777777" w:rsidR="004703AC" w:rsidRPr="0026455C" w:rsidRDefault="004703AC" w:rsidP="004703AC">
      <w:pPr>
        <w:widowControl/>
        <w:spacing w:after="240"/>
        <w:ind w:left="567" w:hanging="567"/>
        <w:rPr>
          <w:szCs w:val="24"/>
        </w:rPr>
      </w:pPr>
      <w:r w:rsidRPr="0026455C">
        <w:t>1.</w:t>
      </w:r>
      <w:r w:rsidRPr="0026455C">
        <w:tab/>
        <w:t>bemærker med tilfredshed, at budgetovervågningsindsatsen i regnskabsåret 2022 resulterede i en budgetgennemførelsesgrad for forpligtelsesbevillinger for det pågældende år på 99,41 %, hvilket svarer til en lille stigning på 0,34 % i forhold til 2021; bemærker, at udnyttelsesgraden for betalingsbevillinger i det pågældende år var på 57,78 %, hvilket svarer til et fald på 16,70 % i forhold til 2021;</w:t>
      </w:r>
    </w:p>
    <w:p w14:paraId="5DF582F9" w14:textId="77777777" w:rsidR="004703AC" w:rsidRPr="0026455C" w:rsidRDefault="004703AC" w:rsidP="004703AC">
      <w:pPr>
        <w:widowControl/>
        <w:spacing w:after="240"/>
        <w:ind w:left="567" w:hanging="567"/>
        <w:rPr>
          <w:szCs w:val="24"/>
        </w:rPr>
      </w:pPr>
      <w:r w:rsidRPr="0026455C">
        <w:t>2.</w:t>
      </w:r>
      <w:r w:rsidRPr="0026455C">
        <w:tab/>
        <w:t xml:space="preserve">bemærker med bekymring, at agenturet ifølge Revisionsretten fremførte 11,9 mio. EUR (41 %) af de disponible forpligtelsesbevillinger for 2022 til 2023; bemærker, at dette bl.a. gjaldt 1,6 mio. EUR (53 %) af bevillingerne under afsnit II vedrørende administrative aktiviteter (34 % i 2021) og 10,1 mio. EUR (63 %) af bevillingerne under afsnit III vedrørende operationelle aktiviteter (42 % i 2021); understreger, at høje fremførselsniveauer er i strid med budgetprincippet om etårighed og indikerer strukturelle problemer vedrørende budgetprocessen og budgetgennemførelsen; noterer sig agenturets svar på dette spørgsmål, hvor det fremhæver, at de høje </w:t>
      </w:r>
      <w:r w:rsidRPr="0026455C">
        <w:lastRenderedPageBreak/>
        <w:t>fremførselsniveauer i 2022 skyldes helt særlige omstændigheder, som ikke forventes at gentage sig;</w:t>
      </w:r>
    </w:p>
    <w:p w14:paraId="2EAE6220" w14:textId="77777777" w:rsidR="004703AC" w:rsidRPr="0026455C" w:rsidRDefault="004703AC" w:rsidP="004703AC">
      <w:pPr>
        <w:pStyle w:val="NormalHanging12a"/>
      </w:pPr>
      <w:r w:rsidRPr="0026455C">
        <w:t>3.</w:t>
      </w:r>
      <w:r w:rsidRPr="0026455C">
        <w:tab/>
        <w:t>bemærker, at regnskabsåret 2022 var præget af en genopretning efter covid-19-pandemien i de to foregående regnskabsår, samtidig med at EFCA's budget og ressourcer fortsatte med at vokse med henblik yderligere opgaver og projekter som fastsat i dets samlede programmeringsdokument for 2022; påpeger, at krigen i Ukraine kan have en indvirkning på indregningen og målingen af visse aktiver og passiver på balancen og også på visse indtægter og udgifter, der er indregnet i resultatopgørelsen for efterfølgende regnskabsperioder;</w:t>
      </w:r>
    </w:p>
    <w:p w14:paraId="72F72D07" w14:textId="77777777" w:rsidR="004703AC" w:rsidRPr="0026455C" w:rsidRDefault="004703AC" w:rsidP="004703AC">
      <w:pPr>
        <w:pStyle w:val="NormalHanging12a"/>
      </w:pPr>
      <w:r w:rsidRPr="0026455C">
        <w:t>4.</w:t>
      </w:r>
      <w:r w:rsidRPr="0026455C">
        <w:tab/>
        <w:t>understreger, at det er medlemsstaterne, der har det primære ansvar for at kontrollere fiskeriaktiviteter, mens agenturets opgaver er af understøttende karakter; understreger, at den nylige revision af EU's fiskerikontrolordning vil føre til mere understøttende arbejde for agenturet; understreger, at det er vigtigt at påpege, at udvidede forpligtelser, der ikke følges op af tilstrækkelige ressourcer, ikke vil hænge sammen; understreger derfor nødvendigheden af, at agenturet har tilstrækkelige finansielle og menneskelige ressourcer til rådighed i de kommende år;</w:t>
      </w:r>
    </w:p>
    <w:p w14:paraId="0F8769B8" w14:textId="77777777" w:rsidR="004703AC" w:rsidRPr="0026455C" w:rsidRDefault="004703AC" w:rsidP="004703AC">
      <w:pPr>
        <w:widowControl/>
        <w:spacing w:after="240"/>
        <w:ind w:left="567" w:hanging="567"/>
        <w:rPr>
          <w:b/>
          <w:i/>
          <w:szCs w:val="24"/>
        </w:rPr>
      </w:pPr>
      <w:r w:rsidRPr="0026455C">
        <w:rPr>
          <w:b/>
          <w:i/>
        </w:rPr>
        <w:t>Performance</w:t>
      </w:r>
    </w:p>
    <w:p w14:paraId="58EF7B34" w14:textId="77777777" w:rsidR="004703AC" w:rsidRPr="0026455C" w:rsidRDefault="004703AC" w:rsidP="004703AC">
      <w:pPr>
        <w:pStyle w:val="NormalHanging12a"/>
        <w:widowControl/>
      </w:pPr>
      <w:r w:rsidRPr="0026455C">
        <w:t>5.</w:t>
      </w:r>
      <w:r w:rsidRPr="0026455C">
        <w:tab/>
        <w:t>glæder sig over, at agenturet i 2022 gennemførte 95,4 % af det årlige arbejdsprogram, som bestyrelsen vedtog inden for rammerne af enhedsprogrammeringsdokumentet;</w:t>
      </w:r>
    </w:p>
    <w:p w14:paraId="76565F0A" w14:textId="77777777" w:rsidR="004703AC" w:rsidRPr="0026455C" w:rsidRDefault="004703AC" w:rsidP="004703AC">
      <w:pPr>
        <w:pStyle w:val="NormalHanging12a"/>
        <w:widowControl/>
      </w:pPr>
      <w:r w:rsidRPr="0026455C">
        <w:t>6.</w:t>
      </w:r>
      <w:r w:rsidRPr="0026455C">
        <w:tab/>
        <w:t>bemærker med tilfredshed, at agenturet anvender centrale resultatindikatorer til at evaluere resultaterne af sine aktiviteter inden for to primære områder: operationelle aktiviteter og horisontale aktiviteter; anerkender endvidere, at operationelle aktiviteter omfatter centrale områder såsom operationelt samarbejde, bistand til samarbejde, international dimension og EU-samarbejde om kystvagtfunktioner; noterer sig, at horisontale aktiviteter omfatter kommunikation og repræsentation, informations- og kommunikationsteknologi og informationssikkerhed samt administrative og forvaltningsmæssige processer;</w:t>
      </w:r>
    </w:p>
    <w:p w14:paraId="6A890B13" w14:textId="77777777" w:rsidR="004703AC" w:rsidRPr="0026455C" w:rsidRDefault="004703AC" w:rsidP="004703AC">
      <w:pPr>
        <w:pStyle w:val="NormalHanging12a"/>
        <w:widowControl/>
      </w:pPr>
      <w:r w:rsidRPr="0026455C">
        <w:t>7.</w:t>
      </w:r>
      <w:r w:rsidRPr="0026455C">
        <w:tab/>
        <w:t>bemærker, at der i 2022 blev tildelt yderligere ressourcer til agenturet, som gav det den nødvendige operationelle kapacitet til at bistå medlemsstaterne og Kommissionen med overvågnings-, kontrol- og tilsynsordningen inden for rammerne af den fælles fiskeripolitik, herunder de foranstaltninger, der følger af handels- og samarbejdsaftalen med Det Forenede Kongerige; bemærker endvidere, at der i 2022 blev medtaget tre nye projekter, der blev støttet med tilskud inden for rammerne af den kommende Europæiske Hav-, Fiskeri- og Akvakulturfond (EHFAF); bemærker, at disse projekter omfattede et studie om vejningsprocessen for fiskevarer i hele Unionen, et virtuelt regionalt uddannelsesakademi i det vestlige Middelhav for fiskerikontrol og -inspektion og opdatering af håndbogen og onlinebaserede sektorspecifikke kvalifikationsrammer (SQF) for EU-samarbejde om kystvagtfunktioner;</w:t>
      </w:r>
    </w:p>
    <w:p w14:paraId="267ACF44" w14:textId="77777777" w:rsidR="004703AC" w:rsidRPr="0026455C" w:rsidRDefault="004703AC" w:rsidP="004703AC">
      <w:pPr>
        <w:pStyle w:val="NormalHanging12a"/>
        <w:widowControl/>
      </w:pPr>
      <w:r w:rsidRPr="0026455C">
        <w:t>8.</w:t>
      </w:r>
      <w:r w:rsidRPr="0026455C">
        <w:tab/>
        <w:t>minder om, at agenturet skal foretage en uafhængig evaluering hvert femte år for at opfylde den retlige forpligtelse, der er fastsat i artikel 48 i Europa-Parlamentets og Rådets forordning (EU) 2019/473</w:t>
      </w:r>
      <w:r w:rsidRPr="0026455C">
        <w:rPr>
          <w:rStyle w:val="FootnoteReference"/>
        </w:rPr>
        <w:footnoteReference w:id="12"/>
      </w:r>
      <w:r w:rsidRPr="0026455C">
        <w:t xml:space="preserve">; bemærker, at den eksterne evaluator for perioden </w:t>
      </w:r>
      <w:r w:rsidRPr="0026455C">
        <w:lastRenderedPageBreak/>
        <w:t>2017-2021 fremlagde et udkast til endelig rapport i juli 2022, som blev forelagt medlemmerne af bestyrelsen med henblik på bemærkninger; bemærker, at evalueringen omfattede en vurdering af agenturets performance i forhold til de fem kriterier effektivitet, produktivitet, relevans, sammenhæng og EU-merværdi i overensstemmelse med Kommissionens retningslinjer for bedre regulering; fremhæver, at der i evalueringen blev skitseret ti anbefalinger med fokus på forskellige aspekter, nemlig organisatoriske aspekter, hvorvidt agenturets rolle og aktiviteter fortsat er hensigtsmæssige til at opfylde de mål, der er fastsat i forordning (EU) 2019/473, samt agenturets specifikke aktiviteter;</w:t>
      </w:r>
    </w:p>
    <w:p w14:paraId="506E24BD" w14:textId="77777777" w:rsidR="004703AC" w:rsidRPr="0026455C" w:rsidRDefault="004703AC" w:rsidP="004703AC">
      <w:pPr>
        <w:pStyle w:val="NormalHanging12a"/>
      </w:pPr>
      <w:r w:rsidRPr="0026455C">
        <w:t>9.</w:t>
      </w:r>
      <w:r w:rsidRPr="0026455C">
        <w:tab/>
        <w:t>minder om agenturets afgørende bidrag til gennemførelsen af den fælles fiskeripolitik, navnlig hvad angår fiskerikontrol og bekæmpelse af ulovligt, urapporteret og ureguleret fiskeri; glæder sig over styrkelsen af agenturets chartrede offshorepatruljefartøjer med henblik på at udføre fiskerikontrol og -inspektioner i EU-farvande og internationale farvande og støtte de nationale myndigheder; understreger agenturets deltagelse i store internationale koalitioner mod ulovligt fiskeri, såsom indsatsen inden for rammerne af programmet til forbedring af regional fiskeriforvaltning i Vestafrika (PESCAO);</w:t>
      </w:r>
    </w:p>
    <w:p w14:paraId="2C8459FA" w14:textId="77777777" w:rsidR="004703AC" w:rsidRPr="0026455C" w:rsidRDefault="004703AC" w:rsidP="004703AC">
      <w:pPr>
        <w:spacing w:after="240"/>
        <w:ind w:left="567" w:hanging="567"/>
      </w:pPr>
      <w:r w:rsidRPr="0026455C">
        <w:t>10.</w:t>
      </w:r>
      <w:r w:rsidRPr="0026455C">
        <w:tab/>
        <w:t>bemærker, at agenturet i 2022 rapporterede om 47 592 inspektioner (til søs og på land), som førte til afsløring af 5 167 formodede overtrædelser, hvilket svarer til et fald i inspektionerne på 11 % og en stigning i antallet af formodede overtrædelser på 28 % i forhold til 2021-tallene; påpeger, at det konstaterede fald ikke nødvendigvis er forbundet med et fald i medlemsstaternes kontrolindsats; opfordrer agenturet til at fremlægge mere detaljerede oplysninger om årsagerne til disse ændringer; påpeger, at inspektioner og andre opfølgende aktiviteter spiller en central rolle, ikke blot for en korrekt forvaltning af fiskebestandene, men også for at sikre lige vilkår for EU‑fiskere;</w:t>
      </w:r>
    </w:p>
    <w:p w14:paraId="6C7C9433" w14:textId="77777777" w:rsidR="004703AC" w:rsidRPr="0026455C" w:rsidRDefault="004703AC" w:rsidP="004703AC">
      <w:pPr>
        <w:pStyle w:val="NormalHanging12a"/>
      </w:pPr>
      <w:r w:rsidRPr="0026455C">
        <w:t>11.</w:t>
      </w:r>
      <w:r w:rsidRPr="0026455C">
        <w:tab/>
        <w:t>fremhæver agenturets rolle med hensyn til at tilbyde kapacitetsopbygning og uddannelse til tredjelande og agenturets afgørende rolle med hensyn til at sikre lige konkurrencevilkår med alle kyststater;</w:t>
      </w:r>
    </w:p>
    <w:p w14:paraId="024E5434" w14:textId="77777777" w:rsidR="004703AC" w:rsidRPr="0026455C" w:rsidRDefault="004703AC" w:rsidP="004703AC">
      <w:pPr>
        <w:widowControl/>
        <w:spacing w:after="240"/>
        <w:ind w:left="567" w:hanging="567"/>
        <w:rPr>
          <w:b/>
          <w:i/>
        </w:rPr>
      </w:pPr>
      <w:r w:rsidRPr="0026455C">
        <w:rPr>
          <w:b/>
          <w:i/>
        </w:rPr>
        <w:t>Effektivitet og gevinster</w:t>
      </w:r>
    </w:p>
    <w:p w14:paraId="1201031E" w14:textId="77777777" w:rsidR="004703AC" w:rsidRPr="0026455C" w:rsidRDefault="004703AC" w:rsidP="004703AC">
      <w:pPr>
        <w:widowControl/>
        <w:spacing w:after="240"/>
        <w:ind w:left="567" w:hanging="567"/>
      </w:pPr>
      <w:r w:rsidRPr="0026455C">
        <w:t>12.</w:t>
      </w:r>
      <w:r w:rsidRPr="0026455C">
        <w:tab/>
        <w:t>fremhæver, at agenturet fortsat drager fordel af den effektivitet, der er opnået ved at overholde Kommissionens køreplan med hensyn til at indføre dens eksisterende IT-systemer (SUMMA, e-udbudsmoduler forud for og efter tildeling af kontrakten, MIPS, AGM, Sysper-moduler, PPMT osv.); bemærker, at der ud over de fordele, der er opnået med hensyn til integrationsaspekterne mellem alle disse systemer, er klare fordele ved at reducere vedligeholdelsesomkostningerne i tilknytning til ændringer og ajourføringer;</w:t>
      </w:r>
    </w:p>
    <w:p w14:paraId="4BE16087" w14:textId="77777777" w:rsidR="004703AC" w:rsidRPr="0026455C" w:rsidRDefault="004703AC" w:rsidP="004703AC">
      <w:pPr>
        <w:widowControl/>
        <w:spacing w:after="240"/>
        <w:ind w:left="567" w:hanging="567"/>
      </w:pPr>
      <w:r w:rsidRPr="0026455C">
        <w:t>13.</w:t>
      </w:r>
      <w:r w:rsidRPr="0026455C">
        <w:tab/>
        <w:t>glæder sig over, at agenturet accepterer de indkaldelser af interinstitutionelle udbud, der er modtaget fra Kommissionen og andre agenturer; bemærker, at agenturet i øjeblikket anvender over 45 rammeaftaler, der er undertegnet af andre enheder; bemærker, at dette resulterer i, at den ledende rolle roterer mellem agenturerne, hvilket gør, at deres indkøbsindsats generelt bliver mere produktiv;</w:t>
      </w:r>
    </w:p>
    <w:p w14:paraId="20410897" w14:textId="77777777" w:rsidR="004703AC" w:rsidRPr="0026455C" w:rsidRDefault="004703AC" w:rsidP="004703AC">
      <w:pPr>
        <w:widowControl/>
        <w:spacing w:after="240"/>
        <w:ind w:left="567" w:hanging="567"/>
      </w:pPr>
      <w:r w:rsidRPr="0026455C">
        <w:t>14.</w:t>
      </w:r>
      <w:r w:rsidRPr="0026455C">
        <w:tab/>
        <w:t>henleder opmærksomheden på centraliseringen af fælles administrative opgaver, som også har været vellykket med hensyn til at opnå øget effektivitet; noterer sig, at den finansielle initiering og kontrol fortsat er centraliseret, hvilket giver mulighed for øget kontrol med transaktioner, ensretning af metoderne og samling af viden på disse områder;</w:t>
      </w:r>
    </w:p>
    <w:p w14:paraId="79F351C2" w14:textId="77777777" w:rsidR="004703AC" w:rsidRPr="0026455C" w:rsidRDefault="004703AC" w:rsidP="004703AC">
      <w:pPr>
        <w:widowControl/>
        <w:spacing w:after="240"/>
        <w:ind w:left="567" w:hanging="567"/>
      </w:pPr>
      <w:r w:rsidRPr="0026455C">
        <w:lastRenderedPageBreak/>
        <w:t>15.</w:t>
      </w:r>
      <w:r w:rsidRPr="0026455C">
        <w:tab/>
        <w:t>bemærker, at en anden effektivitetsgevinst inden for menneskelige ressourcer opnås ved at dele eksisterende reservelister fra ansættelsesprocedurer med andre agenturer, hvis reservelistens profil svarer til det anmodende agenturs behov; bemærker, at denne praksis gør det muligt at gøre brug af reservelisten fra et andet agentur, uden at det er nødvendigt at tilrettelægge en ressourcekrævende ansættelsesprocedure;</w:t>
      </w:r>
    </w:p>
    <w:p w14:paraId="06947591" w14:textId="77777777" w:rsidR="004703AC" w:rsidRPr="0026455C" w:rsidRDefault="004703AC" w:rsidP="004703AC">
      <w:pPr>
        <w:pStyle w:val="NormalHanging12a"/>
      </w:pPr>
      <w:r w:rsidRPr="0026455C">
        <w:t>16.</w:t>
      </w:r>
      <w:r w:rsidRPr="0026455C">
        <w:tab/>
        <w:t>noterer sig agenturets fortsatte samarbejde med Det Europæiske Agentur for Grænse- og Kystbevogtning (Frontex) og Det Europæiske Agentur for Søfartssikkerhed (EMSA) om at støtte de nationale myndigheder, der udfører kystvagtfunktioner i henhold til artikel 8 i forordning (EU) 2019/473; mener, at dette samarbejde er et eksempel på synergi mellem EU-agenturer, som bør tjene som inspirationskilde for agenturer på andre områder; opfordrer agenturet til at fortsætte sine bestræbelser i den henseende og finder det hensigtsmæssigt også at øge samarbejdet mellem agenturet og Det Europæiske Miljøagentur;</w:t>
      </w:r>
    </w:p>
    <w:p w14:paraId="086EF958" w14:textId="77777777" w:rsidR="004703AC" w:rsidRPr="0026455C" w:rsidRDefault="004703AC" w:rsidP="004703AC">
      <w:pPr>
        <w:widowControl/>
        <w:spacing w:after="240"/>
        <w:ind w:left="567" w:hanging="567"/>
        <w:rPr>
          <w:b/>
          <w:i/>
          <w:szCs w:val="24"/>
        </w:rPr>
      </w:pPr>
      <w:r w:rsidRPr="0026455C">
        <w:rPr>
          <w:b/>
          <w:i/>
        </w:rPr>
        <w:t>Personalepolitik</w:t>
      </w:r>
    </w:p>
    <w:p w14:paraId="24606B41" w14:textId="77777777" w:rsidR="004703AC" w:rsidRPr="0026455C" w:rsidRDefault="004703AC" w:rsidP="004703AC">
      <w:pPr>
        <w:widowControl/>
        <w:spacing w:after="240"/>
        <w:ind w:left="567" w:hanging="567"/>
        <w:rPr>
          <w:szCs w:val="24"/>
        </w:rPr>
      </w:pPr>
      <w:r w:rsidRPr="0026455C">
        <w:t>17.</w:t>
      </w:r>
      <w:r w:rsidRPr="0026455C">
        <w:tab/>
        <w:t>bemærker, at stillingsfortegnelsen var gennemført med 96,10 % pr. 31. december 2022, med 74 midlertidigt ansatte ud af de 77 midlertidigt ansatte, som var godkendt i henhold til EU's budget (65 godkendte stillinger i 2021); bemærker, at der derudover arbejdede 11 kontraktansatte, seks udstationerede nationale eksperter og 16 vikarer og konsulenter for agenturet i 2022; bemærker endvidere, at i alt 13 kontraktansatte modtog støtte via ad hoc-tilskud og bidragsaftaler på tværs af forskellige projekter;</w:t>
      </w:r>
    </w:p>
    <w:p w14:paraId="21FF5EA1" w14:textId="77777777" w:rsidR="004703AC" w:rsidRPr="0026455C" w:rsidRDefault="004703AC" w:rsidP="004703AC">
      <w:pPr>
        <w:widowControl/>
        <w:spacing w:after="240"/>
        <w:ind w:left="567" w:hanging="567"/>
        <w:rPr>
          <w:szCs w:val="24"/>
        </w:rPr>
      </w:pPr>
      <w:r w:rsidRPr="0026455C">
        <w:t>18.</w:t>
      </w:r>
      <w:r w:rsidRPr="0026455C">
        <w:tab/>
        <w:t>noterer sig den omstrukturering, der fandt sted i februar 2022 med henblik på at tilpasse organisationen til agenturets yderligere opgaver og ressourcer for at styrke den nødvendige operationelle kapacitet til at bistå med overvågning og kontrol af og tilsyn med fiskeriet som krævet i den fælles fiskeripolitik, herunder de foranstaltninger, der følger af handels- og samarbejdsaftalen med Det Forenede Kongerige, og flere nye projekter i henhold til bidragsaftalerne; fremhæver, at personalestigningen var på næsten 50 % i forhold til situationen i begyndelsen af 2021, herunder midlertidigt ansatte, kontraktansatte og udstationerede nationale eksperter;</w:t>
      </w:r>
    </w:p>
    <w:p w14:paraId="5CDDFAF0" w14:textId="77777777" w:rsidR="004703AC" w:rsidRPr="0026455C" w:rsidRDefault="004703AC" w:rsidP="004703AC">
      <w:pPr>
        <w:pStyle w:val="NormalHanging12a"/>
      </w:pPr>
      <w:r w:rsidRPr="0026455C">
        <w:t>19.</w:t>
      </w:r>
      <w:r w:rsidRPr="0026455C">
        <w:tab/>
        <w:t>noterer sig agenturets politik om at fremme ligebehandling af personalet og dets mål om at sikre kønsbalance både med hensyn til antal, lønklasse og ansvarsniveau; anerkender kønsbalancen i agenturets samlede personale, hvor 54 ud af 106 (51 %) er kvinder; beklager, at kun 38 % af personalet i lønklasse AD 8 (ansættelsesgruppe for administratorer, lønklasse 8) og derover var kvinder (det samme som i 2021); minder om betydningen af at sikre kønsbalance og opfordrer agenturet til at tage dette aspekt i betragtning i forbindelse med udnævnelser i den øverste ledelse og på mellemlederniveau; bemærker, at selv om agenturet ikke vedtog chartret om mangfoldighed og inklusion i 2022, blev dets foranstaltninger tilpasset for at opfylde mål 5 i verdensmålene for bæredygtig udvikling om ligestilling mellem kønnene som anført i dets mål;</w:t>
      </w:r>
    </w:p>
    <w:p w14:paraId="4AF0A8B9" w14:textId="77777777" w:rsidR="004703AC" w:rsidRPr="0026455C" w:rsidRDefault="004703AC" w:rsidP="004703AC">
      <w:pPr>
        <w:pStyle w:val="NormalHanging12a"/>
      </w:pPr>
      <w:r w:rsidRPr="0026455C">
        <w:t>20.</w:t>
      </w:r>
      <w:r w:rsidRPr="0026455C">
        <w:tab/>
        <w:t>bemærker, at agenturet pr. 31. december 2022 beskæftigede ansatte fra 18 medlemsstater; bemærker, at 33 % af agenturets personale er statsborgere i den medlemsstat, hvor agenturet er beliggende; minder om betydningen af geografisk balance og opfordrer agenturet til fortsat at træffe de nødvendige foranstaltninger til at opnå en afbalanceret og retfærdig geografisk repræsentation;</w:t>
      </w:r>
    </w:p>
    <w:p w14:paraId="0D858B64" w14:textId="77777777" w:rsidR="004703AC" w:rsidRPr="0026455C" w:rsidRDefault="004703AC" w:rsidP="004703AC">
      <w:pPr>
        <w:pStyle w:val="NormalHanging12a"/>
        <w:widowControl/>
      </w:pPr>
      <w:r w:rsidRPr="0026455C">
        <w:lastRenderedPageBreak/>
        <w:t>21.</w:t>
      </w:r>
      <w:r w:rsidRPr="0026455C">
        <w:tab/>
        <w:t>noterer sig, at agenturet siden den 1. oktober 2022 har anvendt Kommissionens regler om arbejdstid og hybridarbejde analogt;</w:t>
      </w:r>
    </w:p>
    <w:p w14:paraId="5741280F" w14:textId="77777777" w:rsidR="004703AC" w:rsidRPr="0026455C" w:rsidRDefault="004703AC" w:rsidP="004703AC">
      <w:pPr>
        <w:pStyle w:val="NormalHanging12a"/>
        <w:widowControl/>
      </w:pPr>
      <w:r w:rsidRPr="0026455C">
        <w:t>22.</w:t>
      </w:r>
      <w:r w:rsidRPr="0026455C">
        <w:tab/>
        <w:t>bemærker, at gennemførelsen af Sysper-modulerne i 2022 omfattede indførelsen af CCP-funktionen ("tjenestefrihed af personlige årsager"), tilføjelsen af "NDP-lønsedler" for midlertidigt ansatte og kontraktansatte, indførelsen af en ny funktion, der gør det muligt at anmode om at telearbejde fra udlandet (lejlighedsvist telearbejde) for midlertidigt ansatte og kontraktansatte, samt en ad interim arbejdsgang "ADI"; endvidere blev Sysper-funktionaliteter i relation til gennemførelsen af nye regler om arbejdstid og hybridarbejde gennemført, STAGE-modulet blev taget i brug, og der blev udført forberedende arbejde for EVAL- og OBJ-modulerne;</w:t>
      </w:r>
    </w:p>
    <w:p w14:paraId="79AAB225" w14:textId="77777777" w:rsidR="004703AC" w:rsidRPr="0026455C" w:rsidRDefault="004703AC" w:rsidP="004703AC">
      <w:pPr>
        <w:pStyle w:val="NormalHanging12a"/>
        <w:rPr>
          <w:b/>
          <w:i/>
          <w:szCs w:val="24"/>
        </w:rPr>
      </w:pPr>
      <w:r w:rsidRPr="0026455C">
        <w:rPr>
          <w:b/>
          <w:i/>
        </w:rPr>
        <w:t>Forebyggelse og håndtering af interessekonflikter samt gennemsigtighed</w:t>
      </w:r>
    </w:p>
    <w:p w14:paraId="24812875" w14:textId="77777777" w:rsidR="004703AC" w:rsidRPr="0026455C" w:rsidRDefault="004703AC" w:rsidP="004703AC">
      <w:pPr>
        <w:pStyle w:val="NormalHanging12a"/>
        <w:rPr>
          <w:szCs w:val="24"/>
        </w:rPr>
      </w:pPr>
      <w:r w:rsidRPr="0026455C">
        <w:t>23.</w:t>
      </w:r>
      <w:r w:rsidRPr="0026455C">
        <w:tab/>
        <w:t>er klar over, at agenturet på sit websted offentliggør bestyrelsesmedlemmernes og den øverste ledelses interesseerklæringer og CV'er; bemærker desuden, at agenturet regelmæssigt ajourfører oversigten over alle møder mellem den administrerende direktør og personalet på den ene side og organisationer eller selvstændige, der er involveret i udformningen og gennemførelsen af EU's politikker, på den anden side for at sikre fuld gennemsigtighed og tillid til agenturets aktiviteter, og noterer sig, at oversigten er tilgængelig på webstedet;</w:t>
      </w:r>
    </w:p>
    <w:p w14:paraId="09F9E374" w14:textId="77777777" w:rsidR="004703AC" w:rsidRPr="0026455C" w:rsidRDefault="004703AC" w:rsidP="004703AC">
      <w:pPr>
        <w:pStyle w:val="NormalHanging12a"/>
      </w:pPr>
      <w:r w:rsidRPr="0026455C">
        <w:t>24.</w:t>
      </w:r>
      <w:r w:rsidRPr="0026455C">
        <w:tab/>
        <w:t>opfordrer agenturet til fortsat regelmæssigt at ajourføre og offentliggøre oplysningerne om den administrerende direktørs og personalets relevante møder med organisationer eller selvstændige, der er involveret i udformningen og gennemførelsen af EU's politikker, for at sikre fuld gennemsigtighed og tillid til agenturets aktiviteter;</w:t>
      </w:r>
    </w:p>
    <w:p w14:paraId="52978F8A" w14:textId="77777777" w:rsidR="004703AC" w:rsidRPr="0026455C" w:rsidRDefault="004703AC" w:rsidP="004703AC">
      <w:pPr>
        <w:pStyle w:val="NormalHanging12a"/>
        <w:rPr>
          <w:szCs w:val="24"/>
        </w:rPr>
      </w:pPr>
      <w:r w:rsidRPr="0026455C">
        <w:t>25.</w:t>
      </w:r>
      <w:r w:rsidRPr="0026455C">
        <w:tab/>
        <w:t>noterer sig, at agenturet anvender sin politik vedrørende interessekonflikter på sit personale, udstationerede nationale eksperter, lønnede eksterne eksperter, praktikanter og medlemmer af bestyrelsen og det rådgivende udvalg; bemærker, at den formidles til personalet via intranettet og uddannelse, og at andre ansatte og eksperter forpligter sig til at overholde reglerne ved at underskrive erklæringer og tilsagn om fortrolighed; bemærker endvidere, at der i de generelle betingelser for agenturets kontrakter er fastsat specifikke bestemmelser om interessekonflikter for agenturets kontrahenter, herunder midlertidigt personale (vikarer), der leverer tjenesteydelser;</w:t>
      </w:r>
    </w:p>
    <w:p w14:paraId="1B6A7607" w14:textId="77777777" w:rsidR="004703AC" w:rsidRPr="0026455C" w:rsidRDefault="004703AC" w:rsidP="004703AC">
      <w:pPr>
        <w:pStyle w:val="NormalHanging12a"/>
        <w:rPr>
          <w:szCs w:val="24"/>
        </w:rPr>
      </w:pPr>
      <w:r w:rsidRPr="0026455C">
        <w:t>26.</w:t>
      </w:r>
      <w:r w:rsidRPr="0026455C">
        <w:tab/>
        <w:t>anerkender, at agenturet har haft en strategi til bekæmpelse af svig siden 2014, som regelmæssigt ajourføres og i øjeblikket fokuserer på gennemførelsen af foranstaltninger til afbødning af de risici for svig, der er identificeret i risikovurderinger; bemærker, at den seneste ajourføring i 2022, som blev godkendt af bestyrelsen, understreger den fortsatte indsats for at øge bevidstheden om etik og integritet;</w:t>
      </w:r>
    </w:p>
    <w:p w14:paraId="5E3EBCAA" w14:textId="77777777" w:rsidR="004703AC" w:rsidRPr="0026455C" w:rsidRDefault="004703AC" w:rsidP="004703AC">
      <w:pPr>
        <w:widowControl/>
        <w:spacing w:after="240"/>
        <w:ind w:left="567" w:hanging="567"/>
        <w:rPr>
          <w:szCs w:val="24"/>
        </w:rPr>
      </w:pPr>
      <w:r w:rsidRPr="0026455C">
        <w:rPr>
          <w:b/>
          <w:i/>
        </w:rPr>
        <w:t>Offentlige udbud</w:t>
      </w:r>
    </w:p>
    <w:p w14:paraId="27D8A299" w14:textId="77777777" w:rsidR="004703AC" w:rsidRPr="0026455C" w:rsidRDefault="004703AC" w:rsidP="004703AC">
      <w:pPr>
        <w:widowControl/>
        <w:spacing w:after="240"/>
        <w:ind w:left="567" w:hanging="567"/>
        <w:rPr>
          <w:szCs w:val="24"/>
        </w:rPr>
      </w:pPr>
      <w:r w:rsidRPr="0026455C">
        <w:t>27.</w:t>
      </w:r>
      <w:r w:rsidRPr="0026455C">
        <w:tab/>
        <w:t xml:space="preserve">noterer sig, at agenturet ifølge Revisionsretten i 2022 indgik en rammeaftale til en værdi af 90 mio. EUR om chartring af tre offshorepatruljefartøjer for en indledende periode på 24 måneder med stiltiende forlængelse fire gange, hver gang for yderligere 12 måneder, dvs. op til seks år i alt; minder om, at punkt 1.1. i bilag I til Europa-Parlamentets og </w:t>
      </w:r>
      <w:r w:rsidRPr="0026455C">
        <w:lastRenderedPageBreak/>
        <w:t>Rådets forordning (EU, Euratom) 2018/1046</w:t>
      </w:r>
      <w:r w:rsidRPr="0026455C">
        <w:rPr>
          <w:rStyle w:val="FootnoteReference"/>
          <w:szCs w:val="24"/>
        </w:rPr>
        <w:footnoteReference w:id="13"/>
      </w:r>
      <w:r w:rsidRPr="0026455C">
        <w:t xml:space="preserve"> (finansforordningen) tillader rammeaftaler med en varighed på over fire år, men kun i særlige, behørigt begrundede tilfælde; noterer sig, at agenturet begrundede den længere aftale med behovet for at sikre, at de kontrahenter, der skulle udruste fartøjerne med oppustelige både med stift skrog, fik et rimeligt investeringsafkast; bemærker endvidere, at Revisionsretten vurderede, at denne begrundelse var utilstrækkelig, eftersom udrustningsomkostningerne kun var anslået til ca. 1 % af kontraktens samlede værdi, og at agenturet desuden havde muligheden for ensidigt at opsige kontrakten efter de første to år og efter hvert efterfølgende år, hvilket undergraver argumentet om, at kontrahenten havde brug for en garanteret varighed på seks år for at opnå et investeringsafkast; fremhæver, at Revisionsretten vil anse de efterfølgende relaterede betalinger for at være regelstridige, hvis kontrakten forlænges ud over grænsen på fire år; bemærker, at agenturet under forberedelsen af udbuddet vurderede, at en normal kontraktperiode på fire år måske ikke ville blive opfattet af markedet som tilstrækkelig til at sikre et rimeligt investeringsafkast, og at en vellykket levering og kontinuitet af den tjeneste, der er genstand for den pågældende rammeaftale, er afgørende for dets kerneaktiviteter;</w:t>
      </w:r>
    </w:p>
    <w:p w14:paraId="3CE27D15" w14:textId="77777777" w:rsidR="004703AC" w:rsidRPr="0026455C" w:rsidRDefault="004703AC" w:rsidP="004703AC">
      <w:pPr>
        <w:widowControl/>
        <w:spacing w:after="240"/>
        <w:ind w:left="567" w:hanging="567"/>
        <w:rPr>
          <w:szCs w:val="24"/>
        </w:rPr>
      </w:pPr>
      <w:r w:rsidRPr="0026455C">
        <w:t>28.</w:t>
      </w:r>
      <w:r w:rsidRPr="0026455C">
        <w:tab/>
        <w:t>minder om, at det er vigtigt i forbindelse med alle udbudsprocedurer at sikre en fair konkurrence mellem tilbudsgiverne og at sikre indkøb af varer og tjenesteydelser til den bedste pris, samtidig med at principperne om gennemsigtighed, proportionalitet, ligebehandling og ikkeforskelsbehandling overholdes; opfordrer agenturet til at forbedre sine offentlige udbudsprocedurer og sørge for, at de gældende regler overholdes fuldt ud, så der opnås mest mulig valuta for offentlige midler;</w:t>
      </w:r>
    </w:p>
    <w:p w14:paraId="57E55CA1" w14:textId="77777777" w:rsidR="004703AC" w:rsidRPr="0026455C" w:rsidRDefault="004703AC" w:rsidP="004703AC">
      <w:pPr>
        <w:widowControl/>
        <w:spacing w:after="240"/>
        <w:ind w:left="567" w:hanging="567"/>
        <w:rPr>
          <w:b/>
          <w:i/>
          <w:szCs w:val="24"/>
        </w:rPr>
      </w:pPr>
      <w:r w:rsidRPr="0026455C">
        <w:rPr>
          <w:b/>
          <w:i/>
        </w:rPr>
        <w:t>Intern kontrol</w:t>
      </w:r>
    </w:p>
    <w:p w14:paraId="151F69B4" w14:textId="77777777" w:rsidR="004703AC" w:rsidRPr="0026455C" w:rsidRDefault="004703AC" w:rsidP="004703AC">
      <w:pPr>
        <w:widowControl/>
        <w:spacing w:after="240"/>
        <w:ind w:left="567" w:hanging="567"/>
        <w:rPr>
          <w:szCs w:val="24"/>
        </w:rPr>
      </w:pPr>
      <w:r w:rsidRPr="0026455C">
        <w:t>29.</w:t>
      </w:r>
      <w:r w:rsidRPr="0026455C">
        <w:tab/>
        <w:t>udtrykker bekymring over, at Revisionsretten konstaterede, at de procedurer, der blev anvendt til udvælgelse af og kontraktindgåelse med eksterne eksperter, systematisk manglede et tilstrækkeligt revisionsspor, selv om et sådant kræves i finansforordningens artikel 36, stk. 3; bemærker, at der nærmere bestemt ikke var tilstrækkelig dokumentation for, at eksperterne blev tildelt opgaver på grundlag af forud fastsatte udvælgelseskriterier vedrørende deres relative kvalifikationer, og at principperne om ikkeforskelsbehandling og ligebehandling som fastsat i finansforordningens artikel 237 var overholdt; opfordrer agenturet til at styrke sine interne procedurer for udvælgelse og indgåelse af kontrakter med eksterne eksperter og til at aflægge rapport til dechargemyndigheden om alle de skridt, der er taget i denne henseende;</w:t>
      </w:r>
    </w:p>
    <w:p w14:paraId="7126D05D" w14:textId="77777777" w:rsidR="004703AC" w:rsidRPr="0026455C" w:rsidRDefault="004703AC" w:rsidP="004703AC">
      <w:pPr>
        <w:widowControl/>
        <w:spacing w:after="240"/>
        <w:ind w:left="567" w:hanging="567"/>
        <w:rPr>
          <w:szCs w:val="24"/>
        </w:rPr>
      </w:pPr>
      <w:r w:rsidRPr="0026455C">
        <w:t>30.</w:t>
      </w:r>
      <w:r w:rsidRPr="0026455C">
        <w:tab/>
        <w:t xml:space="preserve">bemærker med bekymring, at agenturet ifølge Revisionsretten i maj 2022 iværksatte et udbud med forhandling uden forudgående offentliggørelse af en udbudsbekendtgørelse vedrørende leje af et offshorepatruljefartøj til brug i farvandene mellem EU og Det Forenede Kongerige og indgik kontrakten i juni for at dække perioden mellem tidligere og kommende kontrakter under et uafsluttet offentligt udbud, som havde varet længere end oprindeligt forventet; noterer sig, at agenturet underbyggede anvendelsen af proceduren med, at der var tale om påtrængende grunde og ved hjælp af en undtagelse i </w:t>
      </w:r>
      <w:r w:rsidRPr="0026455C">
        <w:lastRenderedPageBreak/>
        <w:t>finansforordningen med henvisning til uforudseelige begivenheder, som er en undtagelse, der er tilladt i henhold til punkt 11.1, litra c), i bilag I til finansforordningen; bemærker, at Revisionsretten konkluderede, at nogle af faktorerne bag de påtrængende grunde måske ikke var forudsigelige, men at andre var, og at det forhold, at der ikke blev taget tilstrækkeligt hensyn til dem, tyder på en svaghed i agenturets planlægning og forvaltning af udbuddet vedrørende chartringen af de tre fartøjer; opfordrer agenturet til at afhjælpe og rette op på svaghederne i sin planlægning og forvaltning af udbuddet som anført af Revisionsretten og til hurtigst muligt at aflægge rapport til dechargemyndigheden om de foranstaltninger, der er truffet i denne henseende;</w:t>
      </w:r>
    </w:p>
    <w:p w14:paraId="791485E7" w14:textId="77777777" w:rsidR="004703AC" w:rsidRPr="0026455C" w:rsidRDefault="004703AC" w:rsidP="004703AC">
      <w:pPr>
        <w:widowControl/>
        <w:spacing w:after="240"/>
        <w:ind w:left="567" w:hanging="567"/>
        <w:rPr>
          <w:b/>
          <w:i/>
          <w:szCs w:val="24"/>
        </w:rPr>
      </w:pPr>
      <w:r w:rsidRPr="0026455C">
        <w:rPr>
          <w:b/>
          <w:i/>
        </w:rPr>
        <w:t>Øvrige bemærkninger</w:t>
      </w:r>
    </w:p>
    <w:p w14:paraId="2361F484" w14:textId="77777777" w:rsidR="004703AC" w:rsidRPr="0026455C" w:rsidRDefault="004703AC" w:rsidP="004703AC">
      <w:pPr>
        <w:widowControl/>
        <w:spacing w:after="240"/>
        <w:ind w:left="567" w:hanging="567"/>
        <w:rPr>
          <w:szCs w:val="24"/>
        </w:rPr>
      </w:pPr>
      <w:r w:rsidRPr="0026455C">
        <w:t>31.</w:t>
      </w:r>
      <w:r w:rsidRPr="0026455C">
        <w:tab/>
        <w:t>noterer sig, at agenturet ikke har gennemført certificeringen under ordningen for miljøledelse og miljørevision (EMAS), da indsatsen er rettet mod at støtte andre projekter;</w:t>
      </w:r>
      <w:r w:rsidRPr="0026455C">
        <w:rPr>
          <w:rFonts w:ascii="Segoe UI" w:hAnsi="Segoe UI"/>
          <w:color w:val="374151"/>
        </w:rPr>
        <w:t xml:space="preserve"> </w:t>
      </w:r>
      <w:r w:rsidRPr="0026455C">
        <w:t>minder om, at formålet med ordningen er at fremme løbende forbedringer af organisationers miljøpræstationer; opfordrer agenturet til at tage skridt til gennemførelse af EMAS;</w:t>
      </w:r>
    </w:p>
    <w:p w14:paraId="7FEE40B2" w14:textId="77777777" w:rsidR="004703AC" w:rsidRPr="0026455C" w:rsidRDefault="004703AC" w:rsidP="004703AC">
      <w:pPr>
        <w:pStyle w:val="NormalCenter12a"/>
      </w:pPr>
      <w:r w:rsidRPr="0026455C">
        <w:t>°</w:t>
      </w:r>
    </w:p>
    <w:p w14:paraId="7234D736" w14:textId="77777777" w:rsidR="004703AC" w:rsidRPr="0026455C" w:rsidRDefault="004703AC" w:rsidP="004703AC">
      <w:pPr>
        <w:pStyle w:val="NormalCenter12a"/>
      </w:pPr>
      <w:r w:rsidRPr="0026455C">
        <w:t>°</w:t>
      </w:r>
      <w:r w:rsidRPr="0026455C">
        <w:tab/>
        <w:t>°</w:t>
      </w:r>
    </w:p>
    <w:p w14:paraId="703117D8" w14:textId="0637EB07" w:rsidR="004703AC" w:rsidRPr="0026455C" w:rsidRDefault="004703AC" w:rsidP="004703AC">
      <w:pPr>
        <w:pStyle w:val="NormalHanging12a"/>
      </w:pPr>
      <w:r w:rsidRPr="0026455C">
        <w:t>32.</w:t>
      </w:r>
      <w:r w:rsidRPr="0026455C">
        <w:tab/>
        <w:t xml:space="preserve">henviser med hensyn til de øvrige bemærkninger, der ledsager dechargeafgørelsen, og som er af horisontal karakter, til sin beslutning af </w:t>
      </w:r>
      <w:r w:rsidR="005A4125" w:rsidRPr="00E96803">
        <w:t>11. april 2024</w:t>
      </w:r>
      <w:bookmarkStart w:id="8" w:name="_GoBack"/>
      <w:bookmarkEnd w:id="8"/>
      <w:r w:rsidRPr="0026455C">
        <w:rPr>
          <w:vertAlign w:val="superscript"/>
        </w:rPr>
        <w:footnoteReference w:id="14"/>
      </w:r>
      <w:r w:rsidRPr="0026455C">
        <w:t xml:space="preserve"> om agenturernes resultater, økonomiske forvaltning og kontrol.</w:t>
      </w:r>
    </w:p>
    <w:sectPr w:rsidR="004703AC" w:rsidRPr="0026455C" w:rsidSect="0026455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6482B" w14:textId="77777777" w:rsidR="00772DF5" w:rsidRPr="0026455C" w:rsidRDefault="00772DF5">
      <w:r w:rsidRPr="0026455C">
        <w:separator/>
      </w:r>
    </w:p>
  </w:endnote>
  <w:endnote w:type="continuationSeparator" w:id="0">
    <w:p w14:paraId="62ECCF4C" w14:textId="77777777" w:rsidR="00772DF5" w:rsidRPr="0026455C" w:rsidRDefault="00772DF5">
      <w:r w:rsidRPr="00264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D6FDF" w14:textId="77777777" w:rsidR="004703AC" w:rsidRPr="0026455C" w:rsidRDefault="004703AC" w:rsidP="003B1A58">
    <w:pPr>
      <w:pStyle w:val="EPFooter"/>
    </w:pPr>
    <w:r w:rsidRPr="0026455C">
      <w:t>PE</w:t>
    </w:r>
    <w:r w:rsidRPr="0026455C">
      <w:rPr>
        <w:rStyle w:val="HideTWBExt"/>
      </w:rPr>
      <w:t>&lt;NoPE&gt;</w:t>
    </w:r>
    <w:r w:rsidRPr="0026455C">
      <w:t>753.518</w:t>
    </w:r>
    <w:r w:rsidRPr="0026455C">
      <w:rPr>
        <w:rStyle w:val="HideTWBExt"/>
      </w:rPr>
      <w:t>&lt;/NoPE&gt;&lt;Version&gt;</w:t>
    </w:r>
    <w:r w:rsidRPr="0026455C">
      <w:t>v02-00</w:t>
    </w:r>
    <w:r w:rsidRPr="0026455C">
      <w:rPr>
        <w:rStyle w:val="HideTWBExt"/>
      </w:rPr>
      <w:t>&lt;/Version&gt;</w:t>
    </w:r>
    <w:r w:rsidRPr="0026455C">
      <w:tab/>
    </w:r>
    <w:r w:rsidRPr="0026455C">
      <w:fldChar w:fldCharType="begin"/>
    </w:r>
    <w:r w:rsidRPr="0026455C">
      <w:instrText xml:space="preserve"> PAGE  \* MERGEFORMAT </w:instrText>
    </w:r>
    <w:r w:rsidRPr="0026455C">
      <w:fldChar w:fldCharType="separate"/>
    </w:r>
    <w:r w:rsidR="0026455C" w:rsidRPr="0026455C">
      <w:rPr>
        <w:noProof/>
      </w:rPr>
      <w:t>2</w:t>
    </w:r>
    <w:r w:rsidRPr="0026455C">
      <w:fldChar w:fldCharType="end"/>
    </w:r>
    <w:r w:rsidRPr="0026455C">
      <w:t>/</w:t>
    </w:r>
    <w:fldSimple w:instr=" NUMPAGES  \* MERGEFORMAT ">
      <w:r w:rsidR="0026455C" w:rsidRPr="0026455C">
        <w:rPr>
          <w:noProof/>
        </w:rPr>
        <w:t>4</w:t>
      </w:r>
    </w:fldSimple>
    <w:r w:rsidRPr="0026455C">
      <w:tab/>
    </w:r>
    <w:r w:rsidRPr="0026455C">
      <w:rPr>
        <w:rStyle w:val="HideTWBExt"/>
      </w:rPr>
      <w:t>&lt;PathFdR&gt;</w:t>
    </w:r>
    <w:r w:rsidRPr="0026455C">
      <w:t>RR\1298773DA.docx</w:t>
    </w:r>
    <w:r w:rsidRPr="0026455C">
      <w:rPr>
        <w:rStyle w:val="HideTWBExt"/>
      </w:rPr>
      <w:t>&lt;/PathFdR&gt;</w:t>
    </w:r>
  </w:p>
  <w:p w14:paraId="35F980C6" w14:textId="77777777" w:rsidR="004703AC" w:rsidRPr="0026455C" w:rsidRDefault="004703AC" w:rsidP="003B1A58">
    <w:pPr>
      <w:pStyle w:val="EPFooter2"/>
    </w:pPr>
    <w:r w:rsidRPr="0026455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52B6" w14:textId="77777777" w:rsidR="004703AC" w:rsidRPr="0026455C" w:rsidRDefault="004703AC" w:rsidP="003B1A5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ECD1D" w14:textId="77777777" w:rsidR="004703AC" w:rsidRPr="0026455C" w:rsidRDefault="004703AC" w:rsidP="003B1A58">
    <w:pPr>
      <w:pStyle w:val="EPFooter"/>
    </w:pPr>
    <w:r w:rsidRPr="0026455C">
      <w:rPr>
        <w:rStyle w:val="HideTWBExt"/>
      </w:rPr>
      <w:t>&lt;PathFdR&gt;</w:t>
    </w:r>
    <w:r w:rsidRPr="0026455C">
      <w:t>RR\1298773DA.docx</w:t>
    </w:r>
    <w:r w:rsidRPr="0026455C">
      <w:rPr>
        <w:rStyle w:val="HideTWBExt"/>
      </w:rPr>
      <w:t>&lt;/PathFdR&gt;</w:t>
    </w:r>
    <w:r w:rsidRPr="0026455C">
      <w:tab/>
    </w:r>
    <w:r w:rsidRPr="0026455C">
      <w:tab/>
      <w:t>PE</w:t>
    </w:r>
    <w:r w:rsidRPr="0026455C">
      <w:rPr>
        <w:rStyle w:val="HideTWBExt"/>
      </w:rPr>
      <w:t>&lt;NoPE&gt;</w:t>
    </w:r>
    <w:r w:rsidRPr="0026455C">
      <w:t>753.518</w:t>
    </w:r>
    <w:r w:rsidRPr="0026455C">
      <w:rPr>
        <w:rStyle w:val="HideTWBExt"/>
      </w:rPr>
      <w:t>&lt;/NoPE&gt;&lt;Version&gt;</w:t>
    </w:r>
    <w:r w:rsidRPr="0026455C">
      <w:t>v02-00</w:t>
    </w:r>
    <w:r w:rsidRPr="0026455C">
      <w:rPr>
        <w:rStyle w:val="HideTWBExt"/>
      </w:rPr>
      <w:t>&lt;/Version&gt;</w:t>
    </w:r>
  </w:p>
  <w:p w14:paraId="556F9BB7" w14:textId="77777777" w:rsidR="004703AC" w:rsidRPr="0026455C" w:rsidRDefault="004703AC" w:rsidP="003B1A58">
    <w:pPr>
      <w:pStyle w:val="EPFooter2"/>
    </w:pPr>
    <w:r w:rsidRPr="0026455C">
      <w:t>DA</w:t>
    </w:r>
    <w:r w:rsidRPr="0026455C">
      <w:tab/>
    </w:r>
    <w:r w:rsidRPr="0026455C">
      <w:rPr>
        <w:b w:val="0"/>
        <w:i/>
        <w:color w:val="C0C0C0"/>
        <w:sz w:val="22"/>
      </w:rPr>
      <w:t>Forenet i mangfoldighed</w:t>
    </w:r>
    <w:r w:rsidRPr="0026455C">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BCF07" w14:textId="77777777" w:rsidR="00064002" w:rsidRPr="0026455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E604D" w14:textId="77777777" w:rsidR="00064002" w:rsidRPr="0026455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D363B" w14:textId="77777777" w:rsidR="00064002" w:rsidRPr="002645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7074B" w14:textId="77777777" w:rsidR="00772DF5" w:rsidRPr="0026455C" w:rsidRDefault="00772DF5">
      <w:r w:rsidRPr="0026455C">
        <w:separator/>
      </w:r>
    </w:p>
  </w:footnote>
  <w:footnote w:type="continuationSeparator" w:id="0">
    <w:p w14:paraId="1AFA2954" w14:textId="77777777" w:rsidR="00772DF5" w:rsidRPr="0026455C" w:rsidRDefault="00772DF5">
      <w:r w:rsidRPr="0026455C">
        <w:continuationSeparator/>
      </w:r>
    </w:p>
  </w:footnote>
  <w:footnote w:id="1">
    <w:p w14:paraId="7434B1D2" w14:textId="77777777" w:rsidR="004703AC" w:rsidRPr="00E96803" w:rsidRDefault="004703AC" w:rsidP="0026455C">
      <w:pPr>
        <w:pStyle w:val="FootnoteText"/>
        <w:ind w:left="567" w:hanging="567"/>
        <w:rPr>
          <w:sz w:val="24"/>
        </w:rPr>
      </w:pPr>
      <w:r w:rsidRPr="0026455C">
        <w:rPr>
          <w:rStyle w:val="FootnoteReference"/>
          <w:sz w:val="24"/>
          <w:lang w:val="da-DK"/>
        </w:rPr>
        <w:footnoteRef/>
      </w:r>
      <w:r w:rsidR="0026455C" w:rsidRPr="00E96803">
        <w:rPr>
          <w:sz w:val="24"/>
        </w:rPr>
        <w:t xml:space="preserve"> </w:t>
      </w:r>
      <w:r w:rsidR="0026455C" w:rsidRPr="00E96803">
        <w:rPr>
          <w:sz w:val="24"/>
        </w:rPr>
        <w:tab/>
      </w:r>
      <w:r w:rsidRPr="00E96803">
        <w:rPr>
          <w:sz w:val="24"/>
        </w:rPr>
        <w:t>EUT C, C/2023/594, 27.10.2023.</w:t>
      </w:r>
    </w:p>
  </w:footnote>
  <w:footnote w:id="2">
    <w:p w14:paraId="2496C019" w14:textId="77777777" w:rsidR="004703AC" w:rsidRPr="00E96803" w:rsidRDefault="004703AC" w:rsidP="0026455C">
      <w:pPr>
        <w:pStyle w:val="FootnoteText"/>
        <w:ind w:left="567" w:hanging="567"/>
        <w:rPr>
          <w:sz w:val="24"/>
        </w:rPr>
      </w:pPr>
      <w:r w:rsidRPr="0026455C">
        <w:rPr>
          <w:rStyle w:val="FootnoteReference"/>
          <w:sz w:val="24"/>
          <w:lang w:val="da-DK"/>
        </w:rPr>
        <w:footnoteRef/>
      </w:r>
      <w:r w:rsidR="0026455C" w:rsidRPr="00E96803">
        <w:rPr>
          <w:sz w:val="24"/>
        </w:rPr>
        <w:t xml:space="preserve"> </w:t>
      </w:r>
      <w:r w:rsidR="0026455C" w:rsidRPr="00E96803">
        <w:rPr>
          <w:sz w:val="24"/>
        </w:rPr>
        <w:tab/>
      </w:r>
      <w:r w:rsidRPr="00E96803">
        <w:rPr>
          <w:sz w:val="24"/>
        </w:rPr>
        <w:t>EUT C, C/2023/112, 12.10.2023.</w:t>
      </w:r>
    </w:p>
  </w:footnote>
  <w:footnote w:id="3">
    <w:p w14:paraId="46544DD5"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L 193 af 30.7.2018, s. 1.</w:t>
      </w:r>
    </w:p>
  </w:footnote>
  <w:footnote w:id="4">
    <w:p w14:paraId="2B3ABA8C"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L 83 af 25.3.2019, s. 18.</w:t>
      </w:r>
    </w:p>
  </w:footnote>
  <w:footnote w:id="5">
    <w:p w14:paraId="0713625B"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L 122 af 10.5.2019, s. 1.</w:t>
      </w:r>
    </w:p>
  </w:footnote>
  <w:footnote w:id="6">
    <w:p w14:paraId="0DB0FA34"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C, C/2023/594, 27.10.2023.</w:t>
      </w:r>
    </w:p>
  </w:footnote>
  <w:footnote w:id="7">
    <w:p w14:paraId="597B58C2" w14:textId="77777777" w:rsidR="004703AC" w:rsidRPr="00E96803" w:rsidRDefault="004703AC" w:rsidP="0026455C">
      <w:pPr>
        <w:pStyle w:val="FootnoteText"/>
        <w:ind w:left="567" w:hanging="567"/>
        <w:rPr>
          <w:sz w:val="24"/>
        </w:rPr>
      </w:pPr>
      <w:r w:rsidRPr="0026455C">
        <w:rPr>
          <w:rStyle w:val="FootnoteReference"/>
          <w:sz w:val="24"/>
          <w:lang w:val="da-DK"/>
        </w:rPr>
        <w:footnoteRef/>
      </w:r>
      <w:r w:rsidR="0026455C" w:rsidRPr="00E96803">
        <w:rPr>
          <w:sz w:val="24"/>
        </w:rPr>
        <w:t xml:space="preserve"> </w:t>
      </w:r>
      <w:r w:rsidR="0026455C" w:rsidRPr="00E96803">
        <w:rPr>
          <w:sz w:val="24"/>
        </w:rPr>
        <w:tab/>
      </w:r>
      <w:r w:rsidRPr="00E96803">
        <w:rPr>
          <w:sz w:val="24"/>
        </w:rPr>
        <w:t>EUT C, C/2023/112, 12.10.2023.</w:t>
      </w:r>
    </w:p>
  </w:footnote>
  <w:footnote w:id="8">
    <w:p w14:paraId="6C08E955" w14:textId="77777777" w:rsidR="004703AC" w:rsidRPr="00E96803" w:rsidRDefault="004703AC" w:rsidP="0026455C">
      <w:pPr>
        <w:pStyle w:val="FootnoteText"/>
        <w:ind w:left="567" w:hanging="567"/>
        <w:rPr>
          <w:sz w:val="24"/>
        </w:rPr>
      </w:pPr>
      <w:r w:rsidRPr="0026455C">
        <w:rPr>
          <w:rStyle w:val="FootnoteReference"/>
          <w:sz w:val="24"/>
          <w:lang w:val="da-DK"/>
        </w:rPr>
        <w:footnoteRef/>
      </w:r>
      <w:r w:rsidR="0026455C" w:rsidRPr="00E96803">
        <w:rPr>
          <w:sz w:val="24"/>
        </w:rPr>
        <w:t xml:space="preserve"> </w:t>
      </w:r>
      <w:r w:rsidR="0026455C" w:rsidRPr="00E96803">
        <w:rPr>
          <w:sz w:val="24"/>
        </w:rPr>
        <w:tab/>
      </w:r>
      <w:r w:rsidRPr="00E96803">
        <w:rPr>
          <w:sz w:val="24"/>
        </w:rPr>
        <w:t>EUT L 193 af 30.7.2018, s. 1.</w:t>
      </w:r>
    </w:p>
  </w:footnote>
  <w:footnote w:id="9">
    <w:p w14:paraId="2CEC606F"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L 83 af 25.3.2019, s. 18.</w:t>
      </w:r>
    </w:p>
  </w:footnote>
  <w:footnote w:id="10">
    <w:p w14:paraId="033C543A"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L 122 af 10.5.2019, s. 1.</w:t>
      </w:r>
    </w:p>
  </w:footnote>
  <w:footnote w:id="11">
    <w:p w14:paraId="3C77D6A4" w14:textId="2A4024F1"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EUT C 38 af 31.1.2023, s. 65.</w:t>
      </w:r>
    </w:p>
  </w:footnote>
  <w:footnote w:id="12">
    <w:p w14:paraId="5C721371"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Europa-Parlamentets og Rådets forordning (EU) 2019/473 af 19. marts 2019 om Det Europæiske Fiskerikontrolagentur (EUT L 83 af 25.3.2019, s. 18).</w:t>
      </w:r>
    </w:p>
  </w:footnote>
  <w:footnote w:id="13">
    <w:p w14:paraId="1F60B9EF" w14:textId="77777777"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footnote>
  <w:footnote w:id="14">
    <w:p w14:paraId="5CC9BE2B" w14:textId="740B219A" w:rsidR="004703AC" w:rsidRPr="0026455C" w:rsidRDefault="004703AC" w:rsidP="0026455C">
      <w:pPr>
        <w:pStyle w:val="FootnoteText"/>
        <w:ind w:left="567" w:hanging="567"/>
        <w:rPr>
          <w:sz w:val="24"/>
          <w:lang w:val="da-DK"/>
        </w:rPr>
      </w:pPr>
      <w:r w:rsidRPr="0026455C">
        <w:rPr>
          <w:rStyle w:val="FootnoteReference"/>
          <w:sz w:val="24"/>
          <w:lang w:val="da-DK"/>
        </w:rPr>
        <w:footnoteRef/>
      </w:r>
      <w:r w:rsidR="0026455C" w:rsidRPr="0026455C">
        <w:rPr>
          <w:sz w:val="24"/>
          <w:lang w:val="da-DK"/>
        </w:rPr>
        <w:t xml:space="preserve"> </w:t>
      </w:r>
      <w:r w:rsidR="0026455C" w:rsidRPr="0026455C">
        <w:rPr>
          <w:sz w:val="24"/>
          <w:lang w:val="da-DK"/>
        </w:rPr>
        <w:tab/>
      </w:r>
      <w:r w:rsidRPr="0026455C">
        <w:rPr>
          <w:sz w:val="24"/>
          <w:lang w:val="da-DK"/>
        </w:rPr>
        <w:t>Vedtagne tekster, P9_TA(2024)0</w:t>
      </w:r>
      <w:r w:rsidR="005957A1">
        <w:rPr>
          <w:sz w:val="24"/>
          <w:lang w:val="da-DK"/>
        </w:rPr>
        <w:t>280</w:t>
      </w:r>
      <w:r w:rsidRPr="0026455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E0BE" w14:textId="77777777" w:rsidR="004703AC" w:rsidRPr="0026455C" w:rsidRDefault="00470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CD2DD" w14:textId="77777777" w:rsidR="004703AC" w:rsidRPr="0026455C" w:rsidRDefault="004703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EE005" w14:textId="77777777" w:rsidR="004703AC" w:rsidRPr="0026455C" w:rsidRDefault="004703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CC60" w14:textId="77777777" w:rsidR="00064002" w:rsidRPr="0026455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85954" w14:textId="77777777" w:rsidR="00064002" w:rsidRPr="0026455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35890" w14:textId="77777777" w:rsidR="00064002" w:rsidRPr="002645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DA"/>
    <w:docVar w:name="dvnumam" w:val="0"/>
    <w:docVar w:name="dvpe" w:val="753.518"/>
    <w:docVar w:name="dvrapporteur" w:val="Ordfører: "/>
    <w:docVar w:name="dvtitre" w:val="Europa-Parlamentets afgørelse af xx.xx 2024 om decharge for gennemførelsen af budgettet for Det Europæiske Fiskerikontrolagentur for regnskabsåret 2022(2023/2150(DEC))"/>
  </w:docVars>
  <w:rsids>
    <w:rsidRoot w:val="00772DF5"/>
    <w:rsid w:val="00002272"/>
    <w:rsid w:val="000531CD"/>
    <w:rsid w:val="00064002"/>
    <w:rsid w:val="000677B9"/>
    <w:rsid w:val="000831BA"/>
    <w:rsid w:val="000A42CC"/>
    <w:rsid w:val="000E7DD9"/>
    <w:rsid w:val="0010095E"/>
    <w:rsid w:val="00125B37"/>
    <w:rsid w:val="00187494"/>
    <w:rsid w:val="001F32AE"/>
    <w:rsid w:val="0026455C"/>
    <w:rsid w:val="00270710"/>
    <w:rsid w:val="002767FF"/>
    <w:rsid w:val="002B18FE"/>
    <w:rsid w:val="002B5493"/>
    <w:rsid w:val="002C7615"/>
    <w:rsid w:val="00331E38"/>
    <w:rsid w:val="00343214"/>
    <w:rsid w:val="00361C00"/>
    <w:rsid w:val="00395FA1"/>
    <w:rsid w:val="003E15D4"/>
    <w:rsid w:val="00411CCE"/>
    <w:rsid w:val="0041666E"/>
    <w:rsid w:val="00421060"/>
    <w:rsid w:val="004703AC"/>
    <w:rsid w:val="00471C19"/>
    <w:rsid w:val="004867E3"/>
    <w:rsid w:val="00494A28"/>
    <w:rsid w:val="004C0004"/>
    <w:rsid w:val="004C5D52"/>
    <w:rsid w:val="0050519A"/>
    <w:rsid w:val="005072A1"/>
    <w:rsid w:val="00514517"/>
    <w:rsid w:val="00545827"/>
    <w:rsid w:val="00560270"/>
    <w:rsid w:val="005957A1"/>
    <w:rsid w:val="005A4125"/>
    <w:rsid w:val="005C2568"/>
    <w:rsid w:val="006037C0"/>
    <w:rsid w:val="006236C8"/>
    <w:rsid w:val="006631B6"/>
    <w:rsid w:val="00680577"/>
    <w:rsid w:val="006F74FA"/>
    <w:rsid w:val="00731ADD"/>
    <w:rsid w:val="00734777"/>
    <w:rsid w:val="00747932"/>
    <w:rsid w:val="00751A4A"/>
    <w:rsid w:val="00756632"/>
    <w:rsid w:val="00762C74"/>
    <w:rsid w:val="00772DF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6F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80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95F48"/>
  <w15:chartTrackingRefBased/>
  <w15:docId w15:val="{E66F05C2-E151-478E-9B19-03D66283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03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03AC"/>
    <w:pPr>
      <w:spacing w:before="480" w:after="240"/>
    </w:pPr>
  </w:style>
  <w:style w:type="paragraph" w:customStyle="1" w:styleId="PageHeading">
    <w:name w:val="PageHeading"/>
    <w:basedOn w:val="Normal"/>
    <w:rsid w:val="004703AC"/>
    <w:pPr>
      <w:keepNext/>
      <w:spacing w:after="480"/>
      <w:jc w:val="center"/>
    </w:pPr>
    <w:rPr>
      <w:rFonts w:ascii="Arial" w:hAnsi="Arial" w:cs="Arial"/>
      <w:b/>
    </w:rPr>
  </w:style>
  <w:style w:type="paragraph" w:customStyle="1" w:styleId="NormalBold">
    <w:name w:val="NormalBold"/>
    <w:basedOn w:val="Normal"/>
    <w:rsid w:val="004703AC"/>
    <w:rPr>
      <w:b/>
    </w:rPr>
  </w:style>
  <w:style w:type="paragraph" w:customStyle="1" w:styleId="NormalHanging12a">
    <w:name w:val="NormalHanging12a"/>
    <w:basedOn w:val="Normal"/>
    <w:link w:val="NormalHanging12aChar"/>
    <w:rsid w:val="004703AC"/>
    <w:pPr>
      <w:spacing w:after="240"/>
      <w:ind w:left="567" w:hanging="567"/>
    </w:pPr>
  </w:style>
  <w:style w:type="paragraph" w:customStyle="1" w:styleId="NormalCenter12a">
    <w:name w:val="NormalCenter12a"/>
    <w:basedOn w:val="Normal"/>
    <w:rsid w:val="004703AC"/>
    <w:pPr>
      <w:spacing w:after="240"/>
      <w:jc w:val="center"/>
    </w:pPr>
  </w:style>
  <w:style w:type="paragraph" w:styleId="Header">
    <w:name w:val="header"/>
    <w:basedOn w:val="Normal"/>
    <w:link w:val="HeaderChar"/>
    <w:rsid w:val="004703AC"/>
    <w:pPr>
      <w:tabs>
        <w:tab w:val="center" w:pos="4513"/>
        <w:tab w:val="right" w:pos="9026"/>
      </w:tabs>
    </w:pPr>
  </w:style>
  <w:style w:type="character" w:customStyle="1" w:styleId="HeaderChar">
    <w:name w:val="Header Char"/>
    <w:basedOn w:val="DefaultParagraphFont"/>
    <w:link w:val="Header"/>
    <w:rsid w:val="004703AC"/>
    <w:rPr>
      <w:sz w:val="24"/>
      <w:lang w:val="da-DK"/>
    </w:rPr>
  </w:style>
  <w:style w:type="paragraph" w:customStyle="1" w:styleId="EPFooter">
    <w:name w:val="EPFooter"/>
    <w:basedOn w:val="Normal"/>
    <w:rsid w:val="004703A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703AC"/>
    <w:rPr>
      <w:sz w:val="24"/>
      <w:lang w:val="da-DK"/>
    </w:rPr>
  </w:style>
  <w:style w:type="paragraph" w:customStyle="1" w:styleId="Normal24a">
    <w:name w:val="Normal24a"/>
    <w:basedOn w:val="Normal"/>
    <w:rsid w:val="004703AC"/>
    <w:pPr>
      <w:spacing w:after="480"/>
    </w:pPr>
  </w:style>
  <w:style w:type="paragraph" w:customStyle="1" w:styleId="Normal12a">
    <w:name w:val="Normal12a"/>
    <w:basedOn w:val="Normal"/>
    <w:rsid w:val="004703AC"/>
    <w:pPr>
      <w:spacing w:after="240"/>
    </w:pPr>
  </w:style>
  <w:style w:type="paragraph" w:customStyle="1" w:styleId="PageHeadingNotTOC">
    <w:name w:val="PageHeadingNotTOC"/>
    <w:basedOn w:val="Normal"/>
    <w:rsid w:val="004703AC"/>
    <w:pPr>
      <w:keepNext/>
      <w:spacing w:after="480"/>
      <w:jc w:val="center"/>
    </w:pPr>
    <w:rPr>
      <w:rFonts w:ascii="Arial" w:hAnsi="Arial" w:cs="Arial"/>
      <w:b/>
    </w:rPr>
  </w:style>
  <w:style w:type="paragraph" w:styleId="BalloonText">
    <w:name w:val="Balloon Text"/>
    <w:basedOn w:val="Normal"/>
    <w:link w:val="BalloonTextChar"/>
    <w:rsid w:val="00B626F5"/>
    <w:rPr>
      <w:rFonts w:ascii="Segoe UI" w:hAnsi="Segoe UI" w:cs="Segoe UI"/>
      <w:sz w:val="18"/>
      <w:szCs w:val="18"/>
    </w:rPr>
  </w:style>
  <w:style w:type="character" w:customStyle="1" w:styleId="BalloonTextChar">
    <w:name w:val="Balloon Text Char"/>
    <w:basedOn w:val="DefaultParagraphFont"/>
    <w:link w:val="BalloonText"/>
    <w:rsid w:val="00B626F5"/>
    <w:rPr>
      <w:rFonts w:ascii="Segoe UI" w:hAnsi="Segoe UI" w:cs="Segoe UI"/>
      <w:sz w:val="18"/>
      <w:szCs w:val="18"/>
      <w:lang w:val="da-DK"/>
    </w:rPr>
  </w:style>
  <w:style w:type="character" w:styleId="CommentReference">
    <w:name w:val="annotation reference"/>
    <w:basedOn w:val="DefaultParagraphFont"/>
    <w:rsid w:val="00331E38"/>
    <w:rPr>
      <w:sz w:val="16"/>
      <w:szCs w:val="16"/>
    </w:rPr>
  </w:style>
  <w:style w:type="paragraph" w:styleId="CommentText">
    <w:name w:val="annotation text"/>
    <w:basedOn w:val="Normal"/>
    <w:link w:val="CommentTextChar"/>
    <w:rsid w:val="00331E38"/>
    <w:rPr>
      <w:sz w:val="20"/>
    </w:rPr>
  </w:style>
  <w:style w:type="character" w:customStyle="1" w:styleId="CommentTextChar">
    <w:name w:val="Comment Text Char"/>
    <w:basedOn w:val="DefaultParagraphFont"/>
    <w:link w:val="CommentText"/>
    <w:rsid w:val="00331E38"/>
    <w:rPr>
      <w:lang w:val="da-DK"/>
    </w:rPr>
  </w:style>
  <w:style w:type="paragraph" w:styleId="CommentSubject">
    <w:name w:val="annotation subject"/>
    <w:basedOn w:val="CommentText"/>
    <w:next w:val="CommentText"/>
    <w:link w:val="CommentSubjectChar"/>
    <w:rsid w:val="00331E38"/>
    <w:rPr>
      <w:b/>
      <w:bCs/>
    </w:rPr>
  </w:style>
  <w:style w:type="character" w:customStyle="1" w:styleId="CommentSubjectChar">
    <w:name w:val="Comment Subject Char"/>
    <w:basedOn w:val="CommentTextChar"/>
    <w:link w:val="CommentSubject"/>
    <w:rsid w:val="00331E3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CE6B8-C72E-4CDC-8843-56ADD7D8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3515</Words>
  <Characters>22242</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2024-04-11T15:16:00Z</dcterms:created>
  <dcterms:modified xsi:type="dcterms:W3CDTF">2024-04-11T15:16:00Z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A9-0100/2024</vt:lpwstr>
  </property>
  <property fmtid="{D5CDD505-2E9C-101B-9397-08002B2CF9AE}" pid="4" name="&lt;Type&gt;">
    <vt:lpwstr>RR</vt:lpwstr>
  </property>
</Properties>
</file>