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6C8" w:rsidTr="0010095E">
        <w:trPr>
          <w:trHeight w:hRule="exact" w:val="1418"/>
        </w:trPr>
        <w:tc>
          <w:tcPr>
            <w:tcW w:w="6804" w:type="dxa"/>
            <w:shd w:val="clear" w:color="auto" w:fill="auto"/>
            <w:vAlign w:val="center"/>
          </w:tcPr>
          <w:p w:rsidR="00751A4A" w:rsidRPr="003036C8" w:rsidRDefault="00B23861" w:rsidP="0010095E">
            <w:pPr>
              <w:pStyle w:val="EPName"/>
            </w:pPr>
            <w:bookmarkStart w:id="0" w:name="_GoBack"/>
            <w:bookmarkEnd w:id="0"/>
            <w:r w:rsidRPr="003036C8">
              <w:t>Ευρωπαϊκό Κοινοβούλιο</w:t>
            </w:r>
          </w:p>
          <w:p w:rsidR="00751A4A" w:rsidRPr="003036C8" w:rsidRDefault="00817416" w:rsidP="00756632">
            <w:pPr>
              <w:pStyle w:val="EPTerm"/>
              <w:rPr>
                <w:rStyle w:val="HideTWBExt"/>
                <w:noProof w:val="0"/>
                <w:vanish w:val="0"/>
                <w:color w:val="auto"/>
              </w:rPr>
            </w:pPr>
            <w:r w:rsidRPr="003036C8">
              <w:t>2019-2024</w:t>
            </w:r>
          </w:p>
        </w:tc>
        <w:tc>
          <w:tcPr>
            <w:tcW w:w="2268" w:type="dxa"/>
            <w:shd w:val="clear" w:color="auto" w:fill="auto"/>
          </w:tcPr>
          <w:p w:rsidR="00751A4A" w:rsidRPr="003036C8" w:rsidRDefault="00187494" w:rsidP="0010095E">
            <w:pPr>
              <w:pStyle w:val="EPLogo"/>
            </w:pPr>
            <w:r w:rsidRPr="003036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36C8" w:rsidRDefault="00D058B8" w:rsidP="004C5D52">
      <w:pPr>
        <w:pStyle w:val="LineTop"/>
      </w:pPr>
    </w:p>
    <w:p w:rsidR="00680577" w:rsidRPr="003036C8" w:rsidRDefault="00B23861" w:rsidP="00680577">
      <w:pPr>
        <w:pStyle w:val="EPBodyTA1"/>
      </w:pPr>
      <w:r w:rsidRPr="003036C8">
        <w:t>ΚΕΙΜΕΝΑ ΠΟΥ ΕΓΚΡΙΘΗΚΑΝ</w:t>
      </w:r>
    </w:p>
    <w:p w:rsidR="00D058B8" w:rsidRPr="003036C8" w:rsidRDefault="00D058B8" w:rsidP="00D058B8">
      <w:pPr>
        <w:pStyle w:val="LineBottom"/>
      </w:pPr>
    </w:p>
    <w:p w:rsidR="00B23861" w:rsidRPr="003036C8" w:rsidRDefault="00B23861" w:rsidP="00B23861">
      <w:pPr>
        <w:pStyle w:val="ATHeading1"/>
      </w:pPr>
      <w:bookmarkStart w:id="1" w:name="TANumber"/>
      <w:r w:rsidRPr="003036C8">
        <w:t>P9_TA(2024)0</w:t>
      </w:r>
      <w:r w:rsidR="003036C8" w:rsidRPr="003036C8">
        <w:t>257</w:t>
      </w:r>
      <w:bookmarkEnd w:id="1"/>
    </w:p>
    <w:p w:rsidR="00B23861" w:rsidRPr="003036C8" w:rsidRDefault="00B23861" w:rsidP="00B23861">
      <w:pPr>
        <w:pStyle w:val="ATHeading2"/>
      </w:pPr>
      <w:bookmarkStart w:id="2" w:name="title"/>
      <w:r w:rsidRPr="003036C8">
        <w:t>Απαλλαγή 2022: Ευρωπαϊκή Υπηρεσία Ελέγχου της Αλιείας</w:t>
      </w:r>
      <w:bookmarkEnd w:id="2"/>
    </w:p>
    <w:p w:rsidR="00B23861" w:rsidRPr="003036C8" w:rsidRDefault="00B23861" w:rsidP="00B23861">
      <w:pPr>
        <w:rPr>
          <w:i/>
          <w:vanish/>
        </w:rPr>
      </w:pPr>
      <w:r w:rsidRPr="003036C8">
        <w:rPr>
          <w:i/>
        </w:rPr>
        <w:fldChar w:fldCharType="begin"/>
      </w:r>
      <w:r w:rsidRPr="003036C8">
        <w:rPr>
          <w:i/>
        </w:rPr>
        <w:instrText xml:space="preserve"> TC"(</w:instrText>
      </w:r>
      <w:bookmarkStart w:id="3" w:name="DocNumber"/>
      <w:r w:rsidRPr="003036C8">
        <w:rPr>
          <w:i/>
        </w:rPr>
        <w:instrText>A9-0100/2024</w:instrText>
      </w:r>
      <w:bookmarkEnd w:id="3"/>
      <w:r w:rsidRPr="003036C8">
        <w:rPr>
          <w:i/>
        </w:rPr>
        <w:instrText xml:space="preserve"> - Εισηγητής: Petri Sarvamaa)"\l3 \n&gt; \* MERGEFORMAT </w:instrText>
      </w:r>
      <w:r w:rsidRPr="003036C8">
        <w:rPr>
          <w:i/>
        </w:rPr>
        <w:fldChar w:fldCharType="end"/>
      </w:r>
    </w:p>
    <w:p w:rsidR="00B23861" w:rsidRPr="003036C8" w:rsidRDefault="00B23861" w:rsidP="00B23861">
      <w:pPr>
        <w:rPr>
          <w:vanish/>
        </w:rPr>
      </w:pPr>
      <w:bookmarkStart w:id="4" w:name="Commission"/>
      <w:r w:rsidRPr="003036C8">
        <w:rPr>
          <w:vanish/>
        </w:rPr>
        <w:t>Επιτροπή Ελέγχου του Προϋπολογισμού</w:t>
      </w:r>
      <w:bookmarkEnd w:id="4"/>
    </w:p>
    <w:p w:rsidR="00B23861" w:rsidRPr="003036C8" w:rsidRDefault="00B23861" w:rsidP="00B23861">
      <w:pPr>
        <w:rPr>
          <w:vanish/>
        </w:rPr>
      </w:pPr>
      <w:bookmarkStart w:id="5" w:name="PE"/>
      <w:r w:rsidRPr="003036C8">
        <w:rPr>
          <w:vanish/>
        </w:rPr>
        <w:t>PE753.518</w:t>
      </w:r>
      <w:bookmarkEnd w:id="5"/>
    </w:p>
    <w:p w:rsidR="00B23861" w:rsidRPr="003036C8" w:rsidRDefault="00C14878" w:rsidP="00B23861">
      <w:pPr>
        <w:pStyle w:val="ATHeading3"/>
      </w:pPr>
      <w:bookmarkStart w:id="6" w:name="Sujet"/>
      <w:r w:rsidRPr="003036C8">
        <w:t>1. Α</w:t>
      </w:r>
      <w:r w:rsidR="00B23861" w:rsidRPr="003036C8">
        <w:t xml:space="preserve">πόφαση του Ευρωπαϊκού Κοινοβουλίου </w:t>
      </w:r>
      <w:r w:rsidRPr="003036C8">
        <w:t xml:space="preserve">της 11ης Απριλίου 2024 </w:t>
      </w:r>
      <w:r w:rsidR="00B23861" w:rsidRPr="003036C8">
        <w:t>σχετικά με την απαλλαγή όσον αφορά την εκτέλεση του προϋπολογισμού της Ευρωπαϊκής Υπηρεσίας Ελέγχου της Αλιείας για το οικονομικό έτος 2022</w:t>
      </w:r>
      <w:bookmarkEnd w:id="6"/>
      <w:r w:rsidR="00B23861" w:rsidRPr="003036C8">
        <w:t xml:space="preserve"> </w:t>
      </w:r>
      <w:bookmarkStart w:id="7" w:name="References"/>
      <w:r w:rsidR="00B23861" w:rsidRPr="003036C8">
        <w:t>(2023/2150(DEC))</w:t>
      </w:r>
      <w:bookmarkEnd w:id="7"/>
    </w:p>
    <w:p w:rsidR="00E33039" w:rsidRPr="003036C8" w:rsidRDefault="00E33039" w:rsidP="00E33039">
      <w:pPr>
        <w:pStyle w:val="EPComma"/>
        <w:jc w:val="both"/>
      </w:pPr>
      <w:bookmarkStart w:id="8" w:name="TextBodyBegin"/>
      <w:bookmarkEnd w:id="8"/>
      <w:r w:rsidRPr="003036C8">
        <w:rPr>
          <w:i/>
          <w:iCs/>
        </w:rPr>
        <w:t>Το Ευρωπαϊκό Κοινοβούλιο,</w:t>
      </w:r>
    </w:p>
    <w:p w:rsidR="00E33039" w:rsidRPr="003036C8" w:rsidRDefault="00E33039" w:rsidP="00C14878">
      <w:pPr>
        <w:pStyle w:val="NormalHanging12a"/>
      </w:pPr>
      <w:r w:rsidRPr="003036C8">
        <w:t>–</w:t>
      </w:r>
      <w:r w:rsidRPr="003036C8">
        <w:tab/>
        <w:t>έχοντας υπόψη τους οριστικούς ετήσιους λογαριασμούς της Ευρωπαϊκής Υπηρεσίας Ελέγχου της Αλιείας για το οικονομικό έτος 2022,</w:t>
      </w:r>
    </w:p>
    <w:p w:rsidR="00E33039" w:rsidRPr="003036C8" w:rsidRDefault="00E33039" w:rsidP="00C14878">
      <w:pPr>
        <w:pStyle w:val="NormalHanging12a"/>
      </w:pPr>
      <w:r w:rsidRPr="003036C8">
        <w:t>–</w:t>
      </w:r>
      <w:r w:rsidRPr="003036C8">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3036C8">
        <w:rPr>
          <w:rStyle w:val="FootnoteReference"/>
        </w:rPr>
        <w:footnoteReference w:id="1"/>
      </w:r>
      <w:r w:rsidRPr="003036C8">
        <w:t>,</w:t>
      </w:r>
    </w:p>
    <w:p w:rsidR="00E33039" w:rsidRPr="003036C8" w:rsidRDefault="00E33039" w:rsidP="00C14878">
      <w:pPr>
        <w:pStyle w:val="NormalHanging12a"/>
      </w:pPr>
      <w:r w:rsidRPr="003036C8">
        <w:t>–</w:t>
      </w:r>
      <w:r w:rsidRPr="003036C8">
        <w:tab/>
        <w:t>έχοντας υπόψη τη δήλωση αξιοπιστίας</w:t>
      </w:r>
      <w:r w:rsidRPr="003036C8">
        <w:rPr>
          <w:rStyle w:val="FootnoteReference"/>
        </w:rPr>
        <w:footnoteReference w:id="2"/>
      </w:r>
      <w:r w:rsidRPr="003036C8">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E33039" w:rsidRPr="003036C8" w:rsidRDefault="00E33039" w:rsidP="00C14878">
      <w:pPr>
        <w:pStyle w:val="NormalHanging12a"/>
      </w:pPr>
      <w:r w:rsidRPr="003036C8">
        <w:t>–</w:t>
      </w:r>
      <w:r w:rsidRPr="003036C8">
        <w:tab/>
        <w:t>έχοντας υπόψη τη σύσταση του Συμβουλίου, της 22ας Φεβρουαρίου 2024, σχετικά με την απαλλαγή της Υπηρεσίας όσον αφορά την εκτέλεση του προϋπολογισμού για το οικονομικό έτος 2022 (</w:t>
      </w:r>
      <w:r w:rsidR="00617B6B" w:rsidRPr="003036C8">
        <w:t>06180</w:t>
      </w:r>
      <w:r w:rsidRPr="003036C8">
        <w:t>/2024 – C9</w:t>
      </w:r>
      <w:r w:rsidRPr="003036C8">
        <w:noBreakHyphen/>
        <w:t>00</w:t>
      </w:r>
      <w:r w:rsidR="00617B6B" w:rsidRPr="003036C8">
        <w:t>88</w:t>
      </w:r>
      <w:r w:rsidRPr="003036C8">
        <w:t>/2024),</w:t>
      </w:r>
    </w:p>
    <w:p w:rsidR="00E33039" w:rsidRPr="003036C8" w:rsidRDefault="00E33039" w:rsidP="00C14878">
      <w:pPr>
        <w:pStyle w:val="NormalHanging12a"/>
      </w:pPr>
      <w:r w:rsidRPr="003036C8">
        <w:t>–</w:t>
      </w:r>
      <w:r w:rsidRPr="003036C8">
        <w:tab/>
        <w:t>έχοντας υπόψη το άρθρο 319 της Συνθήκης για τη λειτουργία της Ευρωπαϊκής Ένωσης,</w:t>
      </w:r>
    </w:p>
    <w:p w:rsidR="00E33039" w:rsidRPr="003036C8" w:rsidRDefault="00E33039" w:rsidP="00C14878">
      <w:pPr>
        <w:pStyle w:val="NormalHanging12a"/>
      </w:pPr>
      <w:r w:rsidRPr="003036C8">
        <w:t>–</w:t>
      </w:r>
      <w:r w:rsidRPr="003036C8">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036C8">
        <w:rPr>
          <w:rStyle w:val="FootnoteReference"/>
        </w:rPr>
        <w:footnoteReference w:id="3"/>
      </w:r>
      <w:r w:rsidRPr="003036C8">
        <w:t>, και ιδίως το άρθρο 70,</w:t>
      </w:r>
    </w:p>
    <w:p w:rsidR="00E33039" w:rsidRPr="003036C8" w:rsidRDefault="00E33039" w:rsidP="00C14878">
      <w:pPr>
        <w:pStyle w:val="NormalHanging12a"/>
      </w:pPr>
      <w:r w:rsidRPr="003036C8">
        <w:t>–</w:t>
      </w:r>
      <w:r w:rsidRPr="003036C8">
        <w:tab/>
        <w:t>έχοντας υπόψη τον κανονισμό (ΕΕ) 2019/473 του Ευρωπαϊκού Κοινοβουλίου και του Συμβουλίου, της 19ης Μαρτίου 2019, για την Ευρωπαϊκή Υπηρεσία Ελέγχου της Αλιείας</w:t>
      </w:r>
      <w:r w:rsidRPr="003036C8">
        <w:rPr>
          <w:rStyle w:val="FootnoteReference"/>
        </w:rPr>
        <w:footnoteReference w:id="4"/>
      </w:r>
      <w:r w:rsidRPr="003036C8">
        <w:t>, και ιδίως το άρθρο 45,</w:t>
      </w:r>
    </w:p>
    <w:p w:rsidR="00E33039" w:rsidRPr="003036C8" w:rsidRDefault="00E33039" w:rsidP="00C14878">
      <w:pPr>
        <w:pStyle w:val="NormalHanging12a"/>
      </w:pPr>
      <w:r w:rsidRPr="003036C8">
        <w:t>–</w:t>
      </w:r>
      <w:r w:rsidRPr="003036C8">
        <w:tab/>
        <w:t xml:space="preserve">έχοντας υπόψη τον κατ’ εξουσιοδότηση κανονισμό (ΕE) 2019/715 της Επιτροπής, της </w:t>
      </w:r>
      <w:r w:rsidRPr="003036C8">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3036C8">
        <w:rPr>
          <w:rStyle w:val="FootnoteReference"/>
        </w:rPr>
        <w:footnoteReference w:id="5"/>
      </w:r>
      <w:r w:rsidRPr="003036C8">
        <w:t>, και ιδίως το άρθρο 105,</w:t>
      </w:r>
    </w:p>
    <w:p w:rsidR="00E33039" w:rsidRPr="003036C8" w:rsidRDefault="00E33039" w:rsidP="00C14878">
      <w:pPr>
        <w:pStyle w:val="NormalHanging12a"/>
      </w:pPr>
      <w:r w:rsidRPr="003036C8">
        <w:t>–</w:t>
      </w:r>
      <w:r w:rsidRPr="003036C8">
        <w:tab/>
        <w:t>έχοντας υπόψη το άρθρο 100 και το παράρτημα V του Κανονισμού του,</w:t>
      </w:r>
    </w:p>
    <w:p w:rsidR="00E33039" w:rsidRPr="003036C8" w:rsidRDefault="00E33039" w:rsidP="00C14878">
      <w:pPr>
        <w:pStyle w:val="NormalHanging12a"/>
      </w:pPr>
      <w:r w:rsidRPr="003036C8">
        <w:t>–</w:t>
      </w:r>
      <w:r w:rsidRPr="003036C8">
        <w:tab/>
        <w:t>έχοντας υπόψη τη γνωμοδότηση της Επιτροπής Αλιείας,</w:t>
      </w:r>
    </w:p>
    <w:p w:rsidR="00E33039" w:rsidRPr="003036C8" w:rsidRDefault="00E33039" w:rsidP="00C14878">
      <w:pPr>
        <w:pStyle w:val="NormalHanging12a"/>
      </w:pPr>
      <w:r w:rsidRPr="003036C8">
        <w:t>–</w:t>
      </w:r>
      <w:r w:rsidRPr="003036C8">
        <w:tab/>
        <w:t>έχοντας υπόψη την έκθεση της Επιτροπής Ελέγχου του Προϋπολογισμού (A9-0100/2024),</w:t>
      </w:r>
    </w:p>
    <w:p w:rsidR="00E33039" w:rsidRPr="003036C8" w:rsidRDefault="00E33039" w:rsidP="00C14878">
      <w:pPr>
        <w:pStyle w:val="NormalHanging12a"/>
      </w:pPr>
      <w:r w:rsidRPr="003036C8">
        <w:t>1.</w:t>
      </w:r>
      <w:r w:rsidRPr="003036C8">
        <w:tab/>
        <w:t>χορηγεί απαλλαγή στην εκτελεστική διευθύντρια της Ευρωπαϊκής Υπηρεσίας Ελέγχου της Αλιείας όσον αφορά την εκτέλεση του προϋπολογισμού της Υπηρεσίας για το οικονομικό έτος 2022·</w:t>
      </w:r>
    </w:p>
    <w:p w:rsidR="00E33039" w:rsidRPr="003036C8" w:rsidRDefault="00E33039" w:rsidP="00C14878">
      <w:pPr>
        <w:pStyle w:val="NormalHanging12a"/>
      </w:pPr>
      <w:r w:rsidRPr="003036C8">
        <w:t>2.</w:t>
      </w:r>
      <w:r w:rsidRPr="003036C8">
        <w:tab/>
        <w:t>εκθέτει τις παρατηρήσεις του στο ψήφισμα που ακολουθεί·</w:t>
      </w:r>
    </w:p>
    <w:p w:rsidR="00E33039" w:rsidRPr="003036C8" w:rsidRDefault="00E33039" w:rsidP="00C14878">
      <w:pPr>
        <w:pStyle w:val="NormalHanging12a"/>
      </w:pPr>
      <w:r w:rsidRPr="003036C8">
        <w:t>3.</w:t>
      </w:r>
      <w:r w:rsidRPr="003036C8">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της Ευρωπαϊκής Υπηρεσίας Ελέγχου της Αλιείας, στο Συμβούλιο, στην Επιτροπή και στο Ελεγκτικό Συνέδριο, και να μεριμνήσει για τη δημοσίευσή τους στην </w:t>
      </w:r>
      <w:r w:rsidRPr="003036C8">
        <w:rPr>
          <w:i/>
          <w:iCs/>
        </w:rPr>
        <w:t>Επίσημη Εφημερίδα της Ευρωπαϊκής Ένωσης</w:t>
      </w:r>
      <w:r w:rsidRPr="003036C8">
        <w:t xml:space="preserve"> (σειρά L).</w:t>
      </w:r>
    </w:p>
    <w:p w:rsidR="00E33039" w:rsidRPr="003036C8" w:rsidRDefault="00E33039" w:rsidP="00E33039"/>
    <w:p w:rsidR="00E33039" w:rsidRPr="003036C8" w:rsidRDefault="00E33039" w:rsidP="00E33039">
      <w:pPr>
        <w:widowControl/>
        <w:rPr>
          <w:rFonts w:ascii="Arial" w:hAnsi="Arial" w:cs="Arial"/>
          <w:b/>
        </w:rPr>
        <w:sectPr w:rsidR="00E33039" w:rsidRPr="003036C8" w:rsidSect="00170FB9">
          <w:footerReference w:type="even" r:id="rId9"/>
          <w:footerReference w:type="first" r:id="rId10"/>
          <w:footnotePr>
            <w:numRestart w:val="eachPage"/>
          </w:footnotePr>
          <w:endnotePr>
            <w:numFmt w:val="decimal"/>
          </w:endnotePr>
          <w:pgSz w:w="11906" w:h="16838"/>
          <w:pgMar w:top="851" w:right="1418" w:bottom="851" w:left="1418" w:header="1134" w:footer="567" w:gutter="0"/>
          <w:cols w:space="720"/>
          <w:docGrid w:linePitch="326"/>
        </w:sectPr>
      </w:pPr>
    </w:p>
    <w:p w:rsidR="00E33039" w:rsidRPr="003036C8" w:rsidRDefault="00E33039" w:rsidP="003036C8">
      <w:pPr>
        <w:pStyle w:val="ATHeading3"/>
      </w:pPr>
      <w:bookmarkStart w:id="9" w:name="_Toc146806751"/>
      <w:bookmarkStart w:id="10" w:name="_Toc161843325"/>
      <w:r w:rsidRPr="003036C8">
        <w:lastRenderedPageBreak/>
        <w:t xml:space="preserve">2. </w:t>
      </w:r>
      <w:r w:rsidR="00C14878" w:rsidRPr="003036C8">
        <w:t xml:space="preserve">Απόφαση του Ευρωπαϊκού Κοινοβουλίου της 11ης Απριλίου 2024 </w:t>
      </w:r>
      <w:bookmarkEnd w:id="9"/>
      <w:bookmarkEnd w:id="10"/>
      <w:r w:rsidRPr="003036C8">
        <w:t>σχετικά με το κλείσιμο των λογαριασμών της Ευρωπαϊκής Υπηρεσίας Ελέγχου της Αλιείας για το οικονομικό έτος 2022</w:t>
      </w:r>
      <w:r w:rsidR="00C14878" w:rsidRPr="003036C8">
        <w:t xml:space="preserve"> </w:t>
      </w:r>
      <w:r w:rsidRPr="003036C8">
        <w:t>(2023/2150(DEC))</w:t>
      </w:r>
    </w:p>
    <w:p w:rsidR="00E33039" w:rsidRPr="003036C8" w:rsidRDefault="00E33039" w:rsidP="00E33039">
      <w:pPr>
        <w:pStyle w:val="EPComma"/>
      </w:pPr>
      <w:r w:rsidRPr="003036C8">
        <w:rPr>
          <w:i/>
          <w:iCs/>
        </w:rPr>
        <w:t>Το Ευρωπαϊκό Κοινοβούλιο,</w:t>
      </w:r>
    </w:p>
    <w:p w:rsidR="00E33039" w:rsidRPr="003036C8" w:rsidRDefault="00E33039" w:rsidP="00C14878">
      <w:pPr>
        <w:pStyle w:val="NormalHanging12a"/>
      </w:pPr>
      <w:r w:rsidRPr="003036C8">
        <w:t>–</w:t>
      </w:r>
      <w:r w:rsidRPr="003036C8">
        <w:tab/>
        <w:t>έχοντας υπόψη τους οριστικούς ετήσιους λογαριασμούς της Ευρωπαϊκής Υπηρεσίας Ελέγχου της Αλιείας για το οικονομικό έτος 2022,</w:t>
      </w:r>
    </w:p>
    <w:p w:rsidR="00E33039" w:rsidRPr="003036C8" w:rsidRDefault="00E33039" w:rsidP="00C14878">
      <w:pPr>
        <w:pStyle w:val="NormalHanging12a"/>
      </w:pPr>
      <w:r w:rsidRPr="003036C8">
        <w:t>–</w:t>
      </w:r>
      <w:r w:rsidRPr="003036C8">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3036C8">
        <w:rPr>
          <w:rStyle w:val="FootnoteReference"/>
        </w:rPr>
        <w:footnoteReference w:id="6"/>
      </w:r>
      <w:r w:rsidRPr="003036C8">
        <w:t>,</w:t>
      </w:r>
    </w:p>
    <w:p w:rsidR="00E33039" w:rsidRPr="003036C8" w:rsidRDefault="00E33039" w:rsidP="00C14878">
      <w:pPr>
        <w:pStyle w:val="NormalHanging12a"/>
      </w:pPr>
      <w:r w:rsidRPr="003036C8">
        <w:t>–</w:t>
      </w:r>
      <w:r w:rsidRPr="003036C8">
        <w:tab/>
        <w:t>έχοντας υπόψη τη δήλωση αξιοπιστίας</w:t>
      </w:r>
      <w:r w:rsidRPr="003036C8">
        <w:rPr>
          <w:rStyle w:val="FootnoteReference"/>
        </w:rPr>
        <w:footnoteReference w:id="7"/>
      </w:r>
      <w:r w:rsidRPr="003036C8">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E33039" w:rsidRPr="003036C8" w:rsidRDefault="00E33039" w:rsidP="00C14878">
      <w:pPr>
        <w:pStyle w:val="NormalHanging12a"/>
      </w:pPr>
      <w:r w:rsidRPr="003036C8">
        <w:t>–</w:t>
      </w:r>
      <w:r w:rsidRPr="003036C8">
        <w:tab/>
        <w:t>έχοντας υπόψη τη σύσταση του Συμβουλίου, της 22ας Φεβρουαρίου 2024, σχετικά με την απαλλαγή της Υπηρεσίας όσον αφορά την εκτέλεση του προϋπολογισμού για το οικονομικό έτος 2022 (</w:t>
      </w:r>
      <w:r w:rsidR="00617B6B" w:rsidRPr="003036C8">
        <w:t>06180/2024 – C9</w:t>
      </w:r>
      <w:r w:rsidR="00617B6B" w:rsidRPr="003036C8">
        <w:noBreakHyphen/>
        <w:t>0088/2024</w:t>
      </w:r>
      <w:r w:rsidRPr="003036C8">
        <w:t>),</w:t>
      </w:r>
    </w:p>
    <w:p w:rsidR="00E33039" w:rsidRPr="003036C8" w:rsidRDefault="00E33039" w:rsidP="00C14878">
      <w:pPr>
        <w:pStyle w:val="NormalHanging12a"/>
      </w:pPr>
      <w:r w:rsidRPr="003036C8">
        <w:t>–</w:t>
      </w:r>
      <w:r w:rsidRPr="003036C8">
        <w:tab/>
        <w:t>έχοντας υπόψη το άρθρο 319 της Συνθήκης για τη λειτουργία της Ευρωπαϊκής Ένωσης,</w:t>
      </w:r>
    </w:p>
    <w:p w:rsidR="00E33039" w:rsidRPr="003036C8" w:rsidRDefault="00E33039" w:rsidP="00C14878">
      <w:pPr>
        <w:pStyle w:val="NormalHanging12a"/>
      </w:pPr>
      <w:r w:rsidRPr="003036C8">
        <w:t>–</w:t>
      </w:r>
      <w:r w:rsidRPr="003036C8">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036C8">
        <w:rPr>
          <w:rStyle w:val="FootnoteReference"/>
        </w:rPr>
        <w:footnoteReference w:id="8"/>
      </w:r>
      <w:r w:rsidRPr="003036C8">
        <w:t>, και ιδίως το άρθρο 70,</w:t>
      </w:r>
    </w:p>
    <w:p w:rsidR="00E33039" w:rsidRPr="003036C8" w:rsidRDefault="00E33039" w:rsidP="00C14878">
      <w:pPr>
        <w:pStyle w:val="NormalHanging12a"/>
      </w:pPr>
      <w:r w:rsidRPr="003036C8">
        <w:t>–</w:t>
      </w:r>
      <w:r w:rsidRPr="003036C8">
        <w:tab/>
        <w:t>έχοντας υπόψη τον κανονισμό (ΕΕ) 2019/473 του Ευρωπαϊκού Κοινοβουλίου και του Συμβουλίου, της 19ης Μαρτίου 2019, για την Ευρωπαϊκή Υπηρεσία Ελέγχου της Αλιείας</w:t>
      </w:r>
      <w:r w:rsidRPr="003036C8">
        <w:rPr>
          <w:rStyle w:val="FootnoteReference"/>
        </w:rPr>
        <w:footnoteReference w:id="9"/>
      </w:r>
      <w:r w:rsidRPr="003036C8">
        <w:t>, και ιδίως το άρθρο 45,</w:t>
      </w:r>
    </w:p>
    <w:p w:rsidR="00E33039" w:rsidRPr="003036C8" w:rsidRDefault="00E33039" w:rsidP="00C14878">
      <w:pPr>
        <w:pStyle w:val="NormalHanging12a"/>
      </w:pPr>
      <w:r w:rsidRPr="003036C8">
        <w:t>–</w:t>
      </w:r>
      <w:r w:rsidRPr="003036C8">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3036C8">
        <w:rPr>
          <w:rStyle w:val="FootnoteReference"/>
        </w:rPr>
        <w:footnoteReference w:id="10"/>
      </w:r>
      <w:r w:rsidRPr="003036C8">
        <w:t>, και ιδίως το άρθρο 105,</w:t>
      </w:r>
    </w:p>
    <w:p w:rsidR="00E33039" w:rsidRPr="003036C8" w:rsidRDefault="00E33039" w:rsidP="00C14878">
      <w:pPr>
        <w:pStyle w:val="NormalHanging12a"/>
      </w:pPr>
      <w:r w:rsidRPr="003036C8">
        <w:t>–</w:t>
      </w:r>
      <w:r w:rsidRPr="003036C8">
        <w:tab/>
        <w:t>έχοντας υπόψη το άρθρο 100 και το παράρτημα V του Κανονισμού του,</w:t>
      </w:r>
    </w:p>
    <w:p w:rsidR="00E33039" w:rsidRPr="003036C8" w:rsidRDefault="00E33039" w:rsidP="00C14878">
      <w:pPr>
        <w:pStyle w:val="NormalHanging12a"/>
      </w:pPr>
      <w:r w:rsidRPr="003036C8">
        <w:t>–</w:t>
      </w:r>
      <w:r w:rsidRPr="003036C8">
        <w:tab/>
        <w:t>έχοντας υπόψη τη γνωμοδότηση της Επιτροπής Αλιείας,</w:t>
      </w:r>
    </w:p>
    <w:p w:rsidR="00E33039" w:rsidRPr="003036C8" w:rsidRDefault="00E33039" w:rsidP="00C14878">
      <w:pPr>
        <w:pStyle w:val="NormalHanging12a"/>
      </w:pPr>
      <w:r w:rsidRPr="003036C8">
        <w:lastRenderedPageBreak/>
        <w:t>–</w:t>
      </w:r>
      <w:r w:rsidRPr="003036C8">
        <w:tab/>
        <w:t>έχοντας υπόψη την έκθεση της Επιτροπής Ελέγχου του Προϋπολογισμού (A9-0100/2024),</w:t>
      </w:r>
    </w:p>
    <w:p w:rsidR="00E33039" w:rsidRPr="003036C8" w:rsidRDefault="00E33039" w:rsidP="00C14878">
      <w:pPr>
        <w:pStyle w:val="NormalHanging12a"/>
      </w:pPr>
      <w:r w:rsidRPr="003036C8">
        <w:t>1.</w:t>
      </w:r>
      <w:r w:rsidRPr="003036C8">
        <w:tab/>
        <w:t>εγκρίνει το κλείσιμο των λογαριασμών της Ευρωπαϊκής Υπηρεσίας Ελέγχου της Αλιείας για το οικονομικό έτος 2022·</w:t>
      </w:r>
    </w:p>
    <w:p w:rsidR="00E33039" w:rsidRPr="003036C8" w:rsidRDefault="00E33039" w:rsidP="00C14878">
      <w:pPr>
        <w:pStyle w:val="NormalHanging12a"/>
      </w:pPr>
      <w:r w:rsidRPr="003036C8">
        <w:t>2.</w:t>
      </w:r>
      <w:r w:rsidRPr="003036C8">
        <w:tab/>
        <w:t xml:space="preserve">αναθέτει στην Πρόεδρό του να διαβιβάσει την παρούσα απόφαση στην εκτελεστική διευθύντρια της Ευρωπαϊκής Υπηρεσίας Ελέγχου της Αλιείας, στο Συμβούλιο, στην Επιτροπή και στο Ελεγκτικό Συνέδριο, και να μεριμνήσει για τη δημοσίευσή της στην </w:t>
      </w:r>
      <w:r w:rsidRPr="003036C8">
        <w:rPr>
          <w:i/>
          <w:iCs/>
        </w:rPr>
        <w:t>Επίσημη Εφημερίδα της Ευρωπαϊκής Ένωσης</w:t>
      </w:r>
      <w:r w:rsidRPr="003036C8">
        <w:t xml:space="preserve"> (σειρά L).</w:t>
      </w:r>
    </w:p>
    <w:p w:rsidR="00E33039" w:rsidRPr="003036C8" w:rsidRDefault="00E33039" w:rsidP="00E33039"/>
    <w:p w:rsidR="00E33039" w:rsidRPr="003036C8" w:rsidRDefault="00E33039" w:rsidP="00E33039">
      <w:pPr>
        <w:widowControl/>
        <w:rPr>
          <w:rFonts w:ascii="Arial" w:hAnsi="Arial" w:cs="Arial"/>
          <w:b/>
        </w:rPr>
        <w:sectPr w:rsidR="00E33039" w:rsidRPr="003036C8" w:rsidSect="00170FB9">
          <w:footnotePr>
            <w:numRestart w:val="eachPage"/>
          </w:footnotePr>
          <w:endnotePr>
            <w:numFmt w:val="decimal"/>
          </w:endnotePr>
          <w:pgSz w:w="11906" w:h="16838"/>
          <w:pgMar w:top="1134" w:right="1418" w:bottom="1418" w:left="1418" w:header="567" w:footer="567" w:gutter="0"/>
          <w:cols w:space="720"/>
          <w:docGrid w:linePitch="326"/>
        </w:sectPr>
      </w:pPr>
    </w:p>
    <w:p w:rsidR="00E33039" w:rsidRPr="003036C8" w:rsidRDefault="00E33039" w:rsidP="003036C8">
      <w:pPr>
        <w:pStyle w:val="ATHeading3"/>
      </w:pPr>
      <w:bookmarkStart w:id="11" w:name="_Toc146806752"/>
      <w:bookmarkStart w:id="12" w:name="_Toc161843326"/>
      <w:r w:rsidRPr="003036C8">
        <w:lastRenderedPageBreak/>
        <w:t xml:space="preserve">3. </w:t>
      </w:r>
      <w:r w:rsidR="00C14878" w:rsidRPr="003036C8">
        <w:t xml:space="preserve">Ψήφισμα του Ευρωπαϊκού Κοινοβουλίου της 11ης Απριλίου 2024 </w:t>
      </w:r>
      <w:bookmarkEnd w:id="11"/>
      <w:bookmarkEnd w:id="12"/>
      <w:r w:rsidRPr="003036C8">
        <w:t>με τις παρατηρήσεις που αποτελούν αναπόσπαστο μέρος της απόφασης σχετικά με την απαλλαγή όσον αφορά την εκτέλεση του προϋπολογισμού της Ευρωπαϊκής Υπηρεσίας Ελέγχου της Αλιείας για το οικονομικό έτος 2022</w:t>
      </w:r>
      <w:r w:rsidR="00C14878" w:rsidRPr="003036C8">
        <w:t xml:space="preserve"> </w:t>
      </w:r>
      <w:r w:rsidRPr="003036C8">
        <w:t>(2023/2150(DEC))</w:t>
      </w:r>
    </w:p>
    <w:p w:rsidR="00E33039" w:rsidRPr="003036C8" w:rsidRDefault="00E33039" w:rsidP="00E33039">
      <w:pPr>
        <w:pStyle w:val="EPComma"/>
      </w:pPr>
      <w:r w:rsidRPr="003036C8">
        <w:rPr>
          <w:i/>
          <w:iCs/>
        </w:rPr>
        <w:t>Το Ευρωπαϊκό Κοινοβούλιο,</w:t>
      </w:r>
    </w:p>
    <w:p w:rsidR="00E33039" w:rsidRPr="003036C8" w:rsidRDefault="00E33039" w:rsidP="00C14878">
      <w:pPr>
        <w:pStyle w:val="NormalHanging12a"/>
        <w:widowControl/>
      </w:pPr>
      <w:r w:rsidRPr="003036C8">
        <w:t>–</w:t>
      </w:r>
      <w:r w:rsidRPr="003036C8">
        <w:tab/>
        <w:t>έχοντας υπόψη την απόφασή του σχετικά με την απαλλαγή όσον αφορά την εκτέλεση του προϋπολογισμού της Ευρωπαϊκής Υπηρεσίας Ελέγχου της Αλιείας για το οικονομικό έτος 2022,</w:t>
      </w:r>
    </w:p>
    <w:p w:rsidR="00E33039" w:rsidRPr="003036C8" w:rsidRDefault="00E33039" w:rsidP="00C14878">
      <w:pPr>
        <w:pStyle w:val="NormalHanging12a"/>
        <w:widowControl/>
      </w:pPr>
      <w:r w:rsidRPr="003036C8">
        <w:t>–</w:t>
      </w:r>
      <w:r w:rsidRPr="003036C8">
        <w:tab/>
        <w:t>έχοντας υπόψη το άρθρο 100 και το παράρτημα V του Κανονισμού του,</w:t>
      </w:r>
    </w:p>
    <w:p w:rsidR="00E33039" w:rsidRPr="003036C8" w:rsidRDefault="00E33039" w:rsidP="00C14878">
      <w:pPr>
        <w:pStyle w:val="NormalHanging12a"/>
        <w:widowControl/>
      </w:pPr>
      <w:r w:rsidRPr="003036C8">
        <w:t>–</w:t>
      </w:r>
      <w:r w:rsidRPr="003036C8">
        <w:tab/>
        <w:t>έχοντας υπόψη τη γνωμοδότηση της Επιτροπής Αλιείας,</w:t>
      </w:r>
    </w:p>
    <w:p w:rsidR="00E33039" w:rsidRPr="003036C8" w:rsidRDefault="00E33039" w:rsidP="00C14878">
      <w:pPr>
        <w:pStyle w:val="NormalHanging12a"/>
        <w:widowControl/>
      </w:pPr>
      <w:r w:rsidRPr="003036C8">
        <w:t>–</w:t>
      </w:r>
      <w:r w:rsidRPr="003036C8">
        <w:tab/>
        <w:t>έχοντας υπόψη την έκθεση της Επιτροπής Ελέγχου του Προϋπολογισμού (A9-0100/2024),</w:t>
      </w:r>
    </w:p>
    <w:p w:rsidR="00E33039" w:rsidRPr="003036C8" w:rsidRDefault="00E33039" w:rsidP="00C14878">
      <w:pPr>
        <w:widowControl/>
        <w:spacing w:after="240"/>
        <w:ind w:left="567" w:hanging="567"/>
        <w:rPr>
          <w:szCs w:val="24"/>
        </w:rPr>
      </w:pPr>
      <w:r w:rsidRPr="003036C8">
        <w:t>Α.</w:t>
      </w:r>
      <w:r w:rsidRPr="003036C8">
        <w:tab/>
        <w:t>λαμβάνοντας υπόψη ότι, σύμφωνα με την κατάσταση εσόδων και δαπανών</w:t>
      </w:r>
      <w:r w:rsidRPr="003036C8">
        <w:rPr>
          <w:szCs w:val="24"/>
          <w:vertAlign w:val="superscript"/>
        </w:rPr>
        <w:footnoteReference w:id="11"/>
      </w:r>
      <w:r w:rsidRPr="003036C8">
        <w:t xml:space="preserve"> της, ο οριστικός προϋπολογισμός της Ευρωπαϊκής Υπηρεσίας Ελέγχου της Αλιείας (</w:t>
      </w:r>
      <w:r w:rsidR="00C14878" w:rsidRPr="003036C8">
        <w:t>«</w:t>
      </w:r>
      <w:r w:rsidRPr="003036C8">
        <w:t>Υπηρεσία</w:t>
      </w:r>
      <w:r w:rsidR="00C14878" w:rsidRPr="003036C8">
        <w:t>»</w:t>
      </w:r>
      <w:r w:rsidRPr="003036C8">
        <w:t>) για το οικονομικό έτος 2022 ανήλθε σε 34 967 797 EUR, ποσό που συνιστά αύξηση κατά 61,73 % σε σύγκριση με το 2021, με αύξηση περίπου 41 % στη γενική επιδότηση της ΕΕ και σημαντική αύξηση των εσόδων ειδικού προορισμού από συμφωνίες πολυετούς συνεισφοράς και επιχορηγήσεις· λαμβάνοντας υπόψη ότι το 2021 η Ευρωπαϊκή Υπηρεσία Ελέγχου της Αλιείας ξεκίνησε να λαμβάνει από την ΕΕ πρόσθετη επιδότηση, η οποία συνδεόταν με το νομοθετικό δημοσιονομικό δελτίο για την αντιμετώπιση των κλιμακούμενων απαιτήσεων παρακολούθησης στα ύδατα της ΕΕ που γειτνιάζουν με το Ηνωμένο Βασίλειο· λαμβάνοντας υπόψη ότι περίπου το 84 % του προϋπολογισμού της Υπηρεσίας προέρχεται από τον προϋπολογισμό της Ένωσης και περίπου το 16 % από έσοδα ειδικού προορισμού·</w:t>
      </w:r>
    </w:p>
    <w:p w:rsidR="00E33039" w:rsidRPr="003036C8" w:rsidRDefault="00E33039" w:rsidP="00C14878">
      <w:pPr>
        <w:widowControl/>
        <w:spacing w:after="240"/>
        <w:ind w:left="567" w:hanging="567"/>
        <w:rPr>
          <w:szCs w:val="24"/>
        </w:rPr>
      </w:pPr>
      <w:r w:rsidRPr="003036C8">
        <w:t>Β.</w:t>
      </w:r>
      <w:r w:rsidRPr="003036C8">
        <w:tab/>
        <w:t>λαμβάνοντας υπόψη ότι το Ελεγκτικό Συνέδριο, στην έκθεσή του για τους ετήσιους λογαριασμούς της Υπηρεσίας για το οικονομικό έτος 2022 (στο εξής: η έκθεση του Ελεγκτικού Συνεδρίου), αναφέρει ότι αποκόμισε εύλογη βεβαιότητα ότι οι ετήσιοι λογαριασμοί της Υπηρεσίας είναι αξιόπιστοι και ότι οι πράξεις στις οποίες βασίζονται είναι νόμιμες και κανονικές·</w:t>
      </w:r>
    </w:p>
    <w:p w:rsidR="00E33039" w:rsidRPr="003036C8" w:rsidRDefault="00E33039" w:rsidP="00C14878">
      <w:pPr>
        <w:widowControl/>
        <w:spacing w:after="240"/>
        <w:ind w:left="567" w:hanging="567"/>
        <w:rPr>
          <w:b/>
          <w:i/>
          <w:szCs w:val="24"/>
        </w:rPr>
      </w:pPr>
      <w:r w:rsidRPr="003036C8">
        <w:rPr>
          <w:b/>
          <w:i/>
        </w:rPr>
        <w:t>Δημοσιονομική και χρηματοοικονομική διαχείριση</w:t>
      </w:r>
    </w:p>
    <w:p w:rsidR="00E33039" w:rsidRPr="003036C8" w:rsidRDefault="00E33039" w:rsidP="00C14878">
      <w:pPr>
        <w:widowControl/>
        <w:spacing w:after="240"/>
        <w:ind w:left="567" w:hanging="567"/>
        <w:rPr>
          <w:szCs w:val="24"/>
        </w:rPr>
      </w:pPr>
      <w:r w:rsidRPr="003036C8">
        <w:t>1.</w:t>
      </w:r>
      <w:r w:rsidRPr="003036C8">
        <w:tab/>
        <w:t>σημειώνει με ικανοποίηση ότι οι προσπάθειες παρακολούθησης του προϋπολογισμού στη διάρκεια του οικονομικού έτους 2022 είχαν ως αποτέλεσμα η εκτέλεση των αναλήψεων υποχρεώσεων του προϋπολογισμού για το τρέχον έτος να ανέλθει σε 99,41 %, ποσοστό το οποίο συνιστά ελαφριά αύξηση κατά 0,34 % σε σύγκριση με το 2021· σημειώνει ότι το ποσοστό εκτέλεσης των πιστώσεων πληρωμών του τρέχοντος έτους ήταν 57,78 % και αντιστοιχεί σε μείωση κατά 16,70 % σε σύγκριση με το 2021·</w:t>
      </w:r>
    </w:p>
    <w:p w:rsidR="00E33039" w:rsidRPr="003036C8" w:rsidRDefault="00E33039" w:rsidP="00C14878">
      <w:pPr>
        <w:widowControl/>
        <w:spacing w:after="240"/>
        <w:ind w:left="567" w:hanging="567"/>
        <w:rPr>
          <w:szCs w:val="24"/>
        </w:rPr>
      </w:pPr>
      <w:r w:rsidRPr="003036C8">
        <w:t>2.</w:t>
      </w:r>
      <w:r w:rsidRPr="003036C8">
        <w:tab/>
        <w:t xml:space="preserve">σημειώνει με ανησυχία ότι, σύμφωνα με το Ελεγκτικό Συνέδριο, η Υπηρεσία μετέφερε 11,9 εκατομμύρια EUR (41 %) από τις διαθέσιμες πιστώσεις ανάληψης υποχρεώσεων </w:t>
      </w:r>
      <w:r w:rsidRPr="003036C8">
        <w:lastRenderedPageBreak/>
        <w:t>του 2022 στο 2023· παρατηρεί ότι στο ποσό αυτό περιλαμβάνονταν πιστώσεις ύψους 1,6 εκατομμυρίων EUR (ή 53 %) υπό τον τίτλο ΙΙ σχετικά με διοικητικές δαπάνες (έναντι 34 % το 2021) και πιστώσεις ύψους 10,1 εκατομμυρίων ευρώ (ή 63 %) υπό τον τίτλο ΙΙΙ σχετικά με επιχειρησιακές δαπάνες (έναντι 42 % το 2021)· επισημαίνει ότι τα υψηλά ποσοστά μεταφορών στο επόμενο οικονομικό έτος αντιβαίνουν στην αρχή της ετήσιας διάρκειας του προϋπολογισμού και είναι ενδεικτικά των διαρθρωτικών προβλημάτων στη διαδικασία και τον κύκλο εκτέλεσης του προϋπολογισμού· ενημερώνεται για την απάντηση της Υπηρεσίας στο εν λόγω θέμα, στην οποία τονίζεται ότι τα υψηλά ποσοστά μεταφορών πιστώσεων του 2022 οφείλονται σε εξαιρετικά ιδιαίτερες περιστάσεις που δεν αναμένεται να επαναληφθούν·</w:t>
      </w:r>
    </w:p>
    <w:p w:rsidR="00E33039" w:rsidRPr="003036C8" w:rsidRDefault="00E33039" w:rsidP="00C14878">
      <w:pPr>
        <w:pStyle w:val="NormalHanging12a"/>
        <w:widowControl/>
      </w:pPr>
      <w:r w:rsidRPr="003036C8">
        <w:t>3.</w:t>
      </w:r>
      <w:r w:rsidRPr="003036C8">
        <w:tab/>
        <w:t>σημειώνει ότι το οικονομικό έτος 2022 χαρακτηρίστηκε από την ανάκαμψη από τις επιπτώσεις της πανδημίας</w:t>
      </w:r>
      <w:r w:rsidR="00C14878" w:rsidRPr="003036C8">
        <w:t xml:space="preserve"> της</w:t>
      </w:r>
      <w:r w:rsidRPr="003036C8">
        <w:t xml:space="preserve"> COVID-19 στα δύο προηγούμενα οικονομικά έτη, ενώ ταυτόχρονα ο προϋπολογισμός και οι πόροι της EFCA συνέχισαν να αυξάνονται για πρόσθετα καθήκοντα και έργα, όπως προβλέπεται στο ενιαίο έγγραφο προγραμματισμού της για το 2022· επισημαίνει ότι ο πόλεμος στην Ουκρανία θα μπορούσε να έχει αντίκτυπο στην αναγνώριση και την αποτίμηση ορισμένων περιουσιακών στοιχείων και υποχρεώσεων στον ισολογισμό, καθώς και σε ορισμένα έσοδα και δαπάνες που αναγνωρίζονται στην κατάσταση οικονομικών αποτελεσμάτων για τις επόμενες περιόδους αναφοράς·</w:t>
      </w:r>
    </w:p>
    <w:p w:rsidR="00E33039" w:rsidRPr="003036C8" w:rsidRDefault="00E33039" w:rsidP="00C14878">
      <w:pPr>
        <w:pStyle w:val="NormalHanging12a"/>
        <w:widowControl/>
      </w:pPr>
      <w:r w:rsidRPr="003036C8">
        <w:t>4.</w:t>
      </w:r>
      <w:r w:rsidRPr="003036C8">
        <w:tab/>
        <w:t>τονίζει ότι τα κράτη μέλη είναι πρωτίστως υπεύθυνα για τον έλεγχο των αλιευτικών δραστηριοτήτων, ενώ τα καθήκοντα της Υπηρεσίας είναι εκ φύσεως υποστηρικτικά· τονίζει ότι η πρόσφατη αναθεώρηση του ενωσιακού συστήματος ελέγχου της αλιείας θα αυξήσει σημαντικά τον φόρτο των υποστηρικτικών εργασιών της Υπηρεσίας· τονίζει πως είναι σημαντικό να λαμβάνεται υπόψη το γεγονός ότι είναι ανακόλουθο να αυξάνονται οι υποχρεώσεις χωρίς να διατίθενται επαρκείς πόροι για την εκπλήρωσή τους· τονίζει, συνεπώς, την ανάγκη οι οικονομικοί και ανθρώπινοι πόροι της Υπηρεσίας να είναι επαρκείς κατά τα προσεχή έτη·</w:t>
      </w:r>
    </w:p>
    <w:p w:rsidR="00E33039" w:rsidRPr="003036C8" w:rsidRDefault="00E33039" w:rsidP="00C14878">
      <w:pPr>
        <w:widowControl/>
        <w:spacing w:after="240"/>
        <w:ind w:left="567" w:hanging="567"/>
        <w:rPr>
          <w:b/>
          <w:i/>
          <w:szCs w:val="24"/>
        </w:rPr>
      </w:pPr>
      <w:r w:rsidRPr="003036C8">
        <w:rPr>
          <w:b/>
          <w:i/>
        </w:rPr>
        <w:t>Επιδόσεις</w:t>
      </w:r>
    </w:p>
    <w:p w:rsidR="00E33039" w:rsidRPr="003036C8" w:rsidRDefault="00E33039" w:rsidP="00C14878">
      <w:pPr>
        <w:pStyle w:val="NormalHanging12a"/>
        <w:widowControl/>
      </w:pPr>
      <w:r w:rsidRPr="003036C8">
        <w:t>5.</w:t>
      </w:r>
      <w:r w:rsidRPr="003036C8">
        <w:tab/>
        <w:t>εκφράζει την ικανοποίησή του για το γεγονός ότι το 2022 η Υπηρεσία υλοποίησε το 95,4 % του ετήσιου προγράμματος εργασίας που είχε εγκρίνει το διοικητικό συμβούλιο στο ενιαίο έγγραφο προγραμματισμού·</w:t>
      </w:r>
    </w:p>
    <w:p w:rsidR="00E33039" w:rsidRPr="003036C8" w:rsidRDefault="00E33039" w:rsidP="00C14878">
      <w:pPr>
        <w:pStyle w:val="NormalHanging12a"/>
        <w:widowControl/>
      </w:pPr>
      <w:r w:rsidRPr="003036C8">
        <w:t>6.</w:t>
      </w:r>
      <w:r w:rsidRPr="003036C8">
        <w:tab/>
        <w:t>εκφράζει την ικανοποίησή του για το γεγονός ότι η Υπηρεσία χρησιμοποιεί βασικούς δείκτες επιδόσεων για να αξιολογεί τα αποτελέσματα των εργασιών της σε δύο πρωταρχικούς τομείς: επιχειρησιακές δραστηριότητες και οριζόντιες δραστηριότητες· αναγνωρίζει επίσης ότι οι επιχειρησιακές δραστηριότητες περιλαμβάνουν βασικούς τομείς όπως η επιχειρησιακή συνεργασία, η συνδρομή στη συνεργασία, η διεθνής διάσταση και η ενωσιακή συνεργασία σχετικά με τα καθήκοντα ακτοφυλακής· λαμβάνει υπόψη ότι οι οριζόντιες δραστηριότητες περιλαμβάνουν την επικοινωνία και την εκπροσώπηση, την τεχνολογία πληροφοριών και επικοινωνιών και την ασφάλεια των πληροφοριών, καθώς και τις διοικητικές διαδικασίες και τις διαδικασίες διακυβέρνησης·</w:t>
      </w:r>
    </w:p>
    <w:p w:rsidR="00E33039" w:rsidRPr="003036C8" w:rsidRDefault="00E33039" w:rsidP="00C14878">
      <w:pPr>
        <w:pStyle w:val="NormalHanging12a"/>
        <w:widowControl/>
      </w:pPr>
      <w:r w:rsidRPr="003036C8">
        <w:t>7.</w:t>
      </w:r>
      <w:r w:rsidRPr="003036C8">
        <w:tab/>
        <w:t xml:space="preserve">παρατηρεί ότι, κατά τη διάρκεια του 2022, η Υπηρεσία έλαβε πρόσθετους πόρους που της επέτρεψαν να διαθέτει την απαραίτητη επιχειρησιακή ικανότητα για να συνδράμει τα κράτη μέλη και την Ευρωπαϊκή Επιτροπή στο πλαίσιο του καθεστώτος παρακολούθησης, ελέγχου και επιτήρησης που εφαρμόζεται στην Κοινή Αλιευτική </w:t>
      </w:r>
      <w:r w:rsidRPr="003036C8">
        <w:lastRenderedPageBreak/>
        <w:t>Πολιτική (ΚΑΠ), συμπεριλαμβανομένων των μέτρων που απορρέουν από τη συμφωνία εμπορίου και συνεργασίας (ΣΕΣ) με το Ηνωμένο Βασίλειο· σημειώνει ότι, επιπλέον, το 2022 συμμετείχε, μεταξύ άλλων, και σε τρία νέα έργα που έλαβαν επιχορηγήσεις από το Ευρωπαϊκό Ταμείο Θάλασσας, Αλιείας και Υδατοκαλλιέργειας (ΕΤΘΑΥ)· παρατηρεί ότι στα εν λόγω έργα περιλαμβάνονταν η διενέργεια μελέτης σχετικά με τη διαδικασία ζύγισης αλιευτικών προϊόντων σε ολόκληρη την Ένωση, η δημιουργία μιας εικονικής περιφερειακής ακαδημίας κατάρτισης στη Δυτική Μεσόγειο Θάλασσα για τον έλεγχο και την επιθεώρηση της αλιείας, και η διαχείριση του εγχειριδίου και του διαδικτυακού τομεακού πλαισίου επαγγελματικών προσόντων (SQF) για την ενωσιακή συνεργασία σχετικά με τα καθήκοντα ακτοφυλακής·</w:t>
      </w:r>
    </w:p>
    <w:p w:rsidR="00E33039" w:rsidRPr="003036C8" w:rsidRDefault="00E33039" w:rsidP="00C14878">
      <w:pPr>
        <w:pStyle w:val="NormalHanging12a"/>
        <w:widowControl/>
      </w:pPr>
      <w:r w:rsidRPr="003036C8">
        <w:t>8.</w:t>
      </w:r>
      <w:r w:rsidRPr="003036C8">
        <w:tab/>
        <w:t>υπενθυμίζει ότι η Υπηρεσία υποχρεούται να διενεργεί ανεξάρτητη αξιολόγηση ανά πενταετία, ανταποκρινόμενη στη νομική υποχρέωση που ορίζεται στο άρθρο 48 του κανονισμού (ΕΕ) 2019/473 του Ευρωπαϊκού Κοινοβουλίου και του Συμβουλίου</w:t>
      </w:r>
      <w:r w:rsidRPr="003036C8">
        <w:rPr>
          <w:rStyle w:val="FootnoteReference"/>
        </w:rPr>
        <w:footnoteReference w:id="12"/>
      </w:r>
      <w:r w:rsidRPr="003036C8">
        <w:t>· παρατηρεί ότι, για την περίοδο 2017-2021, ο εξωτερικός αξιολογητής παρουσίασε το σχέδιο της τελικής έκθεσής του τον Ιούλιο του 2022, το οποίο διαβίβασε στα μέλη του διοικητικού συμβουλίου για τυχόν παρατηρήσεις· σημειώνει ότι οι επιδόσεις της Υπηρεσίας αξιολογήθηκαν με γνώμονα τα πέντε κριτήρια της αποτελεσματικότητας, της αποδοτικότητας, της συνάφειας, της συνοχής και της ενωσιακής προστιθέμενης αξίας, σύμφωνα με τις κατευθυντήριες γραμμές της Ευρωπαϊκής Επιτροπής για τη βελτίωση της νομοθεσίας· επισημαίνει ότι στην έκθεση αξιολόγησης διατυπώθηκαν δέκα συστάσεις που εστιάζουν σε διάφορες πτυχές, συγκεκριμένα σε οργανωτικές πτυχές, στην καταλληλότητα του ρόλου και των δραστηριοτήτων για την επίτευξη των στόχων που ορίζονται στον κανονισμό (ΕΕ) 2019/473, καθώς και σε συγκεκριμένες δραστηριότητες της Υπηρεσίας·</w:t>
      </w:r>
    </w:p>
    <w:p w:rsidR="00E33039" w:rsidRPr="003036C8" w:rsidRDefault="00E33039" w:rsidP="00C14878">
      <w:pPr>
        <w:pStyle w:val="NormalHanging12a"/>
        <w:widowControl/>
      </w:pPr>
      <w:r w:rsidRPr="003036C8">
        <w:t>9.</w:t>
      </w:r>
      <w:r w:rsidRPr="003036C8">
        <w:tab/>
        <w:t>υπενθυμίζει τη ζωτική συμβολή της Υπηρεσίας στην εφαρμογή της ΚΑΠ, ιδίως όσον αφορά τον έλεγχο της αλιείας και την καταπολέμηση της παράνομης, αδήλωτης και ανεξέλεγκτης αλιείας· εκφράζει την ικανοποίησή του για την ενίσχυση των ναυλωμένων περιπολικών σκαφών ανοικτής θαλάσσης (OPV) της Υπηρεσίας με σκοπό τη διενέργεια αλιευτικών ελέγχων και επιθεωρήσεων σε ενωσιακά και διεθνή ύδατα και την υποστήριξη των εθνικών αρχών· υπογραμμίζει τη συμμετοχή της Υπηρεσίας σε μείζονες διεθνείς συμπράξεις κατά της παράνομης αλιείας, όπως η επιχείρηση «Πρόγραμμα για τη βελτίωση της περιφερειακής διακυβέρνησης της αλιείας στη Δυτική Αφρική» (PESCAO)·</w:t>
      </w:r>
    </w:p>
    <w:p w:rsidR="00E33039" w:rsidRPr="003036C8" w:rsidRDefault="00E33039" w:rsidP="00C14878">
      <w:pPr>
        <w:widowControl/>
        <w:spacing w:after="240"/>
        <w:ind w:left="567" w:hanging="567"/>
      </w:pPr>
      <w:r w:rsidRPr="003036C8">
        <w:t>10.</w:t>
      </w:r>
      <w:r w:rsidRPr="003036C8">
        <w:tab/>
        <w:t xml:space="preserve">σημειώνει ότι το 2022 ο Οργανισμός ανέφερε 47 592 επιθεωρήσεις (στη θάλασσα και στην ξηρά), οι οποίες οδήγησαν στον εντοπισμό 5 167 εικαζόμενων παραβάσεων, οι οποίες αντιπροσωπεύουν μείωση των επιθεωρήσεων κατά 11 % και αύξηση των εικαζόμενων παραβάσεων κατά 28 % σε σχέση με τα στοιχεία του 2021, αντίστοιχα· επισημαίνει ότι η εν λόγω </w:t>
      </w:r>
      <w:proofErr w:type="spellStart"/>
      <w:r w:rsidRPr="003036C8">
        <w:t>παρατηρηθείσα</w:t>
      </w:r>
      <w:proofErr w:type="spellEnd"/>
      <w:r w:rsidRPr="003036C8">
        <w:t xml:space="preserve"> μείωση δεν συνδέεται απαραίτητα με μείωση των προσπαθειών ελέγχου εκ μέρους των κρατών μελών· καλεί την Υπηρεσία να παράσχει λεπτομερέστερες πληροφορίες σχετικά με τους λόγους αυτών των αλλαγών· υπενθυμίζει ότι οι επιθεωρήσεις και άλλες ενέργειες </w:t>
      </w:r>
      <w:proofErr w:type="spellStart"/>
      <w:r w:rsidRPr="003036C8">
        <w:t>μεταπαρακολούθησης</w:t>
      </w:r>
      <w:proofErr w:type="spellEnd"/>
      <w:r w:rsidRPr="003036C8">
        <w:t xml:space="preserve"> διαδραματίζουν σημαντικό ρόλο όχι μόνο στην ορθή διαχείριση των αλιευτικών πόρων, αλλά και στη διασφάλιση ίσων όρων ανταγωνισμού για τους αλιείς της Ένωσης·</w:t>
      </w:r>
    </w:p>
    <w:p w:rsidR="00E33039" w:rsidRPr="003036C8" w:rsidRDefault="00E33039" w:rsidP="00C14878">
      <w:pPr>
        <w:pStyle w:val="NormalHanging12a"/>
        <w:widowControl/>
      </w:pPr>
      <w:r w:rsidRPr="003036C8">
        <w:lastRenderedPageBreak/>
        <w:t>11.</w:t>
      </w:r>
      <w:r w:rsidRPr="003036C8">
        <w:tab/>
        <w:t>επισημαίνει τον ρόλο της Υπηρεσίας στην οικοδόμηση ικανοτήτων και στην κατάρτιση που προσφέρονται σε τρίτες χώρες και τον καίριο ρόλο της Υπηρεσίας στη διασφάλιση ίσων όρων ανταγωνισμού με όλα τα παράκτια κράτη·</w:t>
      </w:r>
    </w:p>
    <w:p w:rsidR="00E33039" w:rsidRPr="003036C8" w:rsidRDefault="00E33039" w:rsidP="00C14878">
      <w:pPr>
        <w:widowControl/>
        <w:spacing w:after="240"/>
        <w:ind w:left="567" w:hanging="567"/>
        <w:rPr>
          <w:b/>
          <w:i/>
        </w:rPr>
      </w:pPr>
      <w:r w:rsidRPr="003036C8">
        <w:rPr>
          <w:b/>
          <w:i/>
        </w:rPr>
        <w:t>Αποδοτικότητα και οφέλη</w:t>
      </w:r>
    </w:p>
    <w:p w:rsidR="00E33039" w:rsidRPr="003036C8" w:rsidRDefault="00E33039" w:rsidP="00C14878">
      <w:pPr>
        <w:widowControl/>
        <w:spacing w:after="240"/>
        <w:ind w:left="567" w:hanging="567"/>
      </w:pPr>
      <w:r w:rsidRPr="003036C8">
        <w:t>12.</w:t>
      </w:r>
      <w:r w:rsidRPr="003036C8">
        <w:tab/>
        <w:t xml:space="preserve">επισημαίνει ότι η Υπηρεσία εξακολουθεί να επωφελείται από τις βελτιώσεις που προκύπτουν από την τήρηση του χάρτη πορείας της Επιτροπής καθώς χρησιμοποιεί τα υφιστάμενα εταιρικά συστήματα ΤΠ (SUMMA, ενότητες ηλεκτρονικών δημόσιων συμβάσεων πριν και μετά την ανάθεση, MIPS, AGM, ενότητες </w:t>
      </w:r>
      <w:proofErr w:type="spellStart"/>
      <w:r w:rsidRPr="003036C8">
        <w:t>Sysper</w:t>
      </w:r>
      <w:proofErr w:type="spellEnd"/>
      <w:r w:rsidRPr="003036C8">
        <w:t>, PPMT κ.λπ.)· σημειώνει ότι, εκτός από τα πλεονεκτήματα που διαπιστώθηκαν όσον αφορά την ενοποίηση όλων αυτών των συστημάτων, υπάρχουν σαφή οφέλη όσον αφορά τη μείωση του κόστους συντήρησης για την υποστήριξη των τροποποιήσεων και των επικαιροποιήσεων·</w:t>
      </w:r>
    </w:p>
    <w:p w:rsidR="00E33039" w:rsidRPr="003036C8" w:rsidRDefault="00E33039" w:rsidP="00C14878">
      <w:pPr>
        <w:widowControl/>
        <w:spacing w:after="240"/>
        <w:ind w:left="567" w:hanging="567"/>
      </w:pPr>
      <w:r w:rsidRPr="003036C8">
        <w:t>13.</w:t>
      </w:r>
      <w:r w:rsidRPr="003036C8">
        <w:tab/>
        <w:t>εκφράζει την ικανοποίησή του για το γεγονός ότι η Υπηρεσία αποδέχεται τις προσκλήσεις για διοργανικούς διαγωνισμούς που λαμβάνει από την Επιτροπή και άλλους οργανισμούς ή υπηρεσίες· σημειώνει ότι, επί του παρόντος, η Υπηρεσία χρησιμοποιεί πάνω από 45 συμβάσεις-πλαίσια που έχουν υπογραφεί από άλλες οντότητες· σημειώνει ότι αυτό έχει ως αποτέλεσμα την εκ περιτροπής ανάληψη ηγετικού ρόλου μεταξύ των οργανισμών και υπηρεσιών και την αύξηση της αποτελεσματικότητας στις προσπάθειες σύναψης συμβάσεων των οργανισμών συνολικά·</w:t>
      </w:r>
    </w:p>
    <w:p w:rsidR="00E33039" w:rsidRPr="003036C8" w:rsidRDefault="00E33039" w:rsidP="00C14878">
      <w:pPr>
        <w:widowControl/>
        <w:spacing w:after="240"/>
        <w:ind w:left="567" w:hanging="567"/>
      </w:pPr>
      <w:r w:rsidRPr="003036C8">
        <w:t>14.</w:t>
      </w:r>
      <w:r w:rsidRPr="003036C8">
        <w:tab/>
        <w:t>εφιστά την προσοχή στη συγκέντρωση των κοινών διοικητικών καθηκόντων, η οποία οδήγησε επίσης σε βελτίωση της αποτελεσματικότητας· σημειώνει ότι η έναρξη και επαλήθευση οικονομικών πράξεων εξακολουθούν να πραγματοποιούνται σε κεντρικό επίπεδο, κάτι το οποίο καθιστά δυνατό τον μεγαλύτερο έλεγχο των συναλλαγών λόγω εναρμονισμένης μεθοδολογίας και συγκέντρωσης των πληροφοριών σε αυτούς τους τομείς·</w:t>
      </w:r>
    </w:p>
    <w:p w:rsidR="00E33039" w:rsidRPr="003036C8" w:rsidRDefault="00E33039" w:rsidP="00C14878">
      <w:pPr>
        <w:widowControl/>
        <w:spacing w:after="240"/>
        <w:ind w:left="567" w:hanging="567"/>
      </w:pPr>
      <w:r w:rsidRPr="003036C8">
        <w:t>15.</w:t>
      </w:r>
      <w:r w:rsidRPr="003036C8">
        <w:tab/>
        <w:t>σημειώνει ότι μια άλλη βελτίωση της αποτελεσματικότητας στον τομέα των ανθρώπινων πόρων επιτυγχάνεται με τη χρήση των υφιστάμενων εφεδρικών πινάκων προσλήψεων από κοινού με άλλους οργανισμούς και υπηρεσίες όταν το προφίλ του εφεδρικού πίνακα επιτυχόντων ανταποκρίνεται στις ανάγκες του αιτούντος οργανισμού· σημειώνει ότι η πρακτική αυτή επιτρέπει τη χρήση του εφεδρικού πίνακα άλλου οργανισμού, χωρίς να χρειάζεται να οργανωθεί διαδικασία πρόσληψης για την οποία θα δαπανηθούν πόροι·</w:t>
      </w:r>
    </w:p>
    <w:p w:rsidR="00E33039" w:rsidRPr="003036C8" w:rsidRDefault="00E33039" w:rsidP="00C14878">
      <w:pPr>
        <w:pStyle w:val="NormalHanging12a"/>
        <w:widowControl/>
      </w:pPr>
      <w:r w:rsidRPr="003036C8">
        <w:t>16.</w:t>
      </w:r>
      <w:r w:rsidRPr="003036C8">
        <w:tab/>
        <w:t>σημειώνει τη συνεχιζόμενη συνεργασία της Υπηρεσίας με τον Ευρωπαϊκό Οργανισμό Συνοριοφυλακής και Ακτοφυλακής (</w:t>
      </w:r>
      <w:proofErr w:type="spellStart"/>
      <w:r w:rsidRPr="003036C8">
        <w:t>Frontex</w:t>
      </w:r>
      <w:proofErr w:type="spellEnd"/>
      <w:r w:rsidRPr="003036C8">
        <w:t>) και με τον Ευρωπαϊκό Οργανισμό για την Ασφάλεια στη Θάλασσα (EMSA) με στόχο τη στήριξη των εθνικών αρχών που εκτελούν καθήκοντα ακτοφυλακής, σύμφωνα με το άρθρο 8 του κανονισμού (ΕΕ) 2019/473· θεωρεί ότι η συνεργασία αυτή αποτελεί υπόδειγμα συνέργειας μεταξύ οργανισμών της Ένωσης και θα πρέπει να χρησιμεύσει ως πηγή έμπνευσης και για άλλους οργανισμούς σε άλλους τομείς· καλεί την Υπηρεσία να συνεχίσει τις προσπάθειές της στον τομέα αυτόν και θεωρεί σκόπιμο να ενισχυθεί επίσης η συνεργασία μεταξύ της Υπηρεσίας και του Ευρωπαϊκού Οργανισμού Περιβάλλοντος·</w:t>
      </w:r>
    </w:p>
    <w:p w:rsidR="00E33039" w:rsidRPr="003036C8" w:rsidRDefault="00E33039" w:rsidP="00C14878">
      <w:pPr>
        <w:widowControl/>
        <w:spacing w:after="240"/>
        <w:ind w:left="567" w:hanging="567"/>
        <w:rPr>
          <w:b/>
          <w:i/>
          <w:szCs w:val="24"/>
        </w:rPr>
      </w:pPr>
      <w:r w:rsidRPr="003036C8">
        <w:rPr>
          <w:b/>
          <w:i/>
        </w:rPr>
        <w:t>Πολιτική προσωπικού</w:t>
      </w:r>
    </w:p>
    <w:p w:rsidR="00E33039" w:rsidRPr="003036C8" w:rsidRDefault="00E33039" w:rsidP="00C14878">
      <w:pPr>
        <w:widowControl/>
        <w:spacing w:after="240"/>
        <w:ind w:left="567" w:hanging="567"/>
        <w:rPr>
          <w:szCs w:val="24"/>
        </w:rPr>
      </w:pPr>
      <w:r w:rsidRPr="003036C8">
        <w:lastRenderedPageBreak/>
        <w:t>17.</w:t>
      </w:r>
      <w:r w:rsidRPr="003036C8">
        <w:tab/>
        <w:t>σημειώνει ότι, στις 31 Δεκεμβρίου 2022, το ποσοστό κάλυψης του πίνακα προσωπικού ήταν 96,10 % και ότι από τις 77 θέσεις έκτακτων υπαλλήλων που είχαν εγκριθεί στον προϋπολογισμό της Ένωσης (65 εγκεκριμένες θέσεις το 2021) είχαν καλυφθεί οι 74· σημειώνει ότι το 2022 εργάστηκαν, επιπλέον, για την Υπηρεσία 11 συμβασιούχοι υπάλληλοι, 6 αποσπασμένοι εθνικοί εμπειρογνώμονες και 16 προσωρινοί υπάλληλοι και σύμβουλοι· σημειώνει, επιπλέον, ότι συνολικά 13 συμβασιούχοι υπάλληλοι έλαβαν στήριξη από ad hoc επιχορηγήσεις και συμφωνίες συνεισφοράς σε διάφορα έργα·</w:t>
      </w:r>
    </w:p>
    <w:p w:rsidR="00E33039" w:rsidRPr="003036C8" w:rsidRDefault="00E33039" w:rsidP="00C14878">
      <w:pPr>
        <w:widowControl/>
        <w:spacing w:after="240"/>
        <w:ind w:left="567" w:hanging="567"/>
        <w:rPr>
          <w:szCs w:val="24"/>
        </w:rPr>
      </w:pPr>
      <w:r w:rsidRPr="003036C8">
        <w:t>18.</w:t>
      </w:r>
      <w:r w:rsidRPr="003036C8">
        <w:tab/>
        <w:t>ενημερώνεται για την αναδιοργάνωση που πραγματοποιήθηκε τον Φεβρουάριο του 2022 με σκοπό την προσαρμογή στα πρόσθετα καθήκοντα και τους πόρους που διατίθενται στην Υπηρεσία για την ενίσχυση της αναγκαίας επιχειρησιακής ικανότητας για την παροχή βοήθειας στην παρακολούθηση, τον έλεγχο και την επιτήρηση της αλιείας, όπως απαιτείται από την Κοινή Αλιευτική Πολιτική (ΚΑΠ), συμπεριλαμβανομένων των μέτρων που συνεπάγεται η συμφωνία εμπορίου και συνεργασίας (ΣΕΣ) με το Ηνωμένο Βασίλειο, και διάφορα νέα έργα στο πλαίσιο των συμφωνιών συνεισφοράς· επισημαίνει ότι το προσωπικό αυξήθηκε σχεδόν κατά 50 % σε σύγκριση με τις αρχές του 2021, συμπεριλαμβανομένων των έκτακτων υπαλλήλων, των συμβασιούχων υπαλλήλων και των αποσπασμένων εθνικών εμπειρογνωμόνων·</w:t>
      </w:r>
    </w:p>
    <w:p w:rsidR="00E33039" w:rsidRPr="003036C8" w:rsidRDefault="00E33039" w:rsidP="00C14878">
      <w:pPr>
        <w:pStyle w:val="NormalHanging12a"/>
        <w:widowControl/>
      </w:pPr>
      <w:r w:rsidRPr="003036C8">
        <w:t>19.</w:t>
      </w:r>
      <w:r w:rsidRPr="003036C8">
        <w:tab/>
        <w:t>λαμβάνει υπόψη την πολιτική της Υπηρεσίας για την προώθηση της ίσης μεταχείρισης των μελών του προσωπικού και την επιδίωξη του στόχου για ισόρροπη εκπροσώπηση των φύλων τόσο αριθμητικά όσο και σε σχέση με τον βαθμό και το επίπεδο ευθύνης· αναγνωρίζει την ισόρροπη εκπροσώπηση των φύλων στο συνολικό προσωπικό της Υπηρεσίας, όπου 54 από τα συνολικά 106 μέλη του προσωπικού είναι γυναίκες (51 %)· εκφράζει αποδοκιμασία για το γεγονός ότι το ποσοστό των γυναικών που είχαν βαθμό AD 8 (ομάδα καθηκόντων διοικητικών υπαλλήλων, βαθμός 8) και υψηλότερο ήταν μόλις 38 % (όπως και το 2021)· υπενθυμίζει ότι είναι σημαντικό να διασφαλιστεί η ισόρροπη εκπροσώπηση των φύλων και καλεί την Υπηρεσία να λαμβάνει υπόψη την πτυχή αυτή όσον αφορά τους διορισμούς των ανώτερων και μεσαίων διευθυντικών στελεχών της· σημειώνει ότι, παρόλο που η Υπηρεσία δεν υιοθέτησε τον «Χάρτη για τη διαφορετικότητα και τη συμπερίληψη» το 2022, οι δράσεις της αποσκοπούσαν στη συμμόρφωση με τον στόχο 5 των Στόχων Βιώσιμης Ανάπτυξης για την ισότητα των φύλων, όπως αναφέρεται στους στόχους της·</w:t>
      </w:r>
    </w:p>
    <w:p w:rsidR="00E33039" w:rsidRPr="003036C8" w:rsidRDefault="00E33039" w:rsidP="00C14878">
      <w:pPr>
        <w:pStyle w:val="NormalHanging12a"/>
        <w:widowControl/>
      </w:pPr>
      <w:r w:rsidRPr="003036C8">
        <w:t>20.</w:t>
      </w:r>
      <w:r w:rsidRPr="003036C8">
        <w:tab/>
        <w:t>σημειώνει ότι στις 31 Δεκεμβρίου 2022 η Υπηρεσία απασχολούσε προσωπικό από 18 κράτη μέλη· σημειώνει ότι το 33 % του προσωπικού της είναι υπήκοοι του κράτους μέλους στο οποίο έχει την έδρα της η Υπηρεσία· υπενθυμίζει τη σημασία της γεωγραφικής ισορροπίας και ενθαρρύνει την Υπηρεσία να συνεχίσει να λαμβάνει τα αναγκαία μέτρα για την ισόρροπη και δίκαιη γεωγραφική εκπροσώπηση·</w:t>
      </w:r>
    </w:p>
    <w:p w:rsidR="00E33039" w:rsidRPr="003036C8" w:rsidRDefault="00E33039" w:rsidP="00C14878">
      <w:pPr>
        <w:pStyle w:val="NormalHanging12a"/>
        <w:widowControl/>
      </w:pPr>
      <w:r w:rsidRPr="003036C8">
        <w:t>21.</w:t>
      </w:r>
      <w:r w:rsidRPr="003036C8">
        <w:tab/>
        <w:t>σημειώνει ότι, από την 1η Οκτωβρίου 2022, η Υπηρεσία εφαρμόζει κατ’ αναλογία τους κανόνες της Ευρωπαϊκής Επιτροπής σχετικά με τον χρόνο εργασίας και την υβριδική εργασία·</w:t>
      </w:r>
    </w:p>
    <w:p w:rsidR="00E33039" w:rsidRPr="003036C8" w:rsidRDefault="00E33039" w:rsidP="00C14878">
      <w:pPr>
        <w:pStyle w:val="NormalHanging12a"/>
        <w:widowControl/>
      </w:pPr>
      <w:r w:rsidRPr="003036C8">
        <w:t>22.</w:t>
      </w:r>
      <w:r w:rsidRPr="003036C8">
        <w:tab/>
        <w:t xml:space="preserve">παρατηρεί ότι το 2022 η εφαρμογή του συστήματος διαχείρισης προσωπικού SYSPER περιλάμβανε την προσθήκη της «άδειας για προσωπικούς λόγους» (CCP), την προσθήκη «εκκαθαριστικών σημειωμάτων μισθοδοσίας βάσει του συστήματος ψηφιοποίησης των αρχείων προσωπικού (NDP)» για τους έκτακτους και τους συμβασιούχους υπαλλήλους, την ανάπτυξη μιας νέας λειτουργίας που επιτρέπει σε έκτακτους και συμβασιούχους υπαλλήλους να ζητήσουν να </w:t>
      </w:r>
      <w:proofErr w:type="spellStart"/>
      <w:r w:rsidRPr="003036C8">
        <w:t>τηλεργαστούν</w:t>
      </w:r>
      <w:proofErr w:type="spellEnd"/>
      <w:r w:rsidRPr="003036C8">
        <w:t xml:space="preserve"> από το εξωτερικό (περιστασιακή τηλεργασία), καθώς και μια «προσωρινή» ροή εργασίας </w:t>
      </w:r>
      <w:r w:rsidRPr="003036C8">
        <w:lastRenderedPageBreak/>
        <w:t xml:space="preserve">(ADI)· επιπλέον, εφαρμόστηκαν οι λειτουργίες του </w:t>
      </w:r>
      <w:proofErr w:type="spellStart"/>
      <w:r w:rsidRPr="003036C8">
        <w:t>Sysper</w:t>
      </w:r>
      <w:proofErr w:type="spellEnd"/>
      <w:r w:rsidRPr="003036C8">
        <w:t xml:space="preserve"> που σχετίζονται με την εφαρμογή νέων κανόνων για τον χρόνο εργασίας και την υβριδική εργασία, άρχισε να χρησιμοποιείται η λειτουργία STAGE, ενώ έγινε η απαραίτητη προετοιμασία για τη μελλοντική χρήση των λειτουργιών EVAL και OBJ·</w:t>
      </w:r>
    </w:p>
    <w:p w:rsidR="00E33039" w:rsidRPr="003036C8" w:rsidRDefault="00E33039" w:rsidP="00C14878">
      <w:pPr>
        <w:pStyle w:val="NormalHanging12a"/>
        <w:widowControl/>
        <w:rPr>
          <w:b/>
          <w:i/>
          <w:szCs w:val="24"/>
        </w:rPr>
      </w:pPr>
      <w:r w:rsidRPr="003036C8">
        <w:rPr>
          <w:b/>
          <w:i/>
        </w:rPr>
        <w:t>Πρόληψη και διαχείριση συγκρούσεων συμφερόντων και διαφάνεια</w:t>
      </w:r>
    </w:p>
    <w:p w:rsidR="00E33039" w:rsidRPr="003036C8" w:rsidRDefault="00E33039" w:rsidP="00C14878">
      <w:pPr>
        <w:pStyle w:val="NormalHanging12a"/>
        <w:widowControl/>
        <w:rPr>
          <w:szCs w:val="24"/>
        </w:rPr>
      </w:pPr>
      <w:r w:rsidRPr="003036C8">
        <w:t>23.</w:t>
      </w:r>
      <w:r w:rsidRPr="003036C8">
        <w:tab/>
        <w:t xml:space="preserve">γνωρίζει ότι η Υπηρεσία δημοσιεύει στον </w:t>
      </w:r>
      <w:proofErr w:type="spellStart"/>
      <w:r w:rsidRPr="003036C8">
        <w:t>ιστότοπό</w:t>
      </w:r>
      <w:proofErr w:type="spellEnd"/>
      <w:r w:rsidRPr="003036C8">
        <w:t xml:space="preserve"> της τη δήλωση συμφερόντων και τα βιογραφικά σημειώματα των μελών του διοικητικού συμβουλίου και των ανώτερων διοικητικών στελεχών της· σημειώνει, επιπλέον, ότι η Υπηρεσία επικαιροποιεί τακτικά τον πίνακα με όλες τις συνεδριάσεις που </w:t>
      </w:r>
      <w:proofErr w:type="spellStart"/>
      <w:r w:rsidRPr="003036C8">
        <w:t>συγκαλούνται</w:t>
      </w:r>
      <w:proofErr w:type="spellEnd"/>
      <w:r w:rsidRPr="003036C8">
        <w:t xml:space="preserve"> μεταξύ της εκτελεστικής διευθύντριάς της και του προσωπικού με οργανώσεις και αυτοαπασχολούμενα άτομα που συμμετέχουν στη χάραξη και την εφαρμογή των πολιτικών της Ένωσης, ώστε να διασφαλίζεται πλήρης διαφάνεια και εμπιστοσύνη στη δραστηριότητα της Υπηρεσίας και επισημαίνει ότι ο πίνακας αυτός είναι διαθέσιμος στον </w:t>
      </w:r>
      <w:proofErr w:type="spellStart"/>
      <w:r w:rsidRPr="003036C8">
        <w:t>ιστότοπό</w:t>
      </w:r>
      <w:proofErr w:type="spellEnd"/>
      <w:r w:rsidRPr="003036C8">
        <w:t xml:space="preserve"> της·</w:t>
      </w:r>
    </w:p>
    <w:p w:rsidR="00E33039" w:rsidRPr="003036C8" w:rsidRDefault="00E33039" w:rsidP="00C14878">
      <w:pPr>
        <w:pStyle w:val="NormalHanging12a"/>
        <w:widowControl/>
      </w:pPr>
      <w:r w:rsidRPr="003036C8">
        <w:t>24.</w:t>
      </w:r>
      <w:r w:rsidRPr="003036C8">
        <w:tab/>
        <w:t>ζητά από την Υπηρεσία να συνεχίσει να επικαιροποιεί τακτικά και να δημοσιοποιεί στοιχεία σχετικά με σχετικές συναντήσεις της εκτελεστικής διευθύντριας και του προσωπικού με οργανώσεις ή αυτοαπασχολούμενα άτομα που συμμετέχουν στη χάραξη και την εφαρμογή των πολιτικών της Ένωσης ώστε να διασφαλίζεται πλήρης διαφάνεια και εμπιστοσύνη στη δραστηριότητα της Υπηρεσίας·</w:t>
      </w:r>
    </w:p>
    <w:p w:rsidR="00E33039" w:rsidRPr="003036C8" w:rsidRDefault="00E33039" w:rsidP="00C14878">
      <w:pPr>
        <w:pStyle w:val="NormalHanging12a"/>
        <w:widowControl/>
        <w:rPr>
          <w:szCs w:val="24"/>
        </w:rPr>
      </w:pPr>
      <w:r w:rsidRPr="003036C8">
        <w:t>25.</w:t>
      </w:r>
      <w:r w:rsidRPr="003036C8">
        <w:tab/>
        <w:t xml:space="preserve">σημειώνει ότι η Υπηρεσία εφαρμόζει την πολιτική της για τη σύγκρουση συμφερόντων στο προσωπικό της, στους αποσπασμένους εθνικούς εμπειρογνώμονες, στους αμειβόμενους εξωτερικούς εμπειρογνώμονες, στους ασκούμενους και στα μέλη του διοικητικού και του γνωμοδοτικού συμβουλίου· σημειώνει ότι η εν λόγω πολιτική κοινοποιείται στο προσωπικό της μέσω του </w:t>
      </w:r>
      <w:proofErr w:type="spellStart"/>
      <w:r w:rsidRPr="003036C8">
        <w:t>ενδοδικτύου</w:t>
      </w:r>
      <w:proofErr w:type="spellEnd"/>
      <w:r w:rsidRPr="003036C8">
        <w:t xml:space="preserve"> και της κατάρτισης που προσφέρει και ότι λοιποί υπάλληλοι και εμπειρογνώμονες δεσμεύονται να συμμορφώνονται με αυτή υπογράφοντας δηλώσεις και δεσμεύσεις εμπιστευτικότητας· σημειώνει, επιπλέον, ότι στους γενικούς όρους των συμβάσεων της Υπηρεσίας προβλέπονται ειδικές διατάξεις σχετικά με τη σύγκρουση συμφερόντων για τους εργολήπτες της Υπηρεσίας, συμπεριλαμβανομένου του προσωρινού προσωπικού που παρέχει υπηρεσίες·</w:t>
      </w:r>
    </w:p>
    <w:p w:rsidR="00E33039" w:rsidRPr="003036C8" w:rsidRDefault="00E33039" w:rsidP="00C14878">
      <w:pPr>
        <w:pStyle w:val="NormalHanging12a"/>
        <w:widowControl/>
        <w:rPr>
          <w:szCs w:val="24"/>
        </w:rPr>
      </w:pPr>
      <w:r w:rsidRPr="003036C8">
        <w:t>26.</w:t>
      </w:r>
      <w:r w:rsidRPr="003036C8">
        <w:tab/>
        <w:t>αναγνωρίζει ότι η Υπηρεσία εφαρμόζει από το 2014 στρατηγική για την καταπολέμηση της απάτης, η οποία επικαιροποιείται τακτικά και επί του παρόντος επικεντρώνεται στην υλοποίηση δράσεων για τον μετριασμό των κινδύνων απάτης που έχουν εντοπιστεί στις σχετικές εκτιμήσεις κινδύνου· σημειώνει ότι η τελευταία επικαιροποίηση το 2022, που εγκρίθηκε από το διοικητικό συμβούλιο, τονίζει τις συνεχείς προσπάθειες για την αύξηση της ευαισθητοποίησης σχετικά με τη δεοντολογία και την ακεραιότητα·</w:t>
      </w:r>
    </w:p>
    <w:p w:rsidR="00E33039" w:rsidRPr="003036C8" w:rsidRDefault="00E33039" w:rsidP="00C14878">
      <w:pPr>
        <w:widowControl/>
        <w:spacing w:after="240"/>
        <w:ind w:left="567" w:hanging="567"/>
        <w:rPr>
          <w:szCs w:val="24"/>
        </w:rPr>
      </w:pPr>
      <w:r w:rsidRPr="003036C8">
        <w:rPr>
          <w:b/>
          <w:i/>
        </w:rPr>
        <w:t>Σύναψη συμβάσεων</w:t>
      </w:r>
    </w:p>
    <w:p w:rsidR="00E33039" w:rsidRPr="003036C8" w:rsidRDefault="00E33039" w:rsidP="00C14878">
      <w:pPr>
        <w:widowControl/>
        <w:spacing w:after="240"/>
        <w:ind w:left="567" w:hanging="567"/>
        <w:rPr>
          <w:szCs w:val="24"/>
        </w:rPr>
      </w:pPr>
      <w:r w:rsidRPr="003036C8">
        <w:t>27.</w:t>
      </w:r>
      <w:r w:rsidRPr="003036C8">
        <w:tab/>
        <w:t xml:space="preserve">σημειώνει ότι, σύμφωνα με το Ελεγκτικό Συνέδριο, το 2022 η Υπηρεσία υπέγραψε σύμβαση-πλαίσιο αξίας 90 εκατομμυρίων EUR για τη ναύλωση τριών περιπολικών σκαφών ανοικτής θαλάσσης, για αρχική διάρκεια 24 μηνών, η οποία ανανεώνεται σιωπηρά τέσσερις φορές, κάθε φορά για επιπλέον 12 μήνες, έως έξι έτη συνολικά· υπενθυμίζει ότι στο σημείο 1.1 του παραρτήματος 1 του κανονισμού (ΕΕ, Ευρατόμ) </w:t>
      </w:r>
      <w:r w:rsidRPr="003036C8">
        <w:lastRenderedPageBreak/>
        <w:t>2018/1046 του Ευρωπαϊκού Κοινοβουλίου και του Συμβουλίου</w:t>
      </w:r>
      <w:r w:rsidRPr="003036C8">
        <w:rPr>
          <w:rStyle w:val="FootnoteReference"/>
          <w:szCs w:val="24"/>
        </w:rPr>
        <w:footnoteReference w:id="13"/>
      </w:r>
      <w:r w:rsidRPr="003036C8">
        <w:t xml:space="preserve"> (δημοσιονομικού κανονισμού) προβλέπεται η σύναψη συμβάσεων-πλαισίων διάρκειας άνω των τεσσάρων ετών, αλλά μόνο σε εξαιρετικές, δεόντως αιτιολογημένες περιπτώσεις. σημειώνει ότι ως αιτιολογία για την παράταση της σύμβασης η Υπηρεσία </w:t>
      </w:r>
      <w:proofErr w:type="spellStart"/>
      <w:r w:rsidRPr="003036C8">
        <w:t>προέβαλε</w:t>
      </w:r>
      <w:proofErr w:type="spellEnd"/>
      <w:r w:rsidRPr="003036C8">
        <w:t xml:space="preserve"> την ανάγκη να εξασφαλιστεί η επαρκής απόδοση της επένδυσης για τους αναδόχους, οι οποίοι ήταν υποχρεωμένοι να εξοπλίσουν τα σκάφη με φουσκωτές λέμβους σταθερής γάστρας· σημειώνει, επιπλέον, ότι το Ελεγκτικό Συνέδριο έκρινε ότι η αιτιολόγηση αυτή ήταν ανεπαρκής, διότι το κόστος εξοπλισμού εκτιμήθηκε σε μόλις 1 % περίπου της συνολικής αξίας της σύμβασης και, επιπλέον, η Υπηρεσία είχε τη δυνατότητα να καταγγείλει τη σύμβαση μονομερώς μετά τα πρώτα δύο έτη και κάθε επόμενο έτος, γεγονός που αποδυναμώνει το επιχείρημα ότι ο ανάδοχος χρειαζόταν εγγυημένη εξαετή διάρκεια σύμβασης για να εξασφαλίσει την απόδοση της επένδυσης· επισημαίνει ότι το Ελεγκτικό Συνέδριο θα θεωρήσει παράτυπες τις επακόλουθες σχετικές πληρωμές αν η σύμβαση παραταθεί πέραν του ορίου των τεσσάρων ετών· παρατηρεί ότι, σύμφωνα με την Υπηρεσία, κατά την προετοιμασία της διαδικασίας η Υπηρεσία έκρινε ότι η κανονική τετραετής διάρκεια της σύμβασης δεν θα μπορούσε να θεωρηθεί από την αγορά ως επαρκής απόδοση της επένδυσης και ότι η αποτελεσματική εφαρμογή και συνέχεια των υπηρεσιών που καλύπτονται από τη σχετική συμφωνία-πλαίσιο είναι ζωτικής σημασίας για τη βασική δραστηριότητά της·</w:t>
      </w:r>
    </w:p>
    <w:p w:rsidR="00E33039" w:rsidRPr="003036C8" w:rsidRDefault="00E33039" w:rsidP="00C14878">
      <w:pPr>
        <w:widowControl/>
        <w:spacing w:after="240"/>
        <w:ind w:left="567" w:hanging="567"/>
        <w:rPr>
          <w:szCs w:val="24"/>
        </w:rPr>
      </w:pPr>
      <w:r w:rsidRPr="003036C8">
        <w:t>28.</w:t>
      </w:r>
      <w:r w:rsidRPr="003036C8">
        <w:tab/>
        <w:t>υπενθυμίζει ότι είναι σημαντικό να διασφαλίζονται σε όλες τις διαδικασίες σύναψης συμβάσεων ο θεμιτός ανταγωνισμός μεταξύ των προσφερόντων και η προμήθεια αγαθών και η παροχή υπηρεσιών στην πλέον συμφέρουσα τιμή, με παράλληλη τήρηση των αρχών της διαφάνειας, της αναλογικότητας, της ίσης μεταχείρισης και της απαγόρευσης των διακρίσεων· καλεί την Υπηρεσία να βελτιώσει αυτές τις διαδικασίες, διασφαλίζοντας την πλήρη συμμόρφωση τους με τους ισχύοντες κανόνες ώστε με τους δημόσιους πόρους να επιτυγχάνεται η μεγαλύτερη δυνατή αξία·</w:t>
      </w:r>
    </w:p>
    <w:p w:rsidR="00E33039" w:rsidRPr="003036C8" w:rsidRDefault="00E33039" w:rsidP="00C14878">
      <w:pPr>
        <w:widowControl/>
        <w:spacing w:after="240"/>
        <w:ind w:left="567" w:hanging="567"/>
        <w:rPr>
          <w:b/>
          <w:i/>
          <w:szCs w:val="24"/>
        </w:rPr>
      </w:pPr>
      <w:r w:rsidRPr="003036C8">
        <w:rPr>
          <w:b/>
          <w:i/>
        </w:rPr>
        <w:t>Εσωτερικός έλεγχος</w:t>
      </w:r>
    </w:p>
    <w:p w:rsidR="00E33039" w:rsidRPr="003036C8" w:rsidRDefault="00E33039" w:rsidP="00C14878">
      <w:pPr>
        <w:widowControl/>
        <w:spacing w:after="240"/>
        <w:ind w:left="567" w:hanging="567"/>
        <w:rPr>
          <w:szCs w:val="24"/>
        </w:rPr>
      </w:pPr>
      <w:r w:rsidRPr="003036C8">
        <w:t>29.</w:t>
      </w:r>
      <w:r w:rsidRPr="003036C8">
        <w:tab/>
        <w:t>εκφράζει την ανησυχία του σχετικά με τη διαπίστωση του Ελεγκτικού Συνεδρίου ότι από τις διαδικασίες που είχαν εφαρμοστεί για την επιλογή και τη σύναψη συμβάσεων με εξωτερικούς εμπειρογνώμονες απουσίαζε συστηματικά η επαρκής διαδρομή ελέγχου, όπως ορίζεται στο άρθρο 36 παράγραφος 3 του δημοσιονομικού κανονισμού· σημειώνει ότι, συγκεκριμένα, δεν συγκεντρώθηκαν επαρκή στοιχεία που να αποδεικνύουν ότι η ανάθεση καθηκόντων σε εμπειρογνώμονες βασιζόταν σε προκαθορισμένα κριτήρια επιλογής που άπτονταν των σχετικών προσόντων τους, ούτε ότι είχαν τηρηθεί οι αρχές της απαγόρευσης των διακρίσεων και της ίσης μεταχείρισης που ορίζονται στο άρθρο 237 του δημοσιονομικού κανονισμού· καλεί την Υπηρεσία να ενισχύσει τις εσωτερικές διαδικασίες της για την επιλογή και τη σύναψη συμβάσεων με εξωτερικούς εμπειρογνώμονες και να ενημερώσει την αρμόδια για την απαλλαγή αρχή σχετικά με τυχόν μέτρα που έχουν ληφθεί στο πλαίσιο αυτό·</w:t>
      </w:r>
    </w:p>
    <w:p w:rsidR="00E33039" w:rsidRPr="003036C8" w:rsidRDefault="00E33039" w:rsidP="00C14878">
      <w:pPr>
        <w:widowControl/>
        <w:spacing w:after="240"/>
        <w:ind w:left="567" w:hanging="567"/>
        <w:rPr>
          <w:szCs w:val="24"/>
        </w:rPr>
      </w:pPr>
      <w:r w:rsidRPr="003036C8">
        <w:lastRenderedPageBreak/>
        <w:t>30.</w:t>
      </w:r>
      <w:r w:rsidRPr="003036C8">
        <w:tab/>
        <w:t>σημειώνει με ανησυχία ότι, σύμφωνα με το Ελεγκτικό Συνέδριο, τον Μάιο του 2022 η Υπηρεσία κίνησε διαδικασία με διαπραγμάτευση χωρίς να έχει προηγηθεί δημοσίευση προκήρυξης διαγωνισμού για τη μίσθωση περιπολικού σκάφους ανοικτής θάλασσας που θα χρησιμοποιείται στα ύδατα μεταξύ της Ένωσης και του Ηνωμένου Βασιλείου, υπογράφοντας τη σύμβαση τον Ιούνιο του 2022 προκειμένου να καλύψει το κενό μεταξύ της προηγούμενης και της νέας σύμβασης στο πλαίσιο μιας εν εξελίξει ανοικτής διαδικασίας, η οποία διήρκεσε περισσότερο από ό,τι αναμενόταν αρχικά· σημειώνει ότι η Υπηρεσία αιτιολόγησε τον επείγοντα χαρακτήρα της διαδικασίας επικαλούμενη εξαίρεση που οφείλεται σε απρόβλεπτα γεγονότα, η οποία επιτρέπεται βάσει του σημείου 11.1 στοιχείο γ) του παραρτήματος Ι του δημοσιονομικού κανονισμού· σημειώνει ότι το Ελεγκτικό Συνέδριο κατέληξε στο συμπέρασμα ότι, ενώ ορισμένοι από τους παράγοντες που προκάλεσαν αυτή την επείγουσα ανάγκη ενδέχεται να μην μπορούσαν να προβλεφθούν, ορισμένοι άλλοι θα μπορούσαν να είχαν προβλεφθεί και ότι το γεγονός ότι δεν ελήφθησαν επαρκώς υπόψη υποδηλώνει αδυναμία της Υπηρεσίας όσον αφορά τον σχεδιασμό και τη διαχείριση της διαδικασίας σύναψης σύμβασης για τη ναύλωση των τριών σκαφών· καλεί την Υπηρεσία να αντιμετωπίσει και να διορθώσει τις αδυναμίες στον σχεδιασμό και τη διαχείριση των διαδικασιών σύναψης συμβάσεων, όπως υποδεικνύεται από το Ελεγκτικό Συνέδριο, και να ενημερώσει το συντομότερο δυνατόν την αρμόδια για την απαλλαγή αρχή σχετικά με τα μέτρα που έλαβε στο πλαίσιο αυτό·</w:t>
      </w:r>
    </w:p>
    <w:p w:rsidR="00E33039" w:rsidRPr="003036C8" w:rsidRDefault="00E33039" w:rsidP="00C14878">
      <w:pPr>
        <w:widowControl/>
        <w:spacing w:after="240"/>
        <w:ind w:left="567" w:hanging="567"/>
        <w:rPr>
          <w:b/>
          <w:i/>
          <w:szCs w:val="24"/>
        </w:rPr>
      </w:pPr>
      <w:r w:rsidRPr="003036C8">
        <w:rPr>
          <w:b/>
          <w:i/>
        </w:rPr>
        <w:t>Λοιπές παρατηρήσεις</w:t>
      </w:r>
    </w:p>
    <w:p w:rsidR="00E33039" w:rsidRPr="003036C8" w:rsidRDefault="00E33039" w:rsidP="00C14878">
      <w:pPr>
        <w:widowControl/>
        <w:spacing w:after="240"/>
        <w:ind w:left="567" w:hanging="567"/>
        <w:rPr>
          <w:szCs w:val="24"/>
        </w:rPr>
      </w:pPr>
      <w:r w:rsidRPr="003036C8">
        <w:t>31.</w:t>
      </w:r>
      <w:r w:rsidRPr="003036C8">
        <w:tab/>
        <w:t>σημειώνει ότι η Υπηρεσία δεν έχει εφαρμόσει την πιστοποίηση βάσει του συστήματος οικολογικής διαχείρισης και οικολογικού ελέγχου (EMAS), καθώς οι προσπάθειές της επικεντρώνονται στη στήριξη άλλων έργων·</w:t>
      </w:r>
      <w:r w:rsidRPr="003036C8">
        <w:rPr>
          <w:rFonts w:ascii="Segoe UI" w:hAnsi="Segoe UI"/>
          <w:color w:val="374151"/>
        </w:rPr>
        <w:t xml:space="preserve"> </w:t>
      </w:r>
      <w:r w:rsidRPr="003036C8">
        <w:t>υπενθυμίζει ότι στόχος του συστήματος είναι η προώθηση της συνεχούς βελτίωσης των περιβαλλοντικών επιδόσεων των οργανισμών· ενθαρρύνει την Υπηρεσία να λάβει μέτρα για την εφαρμογή του EMAS·</w:t>
      </w:r>
    </w:p>
    <w:p w:rsidR="00E33039" w:rsidRPr="003036C8" w:rsidRDefault="00E33039" w:rsidP="00C14878">
      <w:pPr>
        <w:pStyle w:val="NormalCenter12a"/>
        <w:widowControl/>
        <w:ind w:left="567" w:hanging="567"/>
      </w:pPr>
      <w:r w:rsidRPr="003036C8">
        <w:t>°</w:t>
      </w:r>
    </w:p>
    <w:p w:rsidR="00E33039" w:rsidRPr="003036C8" w:rsidRDefault="00E33039" w:rsidP="00C14878">
      <w:pPr>
        <w:pStyle w:val="NormalCenter12a"/>
        <w:widowControl/>
        <w:ind w:left="567" w:hanging="567"/>
      </w:pPr>
      <w:r w:rsidRPr="003036C8">
        <w:t>°</w:t>
      </w:r>
      <w:r w:rsidRPr="003036C8">
        <w:tab/>
        <w:t>°</w:t>
      </w:r>
    </w:p>
    <w:p w:rsidR="00E33039" w:rsidRPr="003036C8" w:rsidRDefault="00E33039" w:rsidP="00C14878">
      <w:pPr>
        <w:pStyle w:val="NormalHanging12a"/>
        <w:widowControl/>
      </w:pPr>
      <w:r w:rsidRPr="003036C8">
        <w:t>32.</w:t>
      </w:r>
      <w:r w:rsidRPr="003036C8">
        <w:tab/>
        <w:t xml:space="preserve">παραπέμπει, όσον αφορά άλλες παρατηρήσεις οριζόντιου χαρακτήρα που συνοδεύουν την απόφαση απαλλαγής, στο ψήφισμά του της </w:t>
      </w:r>
      <w:r w:rsidR="00C14878" w:rsidRPr="003036C8">
        <w:t>11ης Απριλίου 2024</w:t>
      </w:r>
      <w:r w:rsidRPr="003036C8">
        <w:rPr>
          <w:vertAlign w:val="superscript"/>
        </w:rPr>
        <w:footnoteReference w:id="14"/>
      </w:r>
      <w:r w:rsidRPr="003036C8">
        <w:t xml:space="preserve"> σχετικά με τις επιδόσεις, τη χρηματοοικονομική διαχείριση και τον έλεγχο των οργανισμών.</w:t>
      </w:r>
    </w:p>
    <w:p w:rsidR="00E365E1" w:rsidRPr="003036C8" w:rsidRDefault="00E365E1" w:rsidP="00C14878">
      <w:pPr>
        <w:widowControl/>
        <w:spacing w:after="240"/>
        <w:ind w:left="567" w:hanging="567"/>
      </w:pPr>
      <w:bookmarkStart w:id="13" w:name="TextBodyEnd"/>
      <w:bookmarkEnd w:id="13"/>
    </w:p>
    <w:sectPr w:rsidR="00E365E1" w:rsidRPr="003036C8" w:rsidSect="00170FB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861" w:rsidRPr="00170FB9" w:rsidRDefault="00B23861">
      <w:r w:rsidRPr="00170FB9">
        <w:separator/>
      </w:r>
    </w:p>
  </w:endnote>
  <w:endnote w:type="continuationSeparator" w:id="0">
    <w:p w:rsidR="00B23861" w:rsidRPr="00170FB9" w:rsidRDefault="00B23861">
      <w:r w:rsidRPr="00170F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039" w:rsidRPr="00170FB9" w:rsidRDefault="00E33039" w:rsidP="0003545C">
    <w:pPr>
      <w:pStyle w:val="EPFooter"/>
    </w:pPr>
    <w:r w:rsidRPr="00170FB9">
      <w:t>PE</w:t>
    </w:r>
    <w:r w:rsidRPr="00170FB9">
      <w:rPr>
        <w:rStyle w:val="HideTWBExt"/>
      </w:rPr>
      <w:t>&lt;NoPE&gt;</w:t>
    </w:r>
    <w:r w:rsidRPr="00170FB9">
      <w:t>753.518</w:t>
    </w:r>
    <w:r w:rsidRPr="00170FB9">
      <w:rPr>
        <w:rStyle w:val="HideTWBExt"/>
      </w:rPr>
      <w:t>&lt;/NoPE&gt;&lt;Version&gt;</w:t>
    </w:r>
    <w:r w:rsidRPr="00170FB9">
      <w:t>v02-00</w:t>
    </w:r>
    <w:r w:rsidRPr="00170FB9">
      <w:rPr>
        <w:rStyle w:val="HideTWBExt"/>
      </w:rPr>
      <w:t>&lt;/Version&gt;</w:t>
    </w:r>
    <w:r w:rsidRPr="00170FB9">
      <w:tab/>
    </w:r>
    <w:r w:rsidRPr="00170FB9">
      <w:fldChar w:fldCharType="begin"/>
    </w:r>
    <w:r w:rsidRPr="00170FB9">
      <w:instrText xml:space="preserve"> PAGE  \* MERGEFORMAT </w:instrText>
    </w:r>
    <w:r w:rsidRPr="00170FB9">
      <w:fldChar w:fldCharType="separate"/>
    </w:r>
    <w:r w:rsidR="00170FB9" w:rsidRPr="00170FB9">
      <w:rPr>
        <w:noProof/>
      </w:rPr>
      <w:t>2</w:t>
    </w:r>
    <w:r w:rsidRPr="00170FB9">
      <w:fldChar w:fldCharType="end"/>
    </w:r>
    <w:r w:rsidRPr="00170FB9">
      <w:t>/</w:t>
    </w:r>
    <w:fldSimple w:instr=" NUMPAGES  \* MERGEFORMAT ">
      <w:r w:rsidR="00170FB9" w:rsidRPr="00170FB9">
        <w:rPr>
          <w:noProof/>
        </w:rPr>
        <w:t>4</w:t>
      </w:r>
    </w:fldSimple>
    <w:r w:rsidRPr="00170FB9">
      <w:tab/>
    </w:r>
    <w:r w:rsidRPr="00170FB9">
      <w:rPr>
        <w:rStyle w:val="HideTWBExt"/>
      </w:rPr>
      <w:t>&lt;PathFdR&gt;</w:t>
    </w:r>
    <w:r w:rsidRPr="00170FB9">
      <w:t>RR\1298773EL.docx</w:t>
    </w:r>
    <w:r w:rsidRPr="00170FB9">
      <w:rPr>
        <w:rStyle w:val="HideTWBExt"/>
      </w:rPr>
      <w:t>&lt;/PathFdR&gt;</w:t>
    </w:r>
  </w:p>
  <w:p w:rsidR="00E33039" w:rsidRPr="00170FB9" w:rsidRDefault="00E33039" w:rsidP="0003545C">
    <w:pPr>
      <w:pStyle w:val="EPFooter2"/>
    </w:pPr>
    <w:r w:rsidRPr="00170FB9">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039" w:rsidRPr="00170FB9" w:rsidRDefault="00E33039" w:rsidP="0003545C">
    <w:pPr>
      <w:pStyle w:val="EPFooter"/>
    </w:pPr>
    <w:r w:rsidRPr="00170FB9">
      <w:rPr>
        <w:rStyle w:val="HideTWBExt"/>
      </w:rPr>
      <w:t>&lt;PathFdR&gt;</w:t>
    </w:r>
    <w:r w:rsidRPr="00170FB9">
      <w:t>RR\1298773EL.docx</w:t>
    </w:r>
    <w:r w:rsidRPr="00170FB9">
      <w:rPr>
        <w:rStyle w:val="HideTWBExt"/>
      </w:rPr>
      <w:t>&lt;/PathFdR&gt;</w:t>
    </w:r>
    <w:r w:rsidRPr="00170FB9">
      <w:tab/>
    </w:r>
    <w:r w:rsidRPr="00170FB9">
      <w:tab/>
      <w:t>PE</w:t>
    </w:r>
    <w:r w:rsidRPr="00170FB9">
      <w:rPr>
        <w:rStyle w:val="HideTWBExt"/>
      </w:rPr>
      <w:t>&lt;NoPE&gt;</w:t>
    </w:r>
    <w:r w:rsidRPr="00170FB9">
      <w:t>753.518</w:t>
    </w:r>
    <w:r w:rsidRPr="00170FB9">
      <w:rPr>
        <w:rStyle w:val="HideTWBExt"/>
      </w:rPr>
      <w:t>&lt;/NoPE&gt;&lt;Version&gt;</w:t>
    </w:r>
    <w:r w:rsidRPr="00170FB9">
      <w:t>v02-00</w:t>
    </w:r>
    <w:r w:rsidRPr="00170FB9">
      <w:rPr>
        <w:rStyle w:val="HideTWBExt"/>
      </w:rPr>
      <w:t>&lt;/Version&gt;</w:t>
    </w:r>
  </w:p>
  <w:p w:rsidR="00E33039" w:rsidRPr="00170FB9" w:rsidRDefault="00E33039" w:rsidP="0003545C">
    <w:pPr>
      <w:pStyle w:val="EPFooter2"/>
    </w:pPr>
    <w:r w:rsidRPr="00170FB9">
      <w:t>EL</w:t>
    </w:r>
    <w:r w:rsidRPr="00170FB9">
      <w:tab/>
    </w:r>
    <w:r w:rsidRPr="00170FB9">
      <w:rPr>
        <w:b w:val="0"/>
        <w:i/>
        <w:color w:val="C0C0C0"/>
        <w:sz w:val="22"/>
      </w:rPr>
      <w:t>Ενωμένη στην πολυμορφία</w:t>
    </w:r>
    <w:r w:rsidRPr="00170FB9">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FB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FB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F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861" w:rsidRPr="00170FB9" w:rsidRDefault="00B23861">
      <w:r w:rsidRPr="00170FB9">
        <w:separator/>
      </w:r>
    </w:p>
  </w:footnote>
  <w:footnote w:type="continuationSeparator" w:id="0">
    <w:p w:rsidR="00B23861" w:rsidRPr="00170FB9" w:rsidRDefault="00B23861">
      <w:r w:rsidRPr="00170FB9">
        <w:continuationSeparator/>
      </w:r>
    </w:p>
  </w:footnote>
  <w:footnote w:id="1">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C, C/2023/594, 27.10.2023.</w:t>
      </w:r>
    </w:p>
  </w:footnote>
  <w:footnote w:id="2">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C, C/2023/112, 12.10.2023.</w:t>
      </w:r>
    </w:p>
  </w:footnote>
  <w:footnote w:id="3">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L 193 της 30.7.2018, σ. 1.</w:t>
      </w:r>
    </w:p>
  </w:footnote>
  <w:footnote w:id="4">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L 83 της 25.3.2019, σ. 18.</w:t>
      </w:r>
    </w:p>
  </w:footnote>
  <w:footnote w:id="5">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L 122 της 10.5.2019, σ. 1.</w:t>
      </w:r>
    </w:p>
  </w:footnote>
  <w:footnote w:id="6">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C, C/2023/594, 27.10.2023.</w:t>
      </w:r>
    </w:p>
  </w:footnote>
  <w:footnote w:id="7">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C, C/2023/112, 12.10.2023.</w:t>
      </w:r>
    </w:p>
  </w:footnote>
  <w:footnote w:id="8">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L 193 της 30.7.2018, σ. 1.</w:t>
      </w:r>
    </w:p>
  </w:footnote>
  <w:footnote w:id="9">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L 83 της 25.3.2019, σ. 18.</w:t>
      </w:r>
    </w:p>
  </w:footnote>
  <w:footnote w:id="10">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L 122 της 10.5.2019, σ. 1.</w:t>
      </w:r>
    </w:p>
  </w:footnote>
  <w:footnote w:id="11">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ΕΕ C 38 της 31.1.2023, σ. 65.</w:t>
      </w:r>
    </w:p>
  </w:footnote>
  <w:footnote w:id="12">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Κανονισμός (ΕΕ) 2019/473 του Ευρωπαϊκού Κοινοβουλίου και του Συμβουλίου, της 19ης Μαρτίου 2019, για την Ευρωπαϊκή Υπηρεσία Ελέγχου της Αλιείας (ΕΕ L 83 της 25.3.2019, σ. 18).</w:t>
      </w:r>
    </w:p>
  </w:footnote>
  <w:footnote w:id="13">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Κανονισμός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 (ΕΕ L 193 της 30.7.2018, σ. 1).</w:t>
      </w:r>
    </w:p>
  </w:footnote>
  <w:footnote w:id="14">
    <w:p w:rsidR="00E33039" w:rsidRPr="00170FB9" w:rsidRDefault="00E33039" w:rsidP="00C14878">
      <w:pPr>
        <w:pStyle w:val="FootnoteText"/>
        <w:spacing w:line="240" w:lineRule="auto"/>
        <w:ind w:left="567" w:hanging="567"/>
        <w:rPr>
          <w:sz w:val="24"/>
          <w:lang w:val="el-GR"/>
        </w:rPr>
      </w:pPr>
      <w:r w:rsidRPr="00170FB9">
        <w:rPr>
          <w:rStyle w:val="FootnoteReference"/>
          <w:sz w:val="24"/>
          <w:lang w:val="el-GR"/>
        </w:rPr>
        <w:footnoteRef/>
      </w:r>
      <w:r w:rsidR="00170FB9" w:rsidRPr="00170FB9">
        <w:rPr>
          <w:sz w:val="24"/>
          <w:lang w:val="el-GR"/>
        </w:rPr>
        <w:t xml:space="preserve"> </w:t>
      </w:r>
      <w:r w:rsidR="00170FB9" w:rsidRPr="00170FB9">
        <w:rPr>
          <w:sz w:val="24"/>
          <w:lang w:val="el-GR"/>
        </w:rPr>
        <w:tab/>
      </w:r>
      <w:r w:rsidRPr="00170FB9">
        <w:rPr>
          <w:sz w:val="24"/>
          <w:lang w:val="el-GR"/>
        </w:rPr>
        <w:t>Κείμενα που εγκρίθηκαν, P9_TA(2024)0</w:t>
      </w:r>
      <w:r w:rsidR="003036C8">
        <w:rPr>
          <w:sz w:val="24"/>
          <w:lang w:val="el-GR"/>
        </w:rPr>
        <w:t>28</w:t>
      </w:r>
      <w:r w:rsidRPr="00170FB9">
        <w:rPr>
          <w:sz w:val="24"/>
          <w:lang w:val="el-GR"/>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F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F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0F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EL"/>
    <w:docVar w:name="dvnumam" w:val="0"/>
    <w:docVar w:name="dvpe" w:val="753.518"/>
    <w:docVar w:name="dvrapporteur" w:val="Εισηγητής: "/>
    <w:docVar w:name="dvtitre" w:val="Απόφαση του Ευρωπαϊκού Κοινοβουλίου σχετικά με την απαλλαγή όσον αφορά την εκτέλεση του προϋπολογισμού της Ευρωπαϊκής Υπηρεσίας Ελέγχου της Αλιείας για το οικονομικό έτος 2022(2023/2150(DEC))"/>
  </w:docVars>
  <w:rsids>
    <w:rsidRoot w:val="00B23861"/>
    <w:rsid w:val="00002272"/>
    <w:rsid w:val="00064002"/>
    <w:rsid w:val="000677B9"/>
    <w:rsid w:val="000831BA"/>
    <w:rsid w:val="000A42CC"/>
    <w:rsid w:val="000E7DD9"/>
    <w:rsid w:val="0010095E"/>
    <w:rsid w:val="00125B37"/>
    <w:rsid w:val="00170FB9"/>
    <w:rsid w:val="00187494"/>
    <w:rsid w:val="001F32AE"/>
    <w:rsid w:val="002767FF"/>
    <w:rsid w:val="002B18FE"/>
    <w:rsid w:val="002B5493"/>
    <w:rsid w:val="003036C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7B6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861"/>
    <w:rsid w:val="00B558F0"/>
    <w:rsid w:val="00BD48FE"/>
    <w:rsid w:val="00BD7BD8"/>
    <w:rsid w:val="00BE6ADC"/>
    <w:rsid w:val="00C05BFE"/>
    <w:rsid w:val="00C14878"/>
    <w:rsid w:val="00C23CD4"/>
    <w:rsid w:val="00C61C0C"/>
    <w:rsid w:val="00C941CB"/>
    <w:rsid w:val="00CC2357"/>
    <w:rsid w:val="00CF071A"/>
    <w:rsid w:val="00D058B8"/>
    <w:rsid w:val="00D56C11"/>
    <w:rsid w:val="00D834A0"/>
    <w:rsid w:val="00D872DF"/>
    <w:rsid w:val="00D91E21"/>
    <w:rsid w:val="00DA7FCD"/>
    <w:rsid w:val="00E3303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135A5"/>
  <w15:chartTrackingRefBased/>
  <w15:docId w15:val="{258AD098-B6D8-4276-AC3C-B6137AD3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303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33039"/>
    <w:pPr>
      <w:spacing w:before="480" w:after="240"/>
    </w:pPr>
  </w:style>
  <w:style w:type="paragraph" w:customStyle="1" w:styleId="PageHeading">
    <w:name w:val="PageHeading"/>
    <w:basedOn w:val="Normal"/>
    <w:rsid w:val="00E33039"/>
    <w:pPr>
      <w:keepNext/>
      <w:spacing w:after="480"/>
      <w:jc w:val="center"/>
    </w:pPr>
    <w:rPr>
      <w:rFonts w:ascii="Arial" w:hAnsi="Arial" w:cs="Arial"/>
      <w:b/>
    </w:rPr>
  </w:style>
  <w:style w:type="paragraph" w:customStyle="1" w:styleId="NormalBold">
    <w:name w:val="NormalBold"/>
    <w:basedOn w:val="Normal"/>
    <w:rsid w:val="00E33039"/>
    <w:rPr>
      <w:b/>
    </w:rPr>
  </w:style>
  <w:style w:type="paragraph" w:customStyle="1" w:styleId="NormalHanging12a">
    <w:name w:val="NormalHanging12a"/>
    <w:basedOn w:val="Normal"/>
    <w:link w:val="NormalHanging12aChar"/>
    <w:rsid w:val="00E33039"/>
    <w:pPr>
      <w:spacing w:after="240"/>
      <w:ind w:left="567" w:hanging="567"/>
    </w:pPr>
  </w:style>
  <w:style w:type="paragraph" w:customStyle="1" w:styleId="NormalCenter12a">
    <w:name w:val="NormalCenter12a"/>
    <w:basedOn w:val="Normal"/>
    <w:rsid w:val="00E33039"/>
    <w:pPr>
      <w:spacing w:after="240"/>
      <w:jc w:val="center"/>
    </w:pPr>
  </w:style>
  <w:style w:type="paragraph" w:styleId="Header">
    <w:name w:val="header"/>
    <w:basedOn w:val="Normal"/>
    <w:link w:val="HeaderChar"/>
    <w:rsid w:val="00E33039"/>
    <w:pPr>
      <w:tabs>
        <w:tab w:val="center" w:pos="4513"/>
        <w:tab w:val="right" w:pos="9026"/>
      </w:tabs>
    </w:pPr>
  </w:style>
  <w:style w:type="character" w:customStyle="1" w:styleId="HeaderChar">
    <w:name w:val="Header Char"/>
    <w:basedOn w:val="DefaultParagraphFont"/>
    <w:link w:val="Header"/>
    <w:rsid w:val="00E33039"/>
    <w:rPr>
      <w:sz w:val="24"/>
      <w:lang w:val="el-GR"/>
    </w:rPr>
  </w:style>
  <w:style w:type="paragraph" w:customStyle="1" w:styleId="EPFooter">
    <w:name w:val="EPFooter"/>
    <w:basedOn w:val="Normal"/>
    <w:rsid w:val="00E3303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33039"/>
    <w:rPr>
      <w:sz w:val="24"/>
      <w:lang w:val="el-GR"/>
    </w:rPr>
  </w:style>
  <w:style w:type="paragraph" w:styleId="Footer">
    <w:name w:val="footer"/>
    <w:basedOn w:val="Normal"/>
    <w:link w:val="FooterChar"/>
    <w:rsid w:val="00C14878"/>
    <w:pPr>
      <w:tabs>
        <w:tab w:val="center" w:pos="4513"/>
        <w:tab w:val="right" w:pos="9026"/>
      </w:tabs>
    </w:pPr>
  </w:style>
  <w:style w:type="character" w:customStyle="1" w:styleId="FooterChar">
    <w:name w:val="Footer Char"/>
    <w:basedOn w:val="DefaultParagraphFont"/>
    <w:link w:val="Footer"/>
    <w:rsid w:val="00C14878"/>
    <w:rPr>
      <w:sz w:val="24"/>
      <w:lang w:val="el-GR"/>
    </w:rPr>
  </w:style>
  <w:style w:type="paragraph" w:styleId="BalloonText">
    <w:name w:val="Balloon Text"/>
    <w:basedOn w:val="Normal"/>
    <w:link w:val="BalloonTextChar"/>
    <w:rsid w:val="00C14878"/>
    <w:rPr>
      <w:rFonts w:ascii="Segoe UI" w:hAnsi="Segoe UI" w:cs="Segoe UI"/>
      <w:sz w:val="18"/>
      <w:szCs w:val="18"/>
    </w:rPr>
  </w:style>
  <w:style w:type="character" w:customStyle="1" w:styleId="BalloonTextChar">
    <w:name w:val="Balloon Text Char"/>
    <w:basedOn w:val="DefaultParagraphFont"/>
    <w:link w:val="BalloonText"/>
    <w:rsid w:val="00C1487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F6687-6F3F-4C7D-8ACC-DE401B2F3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4256</Words>
  <Characters>25493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2024-04-11T11:51:00Z</dcterms:created>
  <dcterms:modified xsi:type="dcterms:W3CDTF">2024-04-11T11:51:00Z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A9-0100/2024</vt:lpwstr>
  </property>
  <property fmtid="{D5CDD505-2E9C-101B-9397-08002B2CF9AE}" pid="4" name="&lt;Type&gt;">
    <vt:lpwstr>RR</vt:lpwstr>
  </property>
</Properties>
</file>