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309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0309F" w:rsidRDefault="009B760F" w:rsidP="0010095E">
            <w:pPr>
              <w:pStyle w:val="EPName"/>
            </w:pPr>
            <w:r w:rsidRPr="0000309F">
              <w:t>Europski parlament</w:t>
            </w:r>
          </w:p>
          <w:p w:rsidR="00751A4A" w:rsidRPr="0000309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309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0309F" w:rsidRDefault="00187494" w:rsidP="0010095E">
            <w:pPr>
              <w:pStyle w:val="EPLogo"/>
            </w:pPr>
            <w:r w:rsidRPr="0000309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0309F" w:rsidRDefault="00D058B8" w:rsidP="004C5D52">
      <w:pPr>
        <w:pStyle w:val="LineTop"/>
      </w:pPr>
    </w:p>
    <w:p w:rsidR="00680577" w:rsidRPr="0000309F" w:rsidRDefault="009B760F" w:rsidP="00680577">
      <w:pPr>
        <w:pStyle w:val="EPBodyTA1"/>
      </w:pPr>
      <w:r w:rsidRPr="0000309F">
        <w:t>USVOJENI TEKSTOVI</w:t>
      </w:r>
    </w:p>
    <w:p w:rsidR="00D058B8" w:rsidRPr="0000309F" w:rsidRDefault="00D058B8" w:rsidP="00D058B8">
      <w:pPr>
        <w:pStyle w:val="LineBottom"/>
      </w:pPr>
    </w:p>
    <w:p w:rsidR="009B760F" w:rsidRPr="0000309F" w:rsidRDefault="009B760F" w:rsidP="009B760F">
      <w:pPr>
        <w:pStyle w:val="ATHeading1"/>
      </w:pPr>
      <w:bookmarkStart w:id="0" w:name="TANumber"/>
      <w:r w:rsidRPr="0000309F">
        <w:t>P9_TA(2024)0</w:t>
      </w:r>
      <w:bookmarkEnd w:id="0"/>
      <w:r w:rsidR="0000309F" w:rsidRPr="0000309F">
        <w:t>257</w:t>
      </w:r>
    </w:p>
    <w:p w:rsidR="009B760F" w:rsidRPr="0000309F" w:rsidRDefault="009B760F" w:rsidP="009B760F">
      <w:pPr>
        <w:pStyle w:val="ATHeading2"/>
      </w:pPr>
      <w:bookmarkStart w:id="1" w:name="title"/>
      <w:r w:rsidRPr="0000309F">
        <w:t>Razrješnica za 2022.: Europska agencija za kontrolu ribarstva</w:t>
      </w:r>
      <w:bookmarkEnd w:id="1"/>
    </w:p>
    <w:p w:rsidR="009B760F" w:rsidRPr="0000309F" w:rsidRDefault="009B760F" w:rsidP="009B760F">
      <w:pPr>
        <w:rPr>
          <w:i/>
          <w:vanish/>
        </w:rPr>
      </w:pPr>
      <w:r w:rsidRPr="0000309F">
        <w:rPr>
          <w:i/>
        </w:rPr>
        <w:fldChar w:fldCharType="begin"/>
      </w:r>
      <w:r w:rsidRPr="0000309F">
        <w:rPr>
          <w:i/>
        </w:rPr>
        <w:instrText xml:space="preserve"> TC"(</w:instrText>
      </w:r>
      <w:bookmarkStart w:id="2" w:name="DocNumber"/>
      <w:r w:rsidRPr="0000309F">
        <w:rPr>
          <w:i/>
        </w:rPr>
        <w:instrText>A9-0100/2024</w:instrText>
      </w:r>
      <w:bookmarkEnd w:id="2"/>
      <w:r w:rsidRPr="0000309F">
        <w:rPr>
          <w:i/>
        </w:rPr>
        <w:instrText xml:space="preserve"> - Izvjestitelj: Petri Sarvamaa)"\l3 \n&gt; \* MERGEFORMAT </w:instrText>
      </w:r>
      <w:r w:rsidRPr="0000309F">
        <w:rPr>
          <w:i/>
        </w:rPr>
        <w:fldChar w:fldCharType="end"/>
      </w:r>
    </w:p>
    <w:p w:rsidR="009B760F" w:rsidRPr="0000309F" w:rsidRDefault="009B760F" w:rsidP="009B760F">
      <w:pPr>
        <w:rPr>
          <w:vanish/>
        </w:rPr>
      </w:pPr>
      <w:bookmarkStart w:id="3" w:name="Commission"/>
      <w:r w:rsidRPr="0000309F">
        <w:rPr>
          <w:vanish/>
        </w:rPr>
        <w:t>Odbor za proračunski nadzor</w:t>
      </w:r>
      <w:bookmarkEnd w:id="3"/>
    </w:p>
    <w:p w:rsidR="009B760F" w:rsidRPr="0000309F" w:rsidRDefault="009B760F" w:rsidP="009B760F">
      <w:pPr>
        <w:rPr>
          <w:vanish/>
        </w:rPr>
      </w:pPr>
      <w:bookmarkStart w:id="4" w:name="PE"/>
      <w:r w:rsidRPr="0000309F">
        <w:rPr>
          <w:vanish/>
        </w:rPr>
        <w:t>PE753.518</w:t>
      </w:r>
      <w:bookmarkEnd w:id="4"/>
    </w:p>
    <w:p w:rsidR="009B760F" w:rsidRPr="0000309F" w:rsidRDefault="000211A2" w:rsidP="009B760F">
      <w:pPr>
        <w:pStyle w:val="ATHeading3"/>
      </w:pPr>
      <w:bookmarkStart w:id="5" w:name="Sujet"/>
      <w:r w:rsidRPr="0000309F">
        <w:t xml:space="preserve">1. </w:t>
      </w:r>
      <w:r w:rsidR="009B760F" w:rsidRPr="0000309F">
        <w:t>Odl</w:t>
      </w:r>
      <w:r w:rsidRPr="0000309F">
        <w:t>uka Europskog parlamenta od 11</w:t>
      </w:r>
      <w:r w:rsidR="00552913">
        <w:t>.</w:t>
      </w:r>
      <w:r w:rsidRPr="0000309F">
        <w:t xml:space="preserve"> travnja</w:t>
      </w:r>
      <w:r w:rsidR="009B760F" w:rsidRPr="0000309F">
        <w:t xml:space="preserve"> 2024. o razrješnici za izvršenje proračuna Europske agencije za kontrolu ribarstva za financijsku godinu 2022.</w:t>
      </w:r>
      <w:bookmarkEnd w:id="5"/>
      <w:r w:rsidR="009B760F" w:rsidRPr="0000309F">
        <w:t xml:space="preserve"> </w:t>
      </w:r>
      <w:bookmarkStart w:id="6" w:name="References"/>
      <w:r w:rsidR="009B760F" w:rsidRPr="0000309F">
        <w:t>(2023/2150(DEC))</w:t>
      </w:r>
      <w:bookmarkEnd w:id="6"/>
    </w:p>
    <w:p w:rsidR="00D16C1B" w:rsidRPr="0000309F" w:rsidRDefault="00D16C1B" w:rsidP="00D16C1B">
      <w:pPr>
        <w:pStyle w:val="EPComma"/>
      </w:pPr>
      <w:bookmarkStart w:id="7" w:name="TextBodyBegin"/>
      <w:bookmarkEnd w:id="7"/>
      <w:r w:rsidRPr="0000309F">
        <w:rPr>
          <w:i/>
        </w:rPr>
        <w:t>Europski parlament</w:t>
      </w:r>
      <w:r w:rsidRPr="0000309F">
        <w:t>,</w:t>
      </w:r>
    </w:p>
    <w:p w:rsidR="00D16C1B" w:rsidRPr="0000309F" w:rsidRDefault="00D16C1B" w:rsidP="00D16C1B">
      <w:pPr>
        <w:pStyle w:val="NormalHanging12a"/>
      </w:pPr>
      <w:r w:rsidRPr="0000309F">
        <w:t>–</w:t>
      </w:r>
      <w:r w:rsidRPr="0000309F">
        <w:tab/>
        <w:t>uzimajući u obzir završnu godišnju računovodstvenu dokumentaciju Europske agencije za kontrolu ribarstva za financijsku godinu 2022.,</w:t>
      </w:r>
    </w:p>
    <w:p w:rsidR="00D16C1B" w:rsidRPr="0000309F" w:rsidRDefault="00D16C1B" w:rsidP="00D16C1B">
      <w:pPr>
        <w:pStyle w:val="NormalHanging12a"/>
      </w:pPr>
      <w:r w:rsidRPr="0000309F">
        <w:t>–</w:t>
      </w:r>
      <w:r w:rsidRPr="0000309F">
        <w:tab/>
        <w:t>uzimajući u obzir godišnje izvješće Revizorskog suda o agencijama EU-a za financijsku godinu 2022., kojemu su priloženi odgovori agencija</w:t>
      </w:r>
      <w:r w:rsidRPr="0000309F">
        <w:rPr>
          <w:rStyle w:val="FootnoteReference"/>
        </w:rPr>
        <w:footnoteReference w:id="1"/>
      </w:r>
      <w:r w:rsidRPr="0000309F">
        <w:t>,</w:t>
      </w:r>
    </w:p>
    <w:p w:rsidR="00D16C1B" w:rsidRPr="0000309F" w:rsidRDefault="00D16C1B" w:rsidP="00D16C1B">
      <w:pPr>
        <w:pStyle w:val="NormalHanging12a"/>
      </w:pPr>
      <w:r w:rsidRPr="0000309F">
        <w:t>–</w:t>
      </w:r>
      <w:r w:rsidRPr="0000309F">
        <w:tab/>
        <w:t>uzimajući u obzir izjavu o jamstvu</w:t>
      </w:r>
      <w:r w:rsidRPr="0000309F">
        <w:rPr>
          <w:rStyle w:val="FootnoteReference"/>
        </w:rPr>
        <w:footnoteReference w:id="2"/>
      </w:r>
      <w:r w:rsidRPr="0000309F">
        <w:t xml:space="preserve"> u pogledu pouzdanosti računovodstvene dokumentacije te zakonitosti i pravilnosti temeljnih transakcija koju je u skladu s člankom 287. Ugovora o funkcioniranju Europske unije Revizorski sud podnio za financijsku godinu 2022.,</w:t>
      </w:r>
    </w:p>
    <w:p w:rsidR="00D16C1B" w:rsidRPr="0000309F" w:rsidRDefault="00D16C1B" w:rsidP="00D16C1B">
      <w:pPr>
        <w:pStyle w:val="NormalHanging12a"/>
      </w:pPr>
      <w:r w:rsidRPr="0000309F">
        <w:t>–</w:t>
      </w:r>
      <w:r w:rsidRPr="0000309F">
        <w:tab/>
        <w:t>uzimajući u obzir preporuku Vijeća od 22. veljače 2024. o razrješnici koju Agencija treba dobiti za izvršenje proračuna za financijsku godinu 2022. (0</w:t>
      </w:r>
      <w:r w:rsidR="000211A2" w:rsidRPr="0000309F">
        <w:t>6180</w:t>
      </w:r>
      <w:r w:rsidRPr="0000309F">
        <w:t>/2024 – C9</w:t>
      </w:r>
      <w:r w:rsidRPr="0000309F">
        <w:noBreakHyphen/>
        <w:t>00</w:t>
      </w:r>
      <w:r w:rsidR="000211A2" w:rsidRPr="0000309F">
        <w:t>88</w:t>
      </w:r>
      <w:r w:rsidRPr="0000309F">
        <w:t>/2024),</w:t>
      </w:r>
    </w:p>
    <w:p w:rsidR="00D16C1B" w:rsidRPr="0000309F" w:rsidRDefault="00D16C1B" w:rsidP="00D16C1B">
      <w:pPr>
        <w:pStyle w:val="NormalHanging12a"/>
      </w:pPr>
      <w:r w:rsidRPr="0000309F">
        <w:t>–</w:t>
      </w:r>
      <w:r w:rsidRPr="0000309F">
        <w:tab/>
        <w:t>uzimajući u obzir članak 319. Ugovora o funkcioniranju Europske unije,</w:t>
      </w:r>
    </w:p>
    <w:p w:rsidR="00D16C1B" w:rsidRPr="0000309F" w:rsidRDefault="00D16C1B" w:rsidP="00D16C1B">
      <w:pPr>
        <w:pStyle w:val="NormalHanging12a"/>
      </w:pPr>
      <w:r w:rsidRPr="0000309F">
        <w:t>–</w:t>
      </w:r>
      <w:r w:rsidRPr="0000309F">
        <w:tab/>
        <w:t>uzimajući u obzir Uredbu (EU, Euratom) 2018/1046 Europskog parlamenta i Vijeća od 18. srpnja 2018. o financijskim pravilima koja se primjenjuju na opći proračun Unije, o izmjeni uredaba (EU) br. 1296/2013, (EU) br. 1301/2013, (EU) br. 1303/2013, (EU) br. 1304/2013, (EU) br. 1309/2013, (EU) br. 1316/2013, (EU) br. 223/2014, (EU) br. 283/2014 i Odluke br. 541/2014/EU te o stavljanju izvan snage Uredbe (EU, Euratom) br. 966/2012</w:t>
      </w:r>
      <w:r w:rsidRPr="0000309F">
        <w:rPr>
          <w:rStyle w:val="FootnoteReference"/>
        </w:rPr>
        <w:footnoteReference w:id="3"/>
      </w:r>
      <w:r w:rsidRPr="0000309F">
        <w:t>, a posebno njezin članak 70.</w:t>
      </w:r>
      <w:r w:rsidR="00552913">
        <w:t>,</w:t>
      </w:r>
    </w:p>
    <w:p w:rsidR="00D16C1B" w:rsidRPr="0000309F" w:rsidRDefault="00D16C1B" w:rsidP="00D16C1B">
      <w:pPr>
        <w:pStyle w:val="NormalHanging12a"/>
      </w:pPr>
      <w:r w:rsidRPr="0000309F">
        <w:t>–</w:t>
      </w:r>
      <w:r w:rsidRPr="0000309F">
        <w:tab/>
        <w:t>uzimajući u obzir Uredbu (EU) 2019/473 Europskog parlamenta i Vijeća od 19. ožujka 2019. o Europskoj agenciji za kontrolu ribarstva</w:t>
      </w:r>
      <w:r w:rsidRPr="0000309F">
        <w:rPr>
          <w:rStyle w:val="FootnoteReference"/>
        </w:rPr>
        <w:footnoteReference w:id="4"/>
      </w:r>
      <w:r w:rsidRPr="0000309F">
        <w:t>, a posebno njezin članak 45.,</w:t>
      </w:r>
    </w:p>
    <w:p w:rsidR="00D16C1B" w:rsidRPr="0000309F" w:rsidRDefault="00D16C1B" w:rsidP="00D16C1B">
      <w:pPr>
        <w:pStyle w:val="NormalHanging12a"/>
      </w:pPr>
      <w:r w:rsidRPr="0000309F">
        <w:t>–</w:t>
      </w:r>
      <w:r w:rsidRPr="0000309F">
        <w:tab/>
        <w:t xml:space="preserve">uzimajući u obzir Delegiranu uredbu Komisije (EU) 2019/715 od 18. prosinca 2018. o </w:t>
      </w:r>
      <w:r w:rsidRPr="0000309F">
        <w:lastRenderedPageBreak/>
        <w:t xml:space="preserve">okvirnoj financijskoj uredbi za tijela osnovana na temelju Ugovora o funkcioniranju Europske unije i Ugovora o </w:t>
      </w:r>
      <w:proofErr w:type="spellStart"/>
      <w:r w:rsidRPr="0000309F">
        <w:t>Euratomu</w:t>
      </w:r>
      <w:proofErr w:type="spellEnd"/>
      <w:r w:rsidRPr="0000309F">
        <w:t xml:space="preserve"> na koja se upućuje u članku 70. Uredbe (EU, Euratom) 2018/1046 Europskog parlamenta i Vijeća</w:t>
      </w:r>
      <w:r w:rsidRPr="0000309F">
        <w:rPr>
          <w:rStyle w:val="FootnoteReference"/>
        </w:rPr>
        <w:footnoteReference w:id="5"/>
      </w:r>
      <w:r w:rsidRPr="0000309F">
        <w:t>, a posebno njezin članak 105.,</w:t>
      </w:r>
    </w:p>
    <w:p w:rsidR="00D16C1B" w:rsidRPr="0000309F" w:rsidRDefault="00D16C1B" w:rsidP="00D16C1B">
      <w:pPr>
        <w:pStyle w:val="NormalHanging12a"/>
      </w:pPr>
      <w:r w:rsidRPr="0000309F">
        <w:t>–</w:t>
      </w:r>
      <w:r w:rsidRPr="0000309F">
        <w:tab/>
        <w:t>uzimajući u obzir članak 100. Poslovnika i Prilog V. Poslovniku,</w:t>
      </w:r>
    </w:p>
    <w:p w:rsidR="00D16C1B" w:rsidRPr="0000309F" w:rsidRDefault="00D16C1B" w:rsidP="00D16C1B">
      <w:pPr>
        <w:pStyle w:val="NormalHanging12a"/>
      </w:pPr>
      <w:r w:rsidRPr="0000309F">
        <w:t>–</w:t>
      </w:r>
      <w:r w:rsidRPr="0000309F">
        <w:tab/>
        <w:t>uzimajući u obzir mišljenje Odbora za ribarstvo,</w:t>
      </w:r>
    </w:p>
    <w:p w:rsidR="00D16C1B" w:rsidRPr="0000309F" w:rsidRDefault="00D16C1B" w:rsidP="00D16C1B">
      <w:pPr>
        <w:pStyle w:val="NormalHanging12a"/>
      </w:pPr>
      <w:r w:rsidRPr="0000309F">
        <w:t>–</w:t>
      </w:r>
      <w:r w:rsidRPr="0000309F">
        <w:tab/>
        <w:t>uzimajući u obzir izvješće Odbora za proračunski nadzor (A9</w:t>
      </w:r>
      <w:r w:rsidRPr="0000309F">
        <w:noBreakHyphen/>
        <w:t>0100/2024),</w:t>
      </w:r>
    </w:p>
    <w:p w:rsidR="00D16C1B" w:rsidRPr="0000309F" w:rsidRDefault="00D16C1B" w:rsidP="00D16C1B">
      <w:pPr>
        <w:pStyle w:val="NormalHanging12a"/>
      </w:pPr>
      <w:r w:rsidRPr="0000309F">
        <w:t>1.</w:t>
      </w:r>
      <w:r w:rsidRPr="0000309F">
        <w:tab/>
        <w:t>daje razrješnicu izvršnoj direktorici Europske agencije za kontrolu ribarstva za izvršenje proračuna Agencije za financijsku godinu 2022.;</w:t>
      </w:r>
    </w:p>
    <w:p w:rsidR="00D16C1B" w:rsidRPr="0000309F" w:rsidRDefault="00D16C1B" w:rsidP="00D16C1B">
      <w:pPr>
        <w:pStyle w:val="NormalHanging12a"/>
      </w:pPr>
      <w:r w:rsidRPr="0000309F">
        <w:t>2.</w:t>
      </w:r>
      <w:r w:rsidRPr="0000309F">
        <w:tab/>
        <w:t>iznosi svoje primjedbe u Rezoluciji u nastavku;</w:t>
      </w:r>
    </w:p>
    <w:p w:rsidR="00D16C1B" w:rsidRPr="0000309F" w:rsidRDefault="00D16C1B" w:rsidP="00D16C1B">
      <w:pPr>
        <w:pStyle w:val="NormalHanging12a"/>
      </w:pPr>
      <w:r w:rsidRPr="0000309F">
        <w:t>3.</w:t>
      </w:r>
      <w:r w:rsidRPr="0000309F">
        <w:tab/>
        <w:t xml:space="preserve">nalaže svojoj predsjednici da ovu Odluku i Rezoluciju, koja je njezin sastavni dio, proslijedi izvršnoj direktorici Europske agencije za kontrolu ribarstva, Vijeću, Komisiji i Revizorskom sudu te da ih da na objavu u </w:t>
      </w:r>
      <w:r w:rsidRPr="0000309F">
        <w:rPr>
          <w:i/>
        </w:rPr>
        <w:t>Službenom listu Europske unije</w:t>
      </w:r>
      <w:r w:rsidRPr="0000309F">
        <w:t xml:space="preserve"> (serija L).</w:t>
      </w:r>
    </w:p>
    <w:p w:rsidR="00D16C1B" w:rsidRPr="0000309F" w:rsidRDefault="00D16C1B" w:rsidP="00D16C1B"/>
    <w:p w:rsidR="00D16C1B" w:rsidRPr="0000309F" w:rsidRDefault="00D16C1B" w:rsidP="00D16C1B">
      <w:pPr>
        <w:pStyle w:val="PageHeading"/>
        <w:sectPr w:rsidR="00D16C1B" w:rsidRPr="0000309F" w:rsidSect="001C1459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16C1B" w:rsidRPr="0000309F" w:rsidRDefault="000211A2" w:rsidP="0000309F">
      <w:pPr>
        <w:pStyle w:val="PageHeading"/>
        <w:jc w:val="left"/>
      </w:pPr>
      <w:bookmarkStart w:id="8" w:name="_Toc161838532"/>
      <w:r w:rsidRPr="0000309F">
        <w:rPr>
          <w:rFonts w:ascii="Times New Roman" w:hAnsi="Times New Roman" w:cs="Times New Roman"/>
        </w:rPr>
        <w:lastRenderedPageBreak/>
        <w:t>2. Odluka Europskog parlamenta</w:t>
      </w:r>
      <w:bookmarkEnd w:id="8"/>
      <w:r w:rsidRPr="0000309F">
        <w:rPr>
          <w:rFonts w:ascii="Times New Roman" w:hAnsi="Times New Roman" w:cs="Times New Roman"/>
        </w:rPr>
        <w:t xml:space="preserve"> od 11. travnja 2024. </w:t>
      </w:r>
      <w:r w:rsidR="00D16C1B" w:rsidRPr="0000309F">
        <w:rPr>
          <w:rFonts w:ascii="Times New Roman" w:hAnsi="Times New Roman" w:cs="Times New Roman"/>
        </w:rPr>
        <w:t>o zaključenju poslovnih knjiga Europske agencije za kontrolu ribarstva za financijsku godinu 2022.(2023/2150(DEC))</w:t>
      </w:r>
    </w:p>
    <w:p w:rsidR="00D16C1B" w:rsidRPr="0000309F" w:rsidRDefault="00D16C1B" w:rsidP="00D16C1B">
      <w:pPr>
        <w:pStyle w:val="EPComma"/>
      </w:pPr>
      <w:r w:rsidRPr="0000309F">
        <w:rPr>
          <w:i/>
        </w:rPr>
        <w:t>Europski parlament</w:t>
      </w:r>
      <w:r w:rsidRPr="0000309F">
        <w:t>,</w:t>
      </w:r>
    </w:p>
    <w:p w:rsidR="00D16C1B" w:rsidRPr="0000309F" w:rsidRDefault="00D16C1B" w:rsidP="00D16C1B">
      <w:pPr>
        <w:pStyle w:val="NormalHanging12a"/>
      </w:pPr>
      <w:r w:rsidRPr="0000309F">
        <w:t>–</w:t>
      </w:r>
      <w:r w:rsidRPr="0000309F">
        <w:tab/>
        <w:t>uzimajući u obzir završnu godišnju računovodstvenu dokumentaciju Europske agencije za kontrolu ribarstva za financijsku godinu 2022.,</w:t>
      </w:r>
    </w:p>
    <w:p w:rsidR="00D16C1B" w:rsidRPr="0000309F" w:rsidRDefault="00D16C1B" w:rsidP="00D16C1B">
      <w:pPr>
        <w:pStyle w:val="NormalHanging12a"/>
      </w:pPr>
      <w:r w:rsidRPr="0000309F">
        <w:t>–</w:t>
      </w:r>
      <w:r w:rsidRPr="0000309F">
        <w:tab/>
        <w:t>uzimajući u obzir godišnje izvješće Revizorskog suda o agencijama EU-a za financijsku godinu 2022., kojemu su priloženi odgovori agencija</w:t>
      </w:r>
      <w:r w:rsidRPr="0000309F">
        <w:rPr>
          <w:rStyle w:val="FootnoteReference"/>
        </w:rPr>
        <w:footnoteReference w:id="6"/>
      </w:r>
      <w:r w:rsidRPr="0000309F">
        <w:t>,</w:t>
      </w:r>
    </w:p>
    <w:p w:rsidR="00D16C1B" w:rsidRPr="0000309F" w:rsidRDefault="00D16C1B" w:rsidP="00D16C1B">
      <w:pPr>
        <w:pStyle w:val="NormalHanging12a"/>
      </w:pPr>
      <w:r w:rsidRPr="0000309F">
        <w:t>–</w:t>
      </w:r>
      <w:r w:rsidRPr="0000309F">
        <w:tab/>
        <w:t>uzimajući u obzir izjavu o jamstvu</w:t>
      </w:r>
      <w:r w:rsidRPr="0000309F">
        <w:rPr>
          <w:rStyle w:val="FootnoteReference"/>
        </w:rPr>
        <w:footnoteReference w:id="7"/>
      </w:r>
      <w:r w:rsidRPr="0000309F">
        <w:t xml:space="preserve"> u pogledu pouzdanosti računovodstvene dokumentacije te zakonitosti i pravilnosti temeljnih transakcija koju je u skladu s člankom 287. Ugovora o funkcioniranju Europske unije Revizorski sud podnio za financijsku godinu 2022.,</w:t>
      </w:r>
    </w:p>
    <w:p w:rsidR="00D16C1B" w:rsidRPr="0000309F" w:rsidRDefault="00D16C1B" w:rsidP="00D16C1B">
      <w:pPr>
        <w:pStyle w:val="NormalHanging12a"/>
      </w:pPr>
      <w:r w:rsidRPr="0000309F">
        <w:t>–</w:t>
      </w:r>
      <w:r w:rsidRPr="0000309F">
        <w:tab/>
        <w:t>uzimajući u obzir preporuku Vijeća od 22. veljače 2024. o razrješnici koju Agencija treba dobiti za izvršenje proračuna za financijsku godinu 2022. (0</w:t>
      </w:r>
      <w:r w:rsidR="000211A2" w:rsidRPr="0000309F">
        <w:t>6180</w:t>
      </w:r>
      <w:r w:rsidRPr="0000309F">
        <w:t>/2024 – C9</w:t>
      </w:r>
      <w:r w:rsidRPr="0000309F">
        <w:noBreakHyphen/>
        <w:t>00</w:t>
      </w:r>
      <w:r w:rsidR="000211A2" w:rsidRPr="0000309F">
        <w:t>88</w:t>
      </w:r>
      <w:r w:rsidRPr="0000309F">
        <w:t>/2024),</w:t>
      </w:r>
    </w:p>
    <w:p w:rsidR="00D16C1B" w:rsidRPr="0000309F" w:rsidRDefault="00D16C1B" w:rsidP="00D16C1B">
      <w:pPr>
        <w:pStyle w:val="NormalHanging12a"/>
      </w:pPr>
      <w:r w:rsidRPr="0000309F">
        <w:t>–</w:t>
      </w:r>
      <w:r w:rsidRPr="0000309F">
        <w:tab/>
        <w:t>uzimajući u obzir članak 319. Ugovora o funkcioniranju Europske unije,</w:t>
      </w:r>
    </w:p>
    <w:p w:rsidR="00D16C1B" w:rsidRPr="0000309F" w:rsidRDefault="00D16C1B" w:rsidP="00D16C1B">
      <w:pPr>
        <w:pStyle w:val="NormalHanging12a"/>
      </w:pPr>
      <w:r w:rsidRPr="0000309F">
        <w:t>–</w:t>
      </w:r>
      <w:r w:rsidRPr="0000309F">
        <w:tab/>
        <w:t>uzimajući u obzir Uredbu (EU, Euratom) 2018/1046 Europskog parlamenta i Vijeća od 18. srpnja 2018. o financijskim pravilima koja se primjenjuju na opći proračun Unije, o izmjeni uredaba (EU) br. 1296/2013, (EU) br. 1301/2013, (EU) br. 1303/2013, (EU) br. 1304/2013, (EU) br. 1309/2013, (EU) br. 1316/2013, (EU) br. 223/2014, (EU) br. 283/2014 i Odluke br. 541/2014/EU te o stavljanju izvan snage Uredbe (EU, Euratom) br. 966/2012</w:t>
      </w:r>
      <w:r w:rsidRPr="0000309F">
        <w:rPr>
          <w:rStyle w:val="FootnoteReference"/>
        </w:rPr>
        <w:footnoteReference w:id="8"/>
      </w:r>
      <w:r w:rsidRPr="0000309F">
        <w:t>, a posebno njezin članak 70.</w:t>
      </w:r>
      <w:r w:rsidR="00552913">
        <w:t>,</w:t>
      </w:r>
    </w:p>
    <w:p w:rsidR="00D16C1B" w:rsidRPr="0000309F" w:rsidRDefault="00D16C1B" w:rsidP="00D16C1B">
      <w:pPr>
        <w:pStyle w:val="NormalHanging12a"/>
      </w:pPr>
      <w:r w:rsidRPr="0000309F">
        <w:t>–</w:t>
      </w:r>
      <w:r w:rsidRPr="0000309F">
        <w:tab/>
        <w:t>uzimajući u obzir Uredbu (EU) 2019/473 Europskog parlamenta i Vijeća od 19. ožujka 2019. o Europskoj agenciji za kontrolu ribarstva</w:t>
      </w:r>
      <w:r w:rsidRPr="0000309F">
        <w:rPr>
          <w:rStyle w:val="FootnoteReference"/>
        </w:rPr>
        <w:footnoteReference w:id="9"/>
      </w:r>
      <w:r w:rsidRPr="0000309F">
        <w:t>, a posebno njezin članak 45.,</w:t>
      </w:r>
    </w:p>
    <w:p w:rsidR="00D16C1B" w:rsidRPr="0000309F" w:rsidRDefault="00D16C1B" w:rsidP="00D16C1B">
      <w:pPr>
        <w:pStyle w:val="NormalHanging12a"/>
      </w:pPr>
      <w:r w:rsidRPr="0000309F">
        <w:t>–</w:t>
      </w:r>
      <w:r w:rsidRPr="0000309F">
        <w:tab/>
        <w:t xml:space="preserve">uzimajući u obzir Delegiranu uredbu Komisije (EU) 2019/715 od 18. prosinca 2018. o okvirnoj financijskoj uredbi za tijela osnovana na temelju Ugovora o funkcioniranju Europske unije i Ugovora o </w:t>
      </w:r>
      <w:proofErr w:type="spellStart"/>
      <w:r w:rsidRPr="0000309F">
        <w:t>Euratomu</w:t>
      </w:r>
      <w:proofErr w:type="spellEnd"/>
      <w:r w:rsidRPr="0000309F">
        <w:t xml:space="preserve"> na koja se upućuje u članku 70. Uredbe (EU, Euratom) 2018/1046 Europskog parlamenta i Vijeća</w:t>
      </w:r>
      <w:r w:rsidRPr="0000309F">
        <w:rPr>
          <w:rStyle w:val="FootnoteReference"/>
        </w:rPr>
        <w:footnoteReference w:id="10"/>
      </w:r>
      <w:r w:rsidRPr="0000309F">
        <w:t>, a posebno njezin članak 105.,</w:t>
      </w:r>
    </w:p>
    <w:p w:rsidR="00D16C1B" w:rsidRPr="0000309F" w:rsidRDefault="00D16C1B" w:rsidP="00D16C1B">
      <w:pPr>
        <w:pStyle w:val="NormalHanging12a"/>
      </w:pPr>
      <w:r w:rsidRPr="0000309F">
        <w:t>–</w:t>
      </w:r>
      <w:r w:rsidRPr="0000309F">
        <w:tab/>
        <w:t>uzimajući u obzir članak 100. Poslovnika i Prilog V. Poslovniku,</w:t>
      </w:r>
    </w:p>
    <w:p w:rsidR="00D16C1B" w:rsidRPr="0000309F" w:rsidRDefault="00D16C1B" w:rsidP="00D16C1B">
      <w:pPr>
        <w:pStyle w:val="NormalHanging12a"/>
      </w:pPr>
      <w:r w:rsidRPr="0000309F">
        <w:t>–</w:t>
      </w:r>
      <w:r w:rsidRPr="0000309F">
        <w:tab/>
        <w:t>uzimajući u obzir mišljenje Odbora za ribarstvo,</w:t>
      </w:r>
    </w:p>
    <w:p w:rsidR="00D16C1B" w:rsidRPr="0000309F" w:rsidRDefault="00D16C1B" w:rsidP="00D16C1B">
      <w:pPr>
        <w:pStyle w:val="NormalHanging12a"/>
      </w:pPr>
      <w:r w:rsidRPr="0000309F">
        <w:t>–</w:t>
      </w:r>
      <w:r w:rsidRPr="0000309F">
        <w:tab/>
        <w:t>uzimajući u obzir izvješće Odbora za proračunski nadzor (A9</w:t>
      </w:r>
      <w:r w:rsidRPr="0000309F">
        <w:noBreakHyphen/>
        <w:t>0100/2024),</w:t>
      </w:r>
    </w:p>
    <w:p w:rsidR="00D16C1B" w:rsidRPr="0000309F" w:rsidRDefault="00D16C1B" w:rsidP="00D16C1B">
      <w:pPr>
        <w:pStyle w:val="NormalHanging12a"/>
      </w:pPr>
      <w:r w:rsidRPr="0000309F">
        <w:t>1.</w:t>
      </w:r>
      <w:r w:rsidRPr="0000309F">
        <w:tab/>
        <w:t>odobrava zaključenje poslovnih knjiga Europske agencije za kontrolu ribarstva za financijsku godinu 2022.;</w:t>
      </w:r>
    </w:p>
    <w:p w:rsidR="00D16C1B" w:rsidRPr="0000309F" w:rsidRDefault="00D16C1B" w:rsidP="00D16C1B">
      <w:pPr>
        <w:pStyle w:val="NormalHanging12a"/>
      </w:pPr>
      <w:r w:rsidRPr="0000309F">
        <w:t>2.</w:t>
      </w:r>
      <w:r w:rsidRPr="0000309F">
        <w:tab/>
        <w:t xml:space="preserve">nalaže svojoj predsjednici da ovu Odluku proslijedi izvršnoj direktorici Europske </w:t>
      </w:r>
      <w:r w:rsidRPr="0000309F">
        <w:lastRenderedPageBreak/>
        <w:t xml:space="preserve">agencije za kontrolu ribarstva, Vijeću, Komisiji i Revizorskom sudu te da je da na objavu u </w:t>
      </w:r>
      <w:r w:rsidRPr="0000309F">
        <w:rPr>
          <w:i/>
        </w:rPr>
        <w:t>Službenom listu Europske unije</w:t>
      </w:r>
      <w:r w:rsidRPr="0000309F">
        <w:t xml:space="preserve"> (serija L).</w:t>
      </w:r>
    </w:p>
    <w:p w:rsidR="00D16C1B" w:rsidRPr="0000309F" w:rsidRDefault="00D16C1B" w:rsidP="00D16C1B"/>
    <w:p w:rsidR="00D16C1B" w:rsidRPr="0000309F" w:rsidRDefault="00D16C1B" w:rsidP="00D16C1B">
      <w:pPr>
        <w:pStyle w:val="PageHeading"/>
        <w:sectPr w:rsidR="00D16C1B" w:rsidRPr="0000309F" w:rsidSect="001C1459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D16C1B" w:rsidRPr="0000309F" w:rsidRDefault="000211A2" w:rsidP="000211A2">
      <w:pPr>
        <w:pStyle w:val="PageHeading"/>
        <w:jc w:val="left"/>
        <w:rPr>
          <w:rFonts w:ascii="Times New Roman" w:hAnsi="Times New Roman" w:cs="Times New Roman"/>
        </w:rPr>
      </w:pPr>
      <w:bookmarkStart w:id="10" w:name="_Toc161838533"/>
      <w:r w:rsidRPr="0000309F">
        <w:rPr>
          <w:rFonts w:ascii="Times New Roman" w:hAnsi="Times New Roman" w:cs="Times New Roman"/>
        </w:rPr>
        <w:lastRenderedPageBreak/>
        <w:t>3. Rezolucija Europskog parlamenta</w:t>
      </w:r>
      <w:bookmarkEnd w:id="10"/>
      <w:r w:rsidRPr="0000309F">
        <w:rPr>
          <w:rFonts w:ascii="Times New Roman" w:hAnsi="Times New Roman" w:cs="Times New Roman"/>
        </w:rPr>
        <w:t xml:space="preserve"> od 11. travnja 2024. </w:t>
      </w:r>
      <w:r w:rsidR="00D16C1B" w:rsidRPr="0000309F">
        <w:rPr>
          <w:rFonts w:ascii="Times New Roman" w:hAnsi="Times New Roman" w:cs="Times New Roman"/>
        </w:rPr>
        <w:t>s primjedbama koje su sastavni dio Odluke o razrješnici za izvršenje proračuna Europske agencije za kontrolu ribarstva za financijsku godinu 2022.</w:t>
      </w:r>
      <w:r w:rsidRPr="0000309F">
        <w:rPr>
          <w:rFonts w:ascii="Times New Roman" w:hAnsi="Times New Roman" w:cs="Times New Roman"/>
        </w:rPr>
        <w:t xml:space="preserve"> </w:t>
      </w:r>
      <w:r w:rsidR="00D16C1B" w:rsidRPr="0000309F">
        <w:rPr>
          <w:rFonts w:ascii="Times New Roman" w:hAnsi="Times New Roman" w:cs="Times New Roman"/>
        </w:rPr>
        <w:t>(2023/2150(DEC))</w:t>
      </w:r>
    </w:p>
    <w:p w:rsidR="00D16C1B" w:rsidRPr="0000309F" w:rsidRDefault="00D16C1B" w:rsidP="00D16C1B">
      <w:pPr>
        <w:pStyle w:val="EPComma"/>
      </w:pPr>
      <w:r w:rsidRPr="0000309F">
        <w:rPr>
          <w:i/>
        </w:rPr>
        <w:t>Europski parlament</w:t>
      </w:r>
      <w:r w:rsidRPr="0000309F">
        <w:t>,</w:t>
      </w:r>
    </w:p>
    <w:p w:rsidR="00D16C1B" w:rsidRPr="0000309F" w:rsidRDefault="00D16C1B" w:rsidP="00D16C1B">
      <w:pPr>
        <w:pStyle w:val="NormalHanging12a"/>
      </w:pPr>
      <w:r w:rsidRPr="0000309F">
        <w:t>–</w:t>
      </w:r>
      <w:r w:rsidRPr="0000309F">
        <w:tab/>
        <w:t>uzimajući u obzir svoju Odluku o razrješnici za izvršenje proračuna Europske agencije za kontrolu ribarstva za financijsku godinu 2022.,</w:t>
      </w:r>
    </w:p>
    <w:p w:rsidR="00D16C1B" w:rsidRPr="0000309F" w:rsidRDefault="00D16C1B" w:rsidP="00D16C1B">
      <w:pPr>
        <w:pStyle w:val="NormalHanging12a"/>
      </w:pPr>
      <w:r w:rsidRPr="0000309F">
        <w:t>–</w:t>
      </w:r>
      <w:r w:rsidRPr="0000309F">
        <w:tab/>
        <w:t>uzimajući u obzir članak 100. Poslovnika i Prilog V. Poslovniku,</w:t>
      </w:r>
    </w:p>
    <w:p w:rsidR="00D16C1B" w:rsidRPr="0000309F" w:rsidRDefault="00D16C1B" w:rsidP="00D16C1B">
      <w:pPr>
        <w:pStyle w:val="NormalHanging12a"/>
      </w:pPr>
      <w:r w:rsidRPr="0000309F">
        <w:t>–</w:t>
      </w:r>
      <w:r w:rsidRPr="0000309F">
        <w:tab/>
        <w:t>uzimajući u obzir mišljenje Odbora za ribarstvo,</w:t>
      </w:r>
    </w:p>
    <w:p w:rsidR="00D16C1B" w:rsidRPr="0000309F" w:rsidRDefault="00D16C1B" w:rsidP="00D16C1B">
      <w:pPr>
        <w:pStyle w:val="NormalHanging12a"/>
      </w:pPr>
      <w:r w:rsidRPr="0000309F">
        <w:t>–</w:t>
      </w:r>
      <w:r w:rsidRPr="0000309F">
        <w:tab/>
        <w:t>uzimajući u obzir izvješće Odbora za proračunski nadzor (A9</w:t>
      </w:r>
      <w:r w:rsidRPr="0000309F">
        <w:noBreakHyphen/>
        <w:t>0100/2024),</w:t>
      </w:r>
    </w:p>
    <w:p w:rsidR="00D16C1B" w:rsidRPr="0000309F" w:rsidRDefault="00D16C1B" w:rsidP="00D16C1B">
      <w:pPr>
        <w:widowControl/>
        <w:spacing w:after="240"/>
        <w:ind w:left="567" w:hanging="567"/>
        <w:rPr>
          <w:szCs w:val="24"/>
        </w:rPr>
      </w:pPr>
      <w:r w:rsidRPr="0000309F">
        <w:t>A.</w:t>
      </w:r>
      <w:r w:rsidRPr="0000309F">
        <w:tab/>
        <w:t>budući da je prema računu prihoda i rashoda</w:t>
      </w:r>
      <w:r w:rsidRPr="0000309F">
        <w:rPr>
          <w:szCs w:val="24"/>
          <w:vertAlign w:val="superscript"/>
        </w:rPr>
        <w:footnoteReference w:id="11"/>
      </w:r>
      <w:r w:rsidRPr="0000309F">
        <w:t xml:space="preserve"> konačni proračun Europske agencije za kontrolu ribarstva („Agencija”) za financijsku godinu 2022. iznosio 34 967 797 EUR, što je povećanje od 61,73 % u odnosu na 2021. godinu, uz procijenjeno povećanje od 41 % općih subvencija EU-a te znatan rast namjenskih prihoda iz višegodišnjih sporazuma o doprinosu i bespovratnih sredstava; budući da su dodatne subvencije EU-a dodijeljene Agenciji, pokrenute 2021., povezane sa zakonodavnim financijskim izvještajem koji se odnosi na veće nadzorne zadaće u vodama EU-a koje graniče s Ujedinjenom Kraljevinom; budući da otprilike 84 % proračuna Agencije dolazi iz proračuna Unije, a otprilike 16 % iz namjenskih prihoda;</w:t>
      </w:r>
    </w:p>
    <w:p w:rsidR="00D16C1B" w:rsidRPr="0000309F" w:rsidRDefault="00D16C1B" w:rsidP="00D16C1B">
      <w:pPr>
        <w:widowControl/>
        <w:spacing w:after="240"/>
        <w:ind w:left="567" w:hanging="567"/>
        <w:rPr>
          <w:szCs w:val="24"/>
        </w:rPr>
      </w:pPr>
      <w:r w:rsidRPr="0000309F">
        <w:t>B.</w:t>
      </w:r>
      <w:r w:rsidRPr="0000309F">
        <w:tab/>
        <w:t>budući da Revizorski sud u svojem izvješću o godišnjoj računovodstvenoj dokumentaciji Agencije za financijsku godinu 2022. („izvješće Revizorskog suda”) izjavljuje da je dobio razumno jamstvo da je godišnja računovodstvena dokumentacija Agencije pouzdana te da su temeljne transakcije zakonite i pravilne;</w:t>
      </w:r>
    </w:p>
    <w:p w:rsidR="00D16C1B" w:rsidRPr="0000309F" w:rsidRDefault="00D16C1B" w:rsidP="00D16C1B">
      <w:pPr>
        <w:widowControl/>
        <w:spacing w:after="240"/>
        <w:ind w:left="567" w:hanging="567"/>
        <w:rPr>
          <w:b/>
          <w:i/>
          <w:szCs w:val="24"/>
        </w:rPr>
      </w:pPr>
      <w:r w:rsidRPr="0000309F">
        <w:rPr>
          <w:b/>
          <w:i/>
        </w:rPr>
        <w:t>Upravljanje proračunom i financijama</w:t>
      </w:r>
    </w:p>
    <w:p w:rsidR="00D16C1B" w:rsidRPr="0000309F" w:rsidRDefault="00D16C1B" w:rsidP="00D16C1B">
      <w:pPr>
        <w:widowControl/>
        <w:spacing w:after="240"/>
        <w:ind w:left="567" w:hanging="567"/>
        <w:rPr>
          <w:szCs w:val="24"/>
        </w:rPr>
      </w:pPr>
      <w:r w:rsidRPr="0000309F">
        <w:t>1.</w:t>
      </w:r>
      <w:r w:rsidRPr="0000309F">
        <w:tab/>
        <w:t>sa zadovoljstvom prima na znanje da je praćenje proračuna tijekom financijske godine 2022. rezultiralo izvršenjem proračuna od 99,41 % za odobrena sredstva za preuzimanje obveza za tu godinu, što je neznatno povećanje od 0,34 % u odnosu na 2021.; prima na znanje da je stopa izvršenja odobrenih sredstava za plaćanje iznosila 57,78 %, što je smanjenje od 16,7 % u odnosu na 2021.;</w:t>
      </w:r>
    </w:p>
    <w:p w:rsidR="00D16C1B" w:rsidRPr="0000309F" w:rsidRDefault="00D16C1B" w:rsidP="00D16C1B">
      <w:pPr>
        <w:widowControl/>
        <w:spacing w:after="240"/>
        <w:ind w:left="567" w:hanging="567"/>
        <w:rPr>
          <w:szCs w:val="24"/>
        </w:rPr>
      </w:pPr>
      <w:r w:rsidRPr="0000309F">
        <w:t>2.</w:t>
      </w:r>
      <w:r w:rsidRPr="0000309F">
        <w:tab/>
        <w:t>sa zabrinutošću napominje da je, prema Revizorskom sudu, Agencija prenijela 11,9 milijuna EUR (41 %) raspoloživih odobrenih sredstava za preuzimanje obveza za 2022. u 2023.; prima na znanje da je to uključivalo 1,6 milijuna EUR (ili 53 %) odobrenih sredstava u okviru glave II., koja se odnose na administrativne zadaće (2021.: 34 %) i 10,1 milijun EUR (ili 63 %) odobrenih sredstava u okviru glave III., koja se odnose na operativne zadaće (2021.: 42 %); ističe da su visoke stope prijenosa u suprotnosti s proračunskim načelom jedne godine i upućuju na strukturne probleme u proračunskom postupku i ciklusu izvršenja proračuna; prima na znanje odgovor Agencije o tom pitanju u kojem se ističe da su visoki prijenosi iz 2022. posljedica vrlo posebnih okolnosti za koje se ne očekuje da će se ponoviti;</w:t>
      </w:r>
    </w:p>
    <w:p w:rsidR="00D16C1B" w:rsidRPr="0000309F" w:rsidRDefault="00D16C1B" w:rsidP="00D16C1B">
      <w:pPr>
        <w:pStyle w:val="NormalHanging12a"/>
      </w:pPr>
      <w:r w:rsidRPr="0000309F">
        <w:lastRenderedPageBreak/>
        <w:t>3.</w:t>
      </w:r>
      <w:r w:rsidRPr="0000309F">
        <w:tab/>
        <w:t xml:space="preserve">napominje da je financijsku godinu 2022. obilježio oporavak od posljedica </w:t>
      </w:r>
      <w:proofErr w:type="spellStart"/>
      <w:r w:rsidRPr="0000309F">
        <w:t>pandemije</w:t>
      </w:r>
      <w:proofErr w:type="spellEnd"/>
      <w:r w:rsidRPr="0000309F">
        <w:t xml:space="preserve"> bolesti COVID-19 na prethodne dvije financijske godine, dok su se proračun i resursi EFCA-e nastavili povećavati zbog dodatnih zadaća i projekata, kako je predviđeno njezinim jedinstvenim programskim dokumentom za 2022.; ističe da bi rat u Ukrajini mogao utjecati na priznavanje i mjerenje određene imovine i obveza u bilanci te na određene prihode i rashode priznate u izvještaju o financijskom rezultatu za naredna izvještajna razdoblja;</w:t>
      </w:r>
    </w:p>
    <w:p w:rsidR="00D16C1B" w:rsidRPr="0000309F" w:rsidRDefault="00D16C1B" w:rsidP="00D16C1B">
      <w:pPr>
        <w:pStyle w:val="NormalHanging12a"/>
      </w:pPr>
      <w:r w:rsidRPr="0000309F">
        <w:t>4.</w:t>
      </w:r>
      <w:r w:rsidRPr="0000309F">
        <w:tab/>
        <w:t>naglašava da su za kontrolu ribolovnih aktivnosti prvenstveno odgovorne države članice, dok je uloga Agencije pružati potporu; ističe da će nedavna revizija sustava kontrole ribarstva Unije dovesti do povećanja radnog opterećenja Agencije kad je riječ o pružanju potpore; naglašava da je važno istaknuti da bi povećanje obveza bez dostatnih popratnih sredstava bilo nedosljedno; naglašava da bi zbog toga u predstojećim godinama Agenciji trebalo omogućiti dostatne financijske i ljudske resurse;</w:t>
      </w:r>
    </w:p>
    <w:p w:rsidR="00D16C1B" w:rsidRPr="0000309F" w:rsidRDefault="00D16C1B" w:rsidP="00D16C1B">
      <w:pPr>
        <w:widowControl/>
        <w:spacing w:after="240"/>
        <w:ind w:left="567" w:hanging="567"/>
        <w:rPr>
          <w:b/>
          <w:i/>
          <w:szCs w:val="24"/>
        </w:rPr>
      </w:pPr>
      <w:r w:rsidRPr="0000309F">
        <w:rPr>
          <w:b/>
          <w:i/>
        </w:rPr>
        <w:t>Uspješnost</w:t>
      </w:r>
    </w:p>
    <w:p w:rsidR="00D16C1B" w:rsidRPr="0000309F" w:rsidRDefault="00D16C1B" w:rsidP="00D16C1B">
      <w:pPr>
        <w:pStyle w:val="NormalHanging12a"/>
        <w:widowControl/>
      </w:pPr>
      <w:r w:rsidRPr="0000309F">
        <w:t>5.</w:t>
      </w:r>
      <w:r w:rsidRPr="0000309F">
        <w:tab/>
        <w:t>pozdravlja činjenicu da je Agencija 2022. provela 95,4 % godišnjeg programa rada koji je Upravni odbor usvojio u okviru jedinstvenog programskog dokumenta;</w:t>
      </w:r>
    </w:p>
    <w:p w:rsidR="00D16C1B" w:rsidRPr="0000309F" w:rsidRDefault="00D16C1B" w:rsidP="00D16C1B">
      <w:pPr>
        <w:pStyle w:val="NormalHanging12a"/>
        <w:widowControl/>
      </w:pPr>
      <w:r w:rsidRPr="0000309F">
        <w:t>6.</w:t>
      </w:r>
      <w:r w:rsidRPr="0000309F">
        <w:tab/>
        <w:t>sa zadovoljstvom primjećuje da se Agencija koristi ključnim pokazateljima uspješnosti kako bi ocijenila rezultate svojih aktivnosti u dvama primarnim područjima: operativnim i horizontalnim aktivnostima; nadalje, potvrđuje da operativne aktivnosti obuhvaćaju ključna područja kao što su operativna suradnja, pomoć u suradnji, međunarodna dimenzija i suradnja Unije kad je riječ o funkcijama obalne straže; prima na znanje da horizontalne aktivnosti uključuju komunikaciju i zastupanje, informacijsku i komunikacijsku tehnologiju i informacijsku sigurnost, kao i administrativne i upravljačke postupke;</w:t>
      </w:r>
    </w:p>
    <w:p w:rsidR="00D16C1B" w:rsidRPr="0000309F" w:rsidRDefault="00D16C1B" w:rsidP="00D16C1B">
      <w:pPr>
        <w:pStyle w:val="NormalHanging12a"/>
        <w:widowControl/>
      </w:pPr>
      <w:r w:rsidRPr="0000309F">
        <w:t>7.</w:t>
      </w:r>
      <w:r w:rsidRPr="0000309F">
        <w:tab/>
        <w:t xml:space="preserve">primjećuje da su tijekom 2022. Agenciji dodijeljena dodatna sredstva kako bi joj se osigurali potrebni operativni kapaciteti za pomoć državama članicama i Komisiji u sustavu praćenja, kontrole i nadzora koji se koristi za zajedničku </w:t>
      </w:r>
      <w:proofErr w:type="spellStart"/>
      <w:r w:rsidRPr="0000309F">
        <w:t>ribarstvenu</w:t>
      </w:r>
      <w:proofErr w:type="spellEnd"/>
      <w:r w:rsidRPr="0000309F">
        <w:t xml:space="preserve"> politiku, uključujući mjere koje proizlaze iz Sporazuma o trgovini i suradnji s Ujedinjenom Kraljevinom; osim toga, napominje da su 2022. uključena tri nova projekta subvencionirana bespovratnim sredstvima u okviru predstojećeg Europskog fonda za pomorstvo, ribarstvo i akvakulturu (EFPRA); primjećuje da su ti projekti obuhvaćali studiju o postupku vaganja proizvoda ribarstva diljem Unije, virtualnu regionalnu akademiju za osposobljavanje u zapadnom Sredozemnom moru za kontrolu i inspekciju ribarstva, kao i održavanje Priručnika i internetskog okvira za sektorske kvalifikacije (SQF) za suradnju Unije u pogledu funkcija obalne straže;</w:t>
      </w:r>
    </w:p>
    <w:p w:rsidR="00D16C1B" w:rsidRPr="0000309F" w:rsidRDefault="00D16C1B" w:rsidP="00D16C1B">
      <w:pPr>
        <w:pStyle w:val="NormalHanging12a"/>
        <w:widowControl/>
      </w:pPr>
      <w:r w:rsidRPr="0000309F">
        <w:t>8.</w:t>
      </w:r>
      <w:r w:rsidRPr="0000309F">
        <w:tab/>
        <w:t>podsjeća da je Agencija obvezna svakih pet godina provoditi neovisnu evaluaciju kao odgovor na pravnu obvezu utvrđenu člankom 48. Uredbe</w:t>
      </w:r>
      <w:r w:rsidR="00552913">
        <w:t xml:space="preserve"> (EU)</w:t>
      </w:r>
      <w:r w:rsidRPr="0000309F">
        <w:t> 2019/473 Europskog parlamenta i Vijeća</w:t>
      </w:r>
      <w:r w:rsidRPr="0000309F">
        <w:rPr>
          <w:rStyle w:val="FootnoteReference"/>
        </w:rPr>
        <w:footnoteReference w:id="12"/>
      </w:r>
      <w:r w:rsidRPr="0000309F">
        <w:t xml:space="preserve">; primjećuje da je za razdoblje 2017. – 2021. vanjski ocjenjivač u srpnju 2022. predstavio nacrt završnog izvješća koji je podnesen članovima Upravnog odbora na razmatranje; napominje da je evaluacijom ocijenjena uspješnost Agencije u odnosu na pet kriterija: djelotvornost, učinkovitost, relevantnost, usklađenost i dodana </w:t>
      </w:r>
      <w:r w:rsidRPr="0000309F">
        <w:lastRenderedPageBreak/>
        <w:t>vrijednost Unije, što je u skladu sa Smjernicama Komisije za bolju regulativu; ističe da je u evaluaciji navedeno deset preporuka usmjerenih na različite aspekte, konkretno, na organizacijske aspekte, utvrđivanje toga jesu li uloga i aktivnosti i dalje primjereni za ispunjavanje ciljeva utvrđenih u Uredbi (EU) 2019/473, kao i preporuke o posebnim aktivnostima Agencije;</w:t>
      </w:r>
    </w:p>
    <w:p w:rsidR="00D16C1B" w:rsidRPr="0000309F" w:rsidRDefault="00D16C1B" w:rsidP="00D16C1B">
      <w:pPr>
        <w:pStyle w:val="NormalHanging12a"/>
      </w:pPr>
      <w:r w:rsidRPr="0000309F">
        <w:t>9.</w:t>
      </w:r>
      <w:r w:rsidRPr="0000309F">
        <w:tab/>
        <w:t xml:space="preserve">podsjeća na ključan doprinos Agencije provedbi ZRP-a, posebno u pogledu kontrole ribarstva i borbe protiv nezakonitog, neprijavljenog i nereguliranog ribolova; pozdravlja povećanje kapaciteta zakupljenih </w:t>
      </w:r>
      <w:proofErr w:type="spellStart"/>
      <w:r w:rsidRPr="0000309F">
        <w:t>odobalnih</w:t>
      </w:r>
      <w:proofErr w:type="spellEnd"/>
      <w:r w:rsidRPr="0000309F">
        <w:t xml:space="preserve"> ophodnih plovila Agencije za provođenje </w:t>
      </w:r>
      <w:proofErr w:type="spellStart"/>
      <w:r w:rsidRPr="0000309F">
        <w:t>ribarstvene</w:t>
      </w:r>
      <w:proofErr w:type="spellEnd"/>
      <w:r w:rsidRPr="0000309F">
        <w:t xml:space="preserve"> kontrole i inspekcijskih pregleda u vodama Unije i međunarodnim vodama te za pružanje potpore nacionalnim tijelima; ističe sudjelovanje Agencije u velikim međunarodnim koalicijama za borbu protiv nezakonitog ribolova, kao što je operacija PESCAO (Program za poboljšano regionalno ribarstvo u zapadnoj Africi);</w:t>
      </w:r>
    </w:p>
    <w:p w:rsidR="00D16C1B" w:rsidRPr="0000309F" w:rsidRDefault="00D16C1B" w:rsidP="00D16C1B">
      <w:pPr>
        <w:spacing w:after="240"/>
        <w:ind w:left="567" w:hanging="567"/>
      </w:pPr>
      <w:r w:rsidRPr="0000309F">
        <w:t>10.</w:t>
      </w:r>
      <w:r w:rsidRPr="0000309F">
        <w:tab/>
        <w:t>napominje da je Agencija 2022. prijavila 47 592 inspekcijska pregleda (na moru i na kopnu), koji su rezultirali utvrđivanjem 167 slučajeva sumnje na prekršaj, što je smanjenje broja inspekcijskih pregleda od 11 % i povećanje broja slučajeva sumnji na prekršaj od 28 % u usporedbi s brojkama iz 2021.; ističe da uočeno smanjenje nije nužno povezano sa smanjenjem uloženih napora država članica u pogledu kontrole; poziva Agenciju da pruži detaljnije informacije o razlozima za te promjene; ističe da inspekcijski pregledi i druge popratne mjere imaju ključnu ulogu ne samo u pravilnom upravljanju ribljim stokovima, nego i u osiguravanju jednakih uvjeta za ribare u Uniji;</w:t>
      </w:r>
    </w:p>
    <w:p w:rsidR="00D16C1B" w:rsidRPr="0000309F" w:rsidRDefault="00D16C1B" w:rsidP="00D16C1B">
      <w:pPr>
        <w:pStyle w:val="NormalHanging12a"/>
      </w:pPr>
      <w:r w:rsidRPr="0000309F">
        <w:t>11.</w:t>
      </w:r>
      <w:r w:rsidRPr="0000309F">
        <w:tab/>
        <w:t>ističe ulogu Agencije u pružanju usluga izgradnje kapaciteta i osposobljavanja trećim zemljama i njezinu ključnu ulogu u jamčenju ravnopravnih uvjeta za sve obalne države;</w:t>
      </w:r>
    </w:p>
    <w:p w:rsidR="00D16C1B" w:rsidRPr="0000309F" w:rsidRDefault="00D16C1B" w:rsidP="00D16C1B">
      <w:pPr>
        <w:widowControl/>
        <w:spacing w:after="240"/>
        <w:ind w:left="567" w:hanging="567"/>
        <w:rPr>
          <w:b/>
          <w:i/>
        </w:rPr>
      </w:pPr>
      <w:r w:rsidRPr="0000309F">
        <w:rPr>
          <w:b/>
          <w:i/>
        </w:rPr>
        <w:t>Učinkovitost i rezultati u tom području</w:t>
      </w:r>
    </w:p>
    <w:p w:rsidR="00D16C1B" w:rsidRPr="0000309F" w:rsidRDefault="00D16C1B" w:rsidP="00D16C1B">
      <w:pPr>
        <w:widowControl/>
        <w:spacing w:after="240"/>
        <w:ind w:left="567" w:hanging="567"/>
      </w:pPr>
      <w:r w:rsidRPr="0000309F">
        <w:t>12.</w:t>
      </w:r>
      <w:r w:rsidRPr="0000309F">
        <w:tab/>
        <w:t xml:space="preserve">ističe da Agencija i dalje ima koristi od učinkovitosti ostvarene pridržavanjem plana Komisije u pogledu uključivanja njihovih postojećih korporativnih informacijskih sustava (SUMMA, e-nabava prije i nakon dodjele, MIPS, AGM, </w:t>
      </w:r>
      <w:proofErr w:type="spellStart"/>
      <w:r w:rsidRPr="0000309F">
        <w:t>Sysper</w:t>
      </w:r>
      <w:proofErr w:type="spellEnd"/>
      <w:r w:rsidRPr="0000309F">
        <w:t xml:space="preserve"> moduli, PPMT itd.); napominje da, osim prednosti utvrđenih u pogledu aspekata integracije svih tih sustava, smanjenje troškova održavanja potrebnih za izmjene i ažuriranja donosi jasne koristi;</w:t>
      </w:r>
    </w:p>
    <w:p w:rsidR="00D16C1B" w:rsidRPr="0000309F" w:rsidRDefault="00D16C1B" w:rsidP="00D16C1B">
      <w:pPr>
        <w:widowControl/>
        <w:spacing w:after="240"/>
        <w:ind w:left="567" w:hanging="567"/>
      </w:pPr>
      <w:r w:rsidRPr="0000309F">
        <w:t>13.</w:t>
      </w:r>
      <w:r w:rsidRPr="0000309F">
        <w:tab/>
        <w:t xml:space="preserve">pozdravlja činjenicu da Agencija prihvaća pozive za </w:t>
      </w:r>
      <w:proofErr w:type="spellStart"/>
      <w:r w:rsidRPr="0000309F">
        <w:t>međuinstitucijske</w:t>
      </w:r>
      <w:proofErr w:type="spellEnd"/>
      <w:r w:rsidRPr="0000309F">
        <w:t xml:space="preserve"> postupke javne nabave koje prima od Komisije i drugih agencija; napominje da Agencija trenutačno koristi više od 45 okvirnih ugovora koje su potpisali drugi subjekti; napominje da to dovodi do rotacije na vodećoj ulozi među agencijama, čime se općenito povećava učinkovitost napora agencija u pogledu javne nabave;</w:t>
      </w:r>
    </w:p>
    <w:p w:rsidR="00D16C1B" w:rsidRPr="0000309F" w:rsidRDefault="00D16C1B" w:rsidP="00D16C1B">
      <w:pPr>
        <w:widowControl/>
        <w:spacing w:after="240"/>
        <w:ind w:left="567" w:hanging="567"/>
      </w:pPr>
      <w:r w:rsidRPr="0000309F">
        <w:t>14.</w:t>
      </w:r>
      <w:r w:rsidRPr="0000309F">
        <w:tab/>
        <w:t>skreće pozornost na centralizaciju zajedničkih administrativnih zadaća, što je također doprinijelo učinkovitosti; prima na znanje da se pokretanje financijskih postupaka i njihova provjera i dalje centraliziraju, što omogućuje veću kontrolu transakcija, unificiranje metodologija i zadržavanje stručnog znanja u tim područjima;</w:t>
      </w:r>
    </w:p>
    <w:p w:rsidR="00D16C1B" w:rsidRPr="0000309F" w:rsidRDefault="00D16C1B" w:rsidP="00D16C1B">
      <w:pPr>
        <w:widowControl/>
        <w:spacing w:after="240"/>
        <w:ind w:left="567" w:hanging="567"/>
      </w:pPr>
      <w:r w:rsidRPr="0000309F">
        <w:t>15.</w:t>
      </w:r>
      <w:r w:rsidRPr="0000309F">
        <w:tab/>
        <w:t xml:space="preserve">napominje da je još jedan primjer veće učinkovitosti u području ljudskih resursa dijeljenje postojećih popisa uspješnih kandidata u postupcima zapošljavanja s drugim agencijama u slučaju da profil popisa uspješnih kandidata odgovara potrebama dotične agencije; napominje da se tom praksom omogućuje korištenje popisa uspješnih </w:t>
      </w:r>
      <w:r w:rsidRPr="0000309F">
        <w:lastRenderedPageBreak/>
        <w:t>kandidata druge agencije, bez potrebe za organiziranjem postupka zapošljavanja koji iziskuje resurse;</w:t>
      </w:r>
    </w:p>
    <w:p w:rsidR="00D16C1B" w:rsidRPr="0000309F" w:rsidRDefault="00D16C1B" w:rsidP="00D16C1B">
      <w:pPr>
        <w:pStyle w:val="NormalHanging12a"/>
      </w:pPr>
      <w:r w:rsidRPr="0000309F">
        <w:t>16.</w:t>
      </w:r>
      <w:r w:rsidRPr="0000309F">
        <w:tab/>
        <w:t>prima na znanje nastavak suradnje Agencije s Agencijom za europsku graničnu i obalnu stražu (</w:t>
      </w:r>
      <w:proofErr w:type="spellStart"/>
      <w:r w:rsidRPr="0000309F">
        <w:t>Frontex</w:t>
      </w:r>
      <w:proofErr w:type="spellEnd"/>
      <w:r w:rsidRPr="0000309F">
        <w:t>) te s Europskom agencijom za pomorsku sigurnost (EMSA) u cilju potpore nacionalnim tijelima koja obavljaju funkcije obalne straže, u skladu s člankom 8. Uredbe (EU) 2019/473; smatra tu suradnju uspješnim primjerom sinergije među agencijama Unije koji bi trebao poslužiti kao nadahnuće agencijama u drugim područjima; poziva Agenciju da nastavi ulagati napore u tom pogledu te smatra da je primjereno i povećati suradnju između Agencije i Europske agencije za okoliš;</w:t>
      </w:r>
    </w:p>
    <w:p w:rsidR="00D16C1B" w:rsidRPr="0000309F" w:rsidRDefault="00D16C1B" w:rsidP="00D16C1B">
      <w:pPr>
        <w:widowControl/>
        <w:spacing w:after="240"/>
        <w:ind w:left="567" w:hanging="567"/>
        <w:rPr>
          <w:b/>
          <w:i/>
          <w:szCs w:val="24"/>
        </w:rPr>
      </w:pPr>
      <w:r w:rsidRPr="0000309F">
        <w:rPr>
          <w:b/>
          <w:i/>
        </w:rPr>
        <w:t>Kadrovska politika</w:t>
      </w:r>
    </w:p>
    <w:p w:rsidR="00D16C1B" w:rsidRPr="0000309F" w:rsidRDefault="00D16C1B" w:rsidP="00D16C1B">
      <w:pPr>
        <w:widowControl/>
        <w:spacing w:after="240"/>
        <w:ind w:left="567" w:hanging="567"/>
        <w:rPr>
          <w:szCs w:val="24"/>
        </w:rPr>
      </w:pPr>
      <w:r w:rsidRPr="0000309F">
        <w:t>17.</w:t>
      </w:r>
      <w:r w:rsidRPr="0000309F">
        <w:tab/>
        <w:t xml:space="preserve">napominje da je 31. prosinca 2022. razina popunjenosti plana radnih mjesta iznosila 96,1 %, tj. imenovana su 74 privremena djelatnika od 77 odobrenih u okviru proračuna Unije (65 odobrenih radnih mjesta 2021.); također primjećuje da je 2022. za Agenciju radilo 11 ugovornih djelatnika, šest upućenih nacionalnih stručnjaka te 16 vanjskih djelatnika i konzultanata; nadalje, napominje da je ukupno 13 ugovornih djelatnika dobilo potporu u obliku </w:t>
      </w:r>
      <w:r w:rsidRPr="0000309F">
        <w:rPr>
          <w:i/>
          <w:iCs/>
        </w:rPr>
        <w:t xml:space="preserve">ad </w:t>
      </w:r>
      <w:proofErr w:type="spellStart"/>
      <w:r w:rsidRPr="0000309F">
        <w:rPr>
          <w:i/>
          <w:iCs/>
        </w:rPr>
        <w:t>hoc</w:t>
      </w:r>
      <w:proofErr w:type="spellEnd"/>
      <w:r w:rsidRPr="0000309F">
        <w:t xml:space="preserve"> bespovratnih sredstava i sporazuma o doprinosu u okviru različitih projekata;</w:t>
      </w:r>
    </w:p>
    <w:p w:rsidR="00D16C1B" w:rsidRPr="0000309F" w:rsidRDefault="00D16C1B" w:rsidP="00D16C1B">
      <w:pPr>
        <w:widowControl/>
        <w:spacing w:after="240"/>
        <w:ind w:left="567" w:hanging="567"/>
        <w:rPr>
          <w:szCs w:val="24"/>
        </w:rPr>
      </w:pPr>
      <w:r w:rsidRPr="0000309F">
        <w:t>18.</w:t>
      </w:r>
      <w:r w:rsidRPr="0000309F">
        <w:tab/>
        <w:t>prima na znanje reorganizaciju provedenu u veljači 2022. kako bi se organizacija prilagodila dodatnim zadaćama i resursima dodijeljenima Agenciji kako bi se povećali potrebni operativni kapaciteti za pružanje pomoći u praćenju, kontroli i nadzoru ribarstva u skladu sa zahtjevima ZRP-a, uključujući mjere koje proizlaze iz Sporazuma o trgovini i suradnji s Ujedinjenom Kraljevinom te nekoliko novih projekata u okviru sporazuma o doprinosu; ističe da je povećanje osoblja iznosilo gotovo 50 % u usporedbi sa stanjem na početku 2021., uključujući privremeno osoblje, ugovorne djelatnike i upućene nacionalne stručnjake;</w:t>
      </w:r>
    </w:p>
    <w:p w:rsidR="00D16C1B" w:rsidRPr="0000309F" w:rsidRDefault="00D16C1B" w:rsidP="00D16C1B">
      <w:pPr>
        <w:pStyle w:val="NormalHanging12a"/>
      </w:pPr>
      <w:r w:rsidRPr="0000309F">
        <w:t>19.</w:t>
      </w:r>
      <w:r w:rsidRPr="0000309F">
        <w:tab/>
        <w:t xml:space="preserve">prima na znanje politiku Agencije kojom se promiče jednako postupanje prema osoblju i cilj postizanja rodne ravnoteže i u pogledu broja zaposlenika i u pogledu njihova platnog razreda i razine odgovornosti; prima na znanje rodnu ravnotežu među ukupnim osobljem Agencije, u kojemu su 54 od 106 osoba (51 %) žene; ne odobrava činjenicu da žene čine 38 % osoblja razreda AD 8 (administratorska funkcijska skupina, razred 8) i više (isto kao 2021.); podsjeća na važnost jamčenja rodne ravnoteže i poziva Agenciju da taj aspekt uzme u obzir kad je riječ o imenovanjima na položaje višeg i srednjeg rukovodstva; napominje da je Agencija, iako 2022. nije donijela „Povelju o raznolikosti i </w:t>
      </w:r>
      <w:proofErr w:type="spellStart"/>
      <w:r w:rsidRPr="0000309F">
        <w:t>uključivosti</w:t>
      </w:r>
      <w:proofErr w:type="spellEnd"/>
      <w:r w:rsidRPr="0000309F">
        <w:t>”, mjerama koje je poduzimala nastojala uskladiti se s održivim ciljem br. 5 o rodnoj ravnopravnosti, kako je navedeno u njezinim ciljevima;</w:t>
      </w:r>
    </w:p>
    <w:p w:rsidR="00D16C1B" w:rsidRPr="0000309F" w:rsidRDefault="00D16C1B" w:rsidP="00D16C1B">
      <w:pPr>
        <w:pStyle w:val="NormalHanging12a"/>
      </w:pPr>
      <w:r w:rsidRPr="0000309F">
        <w:t>20.</w:t>
      </w:r>
      <w:r w:rsidRPr="0000309F">
        <w:tab/>
        <w:t>napominje da je na dan 31. prosinca 2022. Agencija zapošljavala osoblje iz 18 država članica; napominje da 33 % njezina osoblja čine državljani države članice u kojoj se Agencija nalazi; podsjeća na važnost geografske ravnoteže i potiče Agenciju da nastavi poduzimati potrebne mjere za uravnoteženu i pravednu zemljopisnu zastupljenost;</w:t>
      </w:r>
    </w:p>
    <w:p w:rsidR="00D16C1B" w:rsidRPr="0000309F" w:rsidRDefault="00D16C1B" w:rsidP="00D16C1B">
      <w:pPr>
        <w:pStyle w:val="NormalHanging12a"/>
        <w:widowControl/>
      </w:pPr>
      <w:r w:rsidRPr="0000309F">
        <w:t>21.</w:t>
      </w:r>
      <w:r w:rsidRPr="0000309F">
        <w:tab/>
        <w:t>prima na znanje da Agencija od 1. listopada 2022. analogijom primjenjuje pravila Komisije o radnom vremenu i hibridnom radu;</w:t>
      </w:r>
    </w:p>
    <w:p w:rsidR="00D16C1B" w:rsidRPr="0000309F" w:rsidRDefault="00D16C1B" w:rsidP="00D16C1B">
      <w:pPr>
        <w:pStyle w:val="NormalHanging12a"/>
        <w:widowControl/>
      </w:pPr>
      <w:r w:rsidRPr="0000309F">
        <w:t>22.</w:t>
      </w:r>
      <w:r w:rsidRPr="0000309F">
        <w:tab/>
        <w:t xml:space="preserve">primjećuje da je 2022. provedba modula </w:t>
      </w:r>
      <w:proofErr w:type="spellStart"/>
      <w:r w:rsidRPr="0000309F">
        <w:t>Sysper</w:t>
      </w:r>
      <w:proofErr w:type="spellEnd"/>
      <w:r w:rsidRPr="0000309F">
        <w:t xml:space="preserve"> uključivala uvođenje funkcije dopusta iz osobnih potreba (CCP), dodavanje platnih lista NDP za privremeno i ugovorno </w:t>
      </w:r>
      <w:r w:rsidRPr="0000309F">
        <w:lastRenderedPageBreak/>
        <w:t xml:space="preserve">osoblje, uvođenje nove mogućnosti podnošenja zahtjeva za rad na daljinu iz inozemstva (privremeni rad na daljinu) za privremeno i ugovorno osoblje, zajedno s privremenim načinom rada ADI; nadalje, uvedene su funkcionalnosti </w:t>
      </w:r>
      <w:proofErr w:type="spellStart"/>
      <w:r w:rsidRPr="0000309F">
        <w:t>Syspera</w:t>
      </w:r>
      <w:proofErr w:type="spellEnd"/>
      <w:r w:rsidRPr="0000309F">
        <w:t xml:space="preserve"> povezane s provedbom novih pravila o radnom vremenu i hibridnom radu, uveden je modul STAGE te je obavljen pripremni rad za module EVAL i OBJ;</w:t>
      </w:r>
    </w:p>
    <w:p w:rsidR="00D16C1B" w:rsidRPr="0000309F" w:rsidRDefault="00D16C1B" w:rsidP="00D16C1B">
      <w:pPr>
        <w:pStyle w:val="NormalHanging12a"/>
        <w:rPr>
          <w:b/>
          <w:i/>
          <w:szCs w:val="24"/>
        </w:rPr>
      </w:pPr>
      <w:r w:rsidRPr="0000309F">
        <w:rPr>
          <w:b/>
          <w:i/>
        </w:rPr>
        <w:t>Sprečavanje i postupanje u slučaju sukoba interesa te transparentnost</w:t>
      </w:r>
    </w:p>
    <w:p w:rsidR="00D16C1B" w:rsidRPr="0000309F" w:rsidRDefault="00D16C1B" w:rsidP="00D16C1B">
      <w:pPr>
        <w:pStyle w:val="NormalHanging12a"/>
        <w:rPr>
          <w:szCs w:val="24"/>
        </w:rPr>
      </w:pPr>
      <w:r w:rsidRPr="0000309F">
        <w:t>23.</w:t>
      </w:r>
      <w:r w:rsidRPr="0000309F">
        <w:tab/>
        <w:t>svjestan je da Agencija na svojim internetskim stranicama objavljuje izjave o financijskim interesima i životopise članova Upravnog odbora i višeg rukovodstva; konstatira, nadalje, da Agencija redovito ažurira tablicu, dostupnu na njezinim internetskim stranicama, sa svim sastancima izvršne direktorice i članova osoblja s organizacijama ili samozaposlenim osobama koje sudjeluju u oblikovanju i provedbi politika Unije kako bi se osigurala potpuna transparentnost i povjerenje u aktivnosti Agencije;</w:t>
      </w:r>
    </w:p>
    <w:p w:rsidR="00D16C1B" w:rsidRPr="0000309F" w:rsidRDefault="00D16C1B" w:rsidP="00D16C1B">
      <w:pPr>
        <w:pStyle w:val="NormalHanging12a"/>
      </w:pPr>
      <w:r w:rsidRPr="0000309F">
        <w:t>24.</w:t>
      </w:r>
      <w:r w:rsidRPr="0000309F">
        <w:tab/>
        <w:t>poziva Agenciju da nastavi redovito ažurirati i objavljivati informacije o relevantnim sastancima izvršne direktorice i osoblja s organizacijama ili samozaposlenim osobama koje sudjeluju u oblikovanju i provedbi politika Unije kako bi se osigurala potpuna transparentnost i povjerenje u aktivnosti Agencije;</w:t>
      </w:r>
    </w:p>
    <w:p w:rsidR="00D16C1B" w:rsidRPr="0000309F" w:rsidRDefault="00D16C1B" w:rsidP="00D16C1B">
      <w:pPr>
        <w:pStyle w:val="NormalHanging12a"/>
        <w:rPr>
          <w:szCs w:val="24"/>
        </w:rPr>
      </w:pPr>
      <w:r w:rsidRPr="0000309F">
        <w:t>25.</w:t>
      </w:r>
      <w:r w:rsidRPr="0000309F">
        <w:tab/>
        <w:t>prima na znanje da Agencija primjenjuje svoju politiku o sukobima interesa na svoje osoblje, upućene nacionalne stručnjake, plaćene vanjske stručnjake, stažiste i članove Upravnog i Savjetodavnog odbora; napominje da informira svoje osoblje o toj politici putem intraneta i tečajeva te da se dužnosnici i stručnjaci obvezuju na usklađenost s njome potpisivanjem izjava, među ostalim izjava o povjerljivosti; nadalje, napominje da su u općim uvjetima ugovorâ Agencije utvrđene posebne odredbe o sukobu interesa za ugovaratelje Agencije, uključujući osoblje agencija za privremeno zapošljavanje koje pruža usluge;</w:t>
      </w:r>
    </w:p>
    <w:p w:rsidR="00D16C1B" w:rsidRPr="0000309F" w:rsidRDefault="00D16C1B" w:rsidP="00D16C1B">
      <w:pPr>
        <w:pStyle w:val="NormalHanging12a"/>
        <w:rPr>
          <w:szCs w:val="24"/>
        </w:rPr>
      </w:pPr>
      <w:r w:rsidRPr="0000309F">
        <w:t>26.</w:t>
      </w:r>
      <w:r w:rsidRPr="0000309F">
        <w:tab/>
        <w:t>potvrđuje da Agencija od 2014. ima strategiju za borbu protiv prijevara koja se redovito ažurira i trenutačno je usmjerena na provedbu mjera za ublažavanje rizika od prijevara utvrđenih u procjenama rizika; napominje da se u najnovijem ažuriranju 2022., koje je odobrio Upravni odbor, naglašavaju kontinuirani napori u podizanju razine osviještenosti o etičnosti i integritetu;</w:t>
      </w:r>
    </w:p>
    <w:p w:rsidR="00D16C1B" w:rsidRPr="0000309F" w:rsidRDefault="00D16C1B" w:rsidP="00D16C1B">
      <w:pPr>
        <w:widowControl/>
        <w:spacing w:after="240"/>
        <w:ind w:left="567" w:hanging="567"/>
        <w:rPr>
          <w:szCs w:val="24"/>
        </w:rPr>
      </w:pPr>
      <w:r w:rsidRPr="0000309F">
        <w:rPr>
          <w:b/>
          <w:i/>
        </w:rPr>
        <w:t>Javna nabava</w:t>
      </w:r>
    </w:p>
    <w:p w:rsidR="00D16C1B" w:rsidRPr="0000309F" w:rsidRDefault="00D16C1B" w:rsidP="00D16C1B">
      <w:pPr>
        <w:widowControl/>
        <w:spacing w:after="240"/>
        <w:ind w:left="567" w:hanging="567"/>
        <w:rPr>
          <w:szCs w:val="24"/>
        </w:rPr>
      </w:pPr>
      <w:r w:rsidRPr="0000309F">
        <w:t>27.</w:t>
      </w:r>
      <w:r w:rsidRPr="0000309F">
        <w:tab/>
        <w:t xml:space="preserve">prima na znanje da je prema tvrdnjama Revizorskog suda Agencija 2022. potpisala okvirni ugovor u vrijednosti od 90 milijuna EUR za najam triju </w:t>
      </w:r>
      <w:proofErr w:type="spellStart"/>
      <w:r w:rsidRPr="0000309F">
        <w:t>odobalnih</w:t>
      </w:r>
      <w:proofErr w:type="spellEnd"/>
      <w:r w:rsidRPr="0000309F">
        <w:t xml:space="preserve"> ophodnih plovila, s početnim trajanjem od 24 mjeseca, uz mogućnost prešutnog produljenja četiri puta, svaki put za dodatnih 12 mjeseci, ukupno do šest godina; podsjeća da su točkom 1.1 Priloga 1. Uredbi (EU, Euratom) 2018/1046 Europskog parlamenta i Vijeća</w:t>
      </w:r>
      <w:r w:rsidRPr="0000309F">
        <w:rPr>
          <w:rStyle w:val="FootnoteReference"/>
          <w:szCs w:val="24"/>
        </w:rPr>
        <w:footnoteReference w:id="13"/>
      </w:r>
      <w:r w:rsidRPr="0000309F">
        <w:t xml:space="preserve"> (Financijska uredba) dopušteni okvirni ugovori u trajanju duljem od četiri godine, ali samo u iznimnim, propisno opravdanim slučajevima; prima na znanje da je Agencija </w:t>
      </w:r>
      <w:r w:rsidRPr="0000309F">
        <w:lastRenderedPageBreak/>
        <w:t>dulji ugovor opravdala potrebom da se zajamči odgovarajući povrat ulaganja za ugovaratelje koji su plovila morali dodatno opremiti čamcima na napuhavanje s čvrstim trupom; nadalje, napominje da je Revizorski sud to obrazloženje smatrao nedovoljnim jer su troškovi opremanja procijenjeni na oko 1 % ukupne vrijednosti ugovora te je Agencija, osim toga, zadržala mogućnost jednostranog raskida ugovora nakon prve dvije godine i nakon svake sljedeće godine, čime se dovodi u pitanje argument da je ugovaratelju bilo potrebno zajamčeno trajanje ugovora od šest godina kako bi se osigurao povrat ulaganja; ističe da će Revizorski sud naknadna povezana plaćanja smatrati nepravilnima ako se ugovor produlji usprkos četverogodišnjem ograničenju; primjećuje da je Agencija pri pripremi postupka smatrala da tržište možda nije procijenilo da uobičajeno trajanje ugovora od četiri godine pruža dovoljan povrat ulaganja te da su uspješno pružanje i kontinuitet usluge koja je predmet povezanog okvirnog ugovora ključni za njezine osnovne operacije;</w:t>
      </w:r>
    </w:p>
    <w:p w:rsidR="00D16C1B" w:rsidRPr="0000309F" w:rsidRDefault="00D16C1B" w:rsidP="00D16C1B">
      <w:pPr>
        <w:widowControl/>
        <w:spacing w:after="240"/>
        <w:ind w:left="567" w:hanging="567"/>
        <w:rPr>
          <w:szCs w:val="24"/>
        </w:rPr>
      </w:pPr>
      <w:r w:rsidRPr="0000309F">
        <w:t>28.</w:t>
      </w:r>
      <w:r w:rsidRPr="0000309F">
        <w:tab/>
        <w:t>podsjeća na to da je u svim postupcima nabave važno zajamčiti pošteno tržišno natjecanje među ponuditeljima te nabavu robe i usluga po najboljoj mogućoj cijeni uz poštovanje načela transparentnosti, proporcionalnosti, jednakog postupanja i nediskriminacije; poziva Agenciju da poboljša svoje postupke javne nabave, osiguravajući pritom potpunu usklađenost s primjenjivim pravilima, kako bi ostvarila najveću moguću vrijednost za javna sredstva;</w:t>
      </w:r>
    </w:p>
    <w:p w:rsidR="00D16C1B" w:rsidRPr="0000309F" w:rsidRDefault="00D16C1B" w:rsidP="00D16C1B">
      <w:pPr>
        <w:widowControl/>
        <w:spacing w:after="240"/>
        <w:ind w:left="567" w:hanging="567"/>
        <w:rPr>
          <w:b/>
          <w:i/>
          <w:szCs w:val="24"/>
        </w:rPr>
      </w:pPr>
      <w:r w:rsidRPr="0000309F">
        <w:rPr>
          <w:b/>
          <w:i/>
        </w:rPr>
        <w:t>Unutarnja kontrola</w:t>
      </w:r>
    </w:p>
    <w:p w:rsidR="00D16C1B" w:rsidRPr="0000309F" w:rsidRDefault="00D16C1B" w:rsidP="00D16C1B">
      <w:pPr>
        <w:widowControl/>
        <w:spacing w:after="240"/>
        <w:ind w:left="567" w:hanging="567"/>
        <w:rPr>
          <w:szCs w:val="24"/>
        </w:rPr>
      </w:pPr>
      <w:r w:rsidRPr="0000309F">
        <w:t>29.</w:t>
      </w:r>
      <w:r w:rsidRPr="0000309F">
        <w:tab/>
        <w:t>izražava zabrinutost zbog toga što je Revizorski sud utvrdio da u postupcima za odabir i angažiranje vanjskih stručnjaka sustavno manjka pouzdan revizijski trag koji se zahtijeva člankom 36. stavkom 3. Financijske uredbe; napominje da, konkretno, nije prikupljeno dovoljno dokaza o tome da su stručnjaci kojima su povjerene određene zadaće odabrani na temelju unaprijed definiranih kriterija za odabir koji se odnose na njihove relativne prednosti te o tome da su se poštovala načela nediskriminacije i jednakog postupanja utvrđena u članku 237. Financijske uredbe; poziva Agenciju da poboljša svoje interne postupke odabira i angažiranja vanjskih stručnjaka te da tijelo nadležno za davanje razrješnice izvijesti o svim mjerama poduzetima u tom pogledu;</w:t>
      </w:r>
    </w:p>
    <w:p w:rsidR="00D16C1B" w:rsidRPr="0000309F" w:rsidRDefault="00D16C1B" w:rsidP="00D16C1B">
      <w:pPr>
        <w:widowControl/>
        <w:spacing w:after="240"/>
        <w:ind w:left="567" w:hanging="567"/>
        <w:rPr>
          <w:szCs w:val="24"/>
        </w:rPr>
      </w:pPr>
      <w:r w:rsidRPr="0000309F">
        <w:t>30.</w:t>
      </w:r>
      <w:r w:rsidRPr="0000309F">
        <w:tab/>
        <w:t xml:space="preserve">sa zabrinutošću napominje da je, prema Revizorskom sudu, Agencija u svibnju 2022. pokrenula pregovarački postupak bez prethodne objave obavijesti o nadmetanju za najam </w:t>
      </w:r>
      <w:proofErr w:type="spellStart"/>
      <w:r w:rsidRPr="0000309F">
        <w:t>odobalnih</w:t>
      </w:r>
      <w:proofErr w:type="spellEnd"/>
      <w:r w:rsidRPr="0000309F">
        <w:t xml:space="preserve"> ophodnih plovila koja će se upotrebljavati u vodama između Unije i Ujedinjene Kraljevine te je u lipnju 2022. potpisala ugovor kako bi premostila jaz između prethodnih i budućih ugovora u okviru otvorenog postupka, koji je u tijeku i koji je trajao dulje nego što se prvotno očekivalo; prima na znanje da je Agencija opravdala hitnost iskoristivši izuzeće u Financijskoj uredbi, navodeći nepredvidive događaje, što je iznimka dopuštena točkom 11.1. </w:t>
      </w:r>
      <w:proofErr w:type="spellStart"/>
      <w:r w:rsidRPr="0000309F">
        <w:t>podtočkom</w:t>
      </w:r>
      <w:proofErr w:type="spellEnd"/>
      <w:r w:rsidRPr="0000309F">
        <w:t xml:space="preserve"> (c) Priloga I. Financijskoj uredbi; primjećuje da je Revizorski sud zaključio da, premda neki od faktora koji su doveli do te hitnosti možda nisu bili predvidljivi, a neki drugi faktori jesu, činjenica da nisu na odgovarajući način uzeti u obzir upućuje na manjkavosti u planiranju Agencije kao i u njenom upravljanju javnom nabavom za zakup tih triju plovila; poziva Agenciju da razmotri i ispravi manjkavosti u svojem planiranju i upravljanju javnom nabavom, koje je istaknuo Revizorski sud, i da tijelo nadležno za davanje razrješnice što prije izvijesti o svim mjerama poduzetima u tom pogledu;</w:t>
      </w:r>
    </w:p>
    <w:p w:rsidR="00D16C1B" w:rsidRPr="0000309F" w:rsidRDefault="00D16C1B" w:rsidP="00D16C1B">
      <w:pPr>
        <w:widowControl/>
        <w:spacing w:after="240"/>
        <w:ind w:left="567" w:hanging="567"/>
        <w:rPr>
          <w:b/>
          <w:i/>
          <w:szCs w:val="24"/>
        </w:rPr>
      </w:pPr>
      <w:r w:rsidRPr="0000309F">
        <w:rPr>
          <w:b/>
          <w:i/>
        </w:rPr>
        <w:t>Ostale primjedbe</w:t>
      </w:r>
    </w:p>
    <w:p w:rsidR="00D16C1B" w:rsidRPr="0000309F" w:rsidRDefault="00D16C1B" w:rsidP="00D16C1B">
      <w:pPr>
        <w:widowControl/>
        <w:spacing w:after="240"/>
        <w:ind w:left="567" w:hanging="567"/>
        <w:rPr>
          <w:szCs w:val="24"/>
        </w:rPr>
      </w:pPr>
      <w:r w:rsidRPr="0000309F">
        <w:lastRenderedPageBreak/>
        <w:t>31.</w:t>
      </w:r>
      <w:r w:rsidRPr="0000309F">
        <w:tab/>
        <w:t>prima na znanje da Agencija nije provela certifikaciju u okviru sustava upravljanja okolišem i neovisnog ocjenjivanja (EMAS) jer su napori usmjereni na potporu drugim projektima;</w:t>
      </w:r>
      <w:r w:rsidRPr="0000309F">
        <w:rPr>
          <w:rFonts w:ascii="Segoe UI" w:hAnsi="Segoe UI"/>
          <w:color w:val="374151"/>
        </w:rPr>
        <w:t xml:space="preserve"> </w:t>
      </w:r>
      <w:r w:rsidRPr="0000309F">
        <w:t>podsjeća da je cilj tog sustava promicati stalna poboljšanja u pogledu okolišne učinkovitosti organizacija; potiče Agenciju da poduzme korake prema provedbi EMAS-a;</w:t>
      </w:r>
    </w:p>
    <w:p w:rsidR="00D16C1B" w:rsidRPr="0000309F" w:rsidRDefault="00D16C1B" w:rsidP="00D16C1B">
      <w:pPr>
        <w:pStyle w:val="NormalCenter12a"/>
      </w:pPr>
      <w:r w:rsidRPr="0000309F">
        <w:t>°</w:t>
      </w:r>
    </w:p>
    <w:p w:rsidR="00D16C1B" w:rsidRPr="0000309F" w:rsidRDefault="00D16C1B" w:rsidP="00D16C1B">
      <w:pPr>
        <w:pStyle w:val="NormalCenter12a"/>
      </w:pPr>
      <w:r w:rsidRPr="0000309F">
        <w:t>°</w:t>
      </w:r>
      <w:r w:rsidRPr="0000309F">
        <w:tab/>
        <w:t>°</w:t>
      </w:r>
    </w:p>
    <w:p w:rsidR="00D16C1B" w:rsidRPr="0000309F" w:rsidRDefault="00D16C1B" w:rsidP="00D16C1B">
      <w:pPr>
        <w:pStyle w:val="NormalHanging12a"/>
      </w:pPr>
      <w:r w:rsidRPr="0000309F">
        <w:t>32.</w:t>
      </w:r>
      <w:r w:rsidRPr="0000309F">
        <w:tab/>
        <w:t xml:space="preserve">u vezi s drugim primjedbama koje su priložene Odluci o razrješnici i horizontalne su naravi upućuje na svoju Rezoluciju od </w:t>
      </w:r>
      <w:r w:rsidR="000211A2" w:rsidRPr="0000309F">
        <w:t>11. travnja 2024.</w:t>
      </w:r>
      <w:r w:rsidRPr="0000309F">
        <w:rPr>
          <w:vertAlign w:val="superscript"/>
        </w:rPr>
        <w:footnoteReference w:id="14"/>
      </w:r>
      <w:r w:rsidRPr="0000309F">
        <w:t xml:space="preserve"> o uspješnosti, financijskom upravljanju i nadzoru agencija.</w:t>
      </w:r>
    </w:p>
    <w:sectPr w:rsidR="00D16C1B" w:rsidRPr="0000309F" w:rsidSect="001C145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760F" w:rsidRPr="001C1459" w:rsidRDefault="009B760F">
      <w:r w:rsidRPr="001C1459">
        <w:separator/>
      </w:r>
    </w:p>
  </w:endnote>
  <w:endnote w:type="continuationSeparator" w:id="0">
    <w:p w:rsidR="009B760F" w:rsidRPr="001C1459" w:rsidRDefault="009B760F">
      <w:r w:rsidRPr="001C14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C1B" w:rsidRPr="001C1459" w:rsidRDefault="00D16C1B" w:rsidP="00592BFA">
    <w:pPr>
      <w:pStyle w:val="EPFooter"/>
    </w:pPr>
    <w:r w:rsidRPr="001C1459">
      <w:t>PE</w:t>
    </w:r>
    <w:r w:rsidRPr="001C1459">
      <w:rPr>
        <w:rStyle w:val="HideTWBExt"/>
      </w:rPr>
      <w:t>&lt;NoPE&gt;</w:t>
    </w:r>
    <w:r w:rsidRPr="001C1459">
      <w:t>753.518</w:t>
    </w:r>
    <w:r w:rsidRPr="001C1459">
      <w:rPr>
        <w:rStyle w:val="HideTWBExt"/>
      </w:rPr>
      <w:t>&lt;/NoPE&gt;&lt;Version&gt;</w:t>
    </w:r>
    <w:r w:rsidRPr="001C1459">
      <w:t>v02-00</w:t>
    </w:r>
    <w:r w:rsidRPr="001C1459">
      <w:rPr>
        <w:rStyle w:val="HideTWBExt"/>
      </w:rPr>
      <w:t>&lt;/Version&gt;</w:t>
    </w:r>
    <w:r w:rsidRPr="001C1459">
      <w:tab/>
    </w:r>
    <w:r w:rsidRPr="001C1459">
      <w:fldChar w:fldCharType="begin"/>
    </w:r>
    <w:r w:rsidRPr="001C1459">
      <w:instrText xml:space="preserve"> PAGE  \* MERGEFORMAT </w:instrText>
    </w:r>
    <w:r w:rsidRPr="001C1459">
      <w:fldChar w:fldCharType="separate"/>
    </w:r>
    <w:r w:rsidRPr="001C1459">
      <w:rPr>
        <w:noProof/>
      </w:rPr>
      <w:t>12</w:t>
    </w:r>
    <w:r w:rsidRPr="001C1459">
      <w:fldChar w:fldCharType="end"/>
    </w:r>
    <w:r w:rsidRPr="001C1459">
      <w:t>/</w:t>
    </w:r>
    <w:fldSimple w:instr=" NUMPAGES  \* MERGEFORMAT ">
      <w:r w:rsidRPr="001C1459">
        <w:rPr>
          <w:noProof/>
        </w:rPr>
        <w:t>12</w:t>
      </w:r>
    </w:fldSimple>
    <w:r w:rsidRPr="001C1459">
      <w:tab/>
    </w:r>
    <w:r w:rsidRPr="001C1459">
      <w:rPr>
        <w:rStyle w:val="HideTWBExt"/>
      </w:rPr>
      <w:t>&lt;PathFdR&gt;</w:t>
    </w:r>
    <w:r w:rsidRPr="001C1459">
      <w:t>RR\1298773HR.docx</w:t>
    </w:r>
    <w:r w:rsidRPr="001C1459">
      <w:rPr>
        <w:rStyle w:val="HideTWBExt"/>
      </w:rPr>
      <w:t>&lt;/PathFdR&gt;</w:t>
    </w:r>
  </w:p>
  <w:p w:rsidR="00D16C1B" w:rsidRPr="001C1459" w:rsidRDefault="00D16C1B" w:rsidP="00592BFA">
    <w:pPr>
      <w:pStyle w:val="EPFooter2"/>
    </w:pPr>
    <w:r w:rsidRPr="001C1459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C1B" w:rsidRPr="001C1459" w:rsidRDefault="00D16C1B" w:rsidP="00592BFA">
    <w:pPr>
      <w:pStyle w:val="EPFooter"/>
    </w:pPr>
    <w:r w:rsidRPr="001C1459">
      <w:rPr>
        <w:rStyle w:val="HideTWBExt"/>
      </w:rPr>
      <w:t>&lt;PathFdR&gt;</w:t>
    </w:r>
    <w:r w:rsidRPr="001C1459">
      <w:t>RR\1298773HR.docx</w:t>
    </w:r>
    <w:r w:rsidRPr="001C1459">
      <w:rPr>
        <w:rStyle w:val="HideTWBExt"/>
      </w:rPr>
      <w:t>&lt;/PathFdR&gt;</w:t>
    </w:r>
    <w:r w:rsidRPr="001C1459">
      <w:tab/>
    </w:r>
    <w:r w:rsidRPr="001C1459">
      <w:tab/>
      <w:t>PE</w:t>
    </w:r>
    <w:r w:rsidRPr="001C1459">
      <w:rPr>
        <w:rStyle w:val="HideTWBExt"/>
      </w:rPr>
      <w:t>&lt;NoPE&gt;</w:t>
    </w:r>
    <w:r w:rsidRPr="001C1459">
      <w:t>753.518</w:t>
    </w:r>
    <w:r w:rsidRPr="001C1459">
      <w:rPr>
        <w:rStyle w:val="HideTWBExt"/>
      </w:rPr>
      <w:t>&lt;/NoPE&gt;&lt;Version&gt;</w:t>
    </w:r>
    <w:r w:rsidRPr="001C1459">
      <w:t>v02-00</w:t>
    </w:r>
    <w:r w:rsidRPr="001C1459">
      <w:rPr>
        <w:rStyle w:val="HideTWBExt"/>
      </w:rPr>
      <w:t>&lt;/Version&gt;</w:t>
    </w:r>
  </w:p>
  <w:p w:rsidR="00D16C1B" w:rsidRPr="001C1459" w:rsidRDefault="00D16C1B" w:rsidP="00592BFA">
    <w:pPr>
      <w:pStyle w:val="EPFooter2"/>
    </w:pPr>
    <w:r w:rsidRPr="001C1459">
      <w:t>HR</w:t>
    </w:r>
    <w:r w:rsidRPr="001C1459">
      <w:tab/>
    </w:r>
    <w:r w:rsidRPr="001C1459">
      <w:rPr>
        <w:b w:val="0"/>
        <w:i/>
        <w:color w:val="C0C0C0"/>
        <w:sz w:val="22"/>
      </w:rPr>
      <w:t>Ujedinjena u raznolikosti</w:t>
    </w:r>
    <w:r w:rsidRPr="001C1459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1459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1459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145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760F" w:rsidRPr="001C1459" w:rsidRDefault="009B760F">
      <w:r w:rsidRPr="001C1459">
        <w:separator/>
      </w:r>
    </w:p>
  </w:footnote>
  <w:footnote w:type="continuationSeparator" w:id="0">
    <w:p w:rsidR="009B760F" w:rsidRPr="001C1459" w:rsidRDefault="009B760F">
      <w:r w:rsidRPr="001C1459">
        <w:continuationSeparator/>
      </w:r>
    </w:p>
  </w:footnote>
  <w:footnote w:id="1">
    <w:p w:rsidR="00D16C1B" w:rsidRPr="001C1459" w:rsidRDefault="00D16C1B" w:rsidP="001C1459">
      <w:pPr>
        <w:pStyle w:val="FootnoteText"/>
        <w:ind w:left="567" w:hanging="567"/>
        <w:rPr>
          <w:sz w:val="24"/>
          <w:lang w:val="hr-HR"/>
        </w:rPr>
      </w:pPr>
      <w:r w:rsidRPr="001C1459">
        <w:rPr>
          <w:rStyle w:val="FootnoteReference"/>
          <w:sz w:val="24"/>
          <w:lang w:val="hr-HR"/>
        </w:rPr>
        <w:footnoteRef/>
      </w:r>
      <w:r w:rsidR="001C1459" w:rsidRPr="001C1459">
        <w:rPr>
          <w:sz w:val="24"/>
          <w:lang w:val="hr-HR"/>
        </w:rPr>
        <w:t xml:space="preserve"> </w:t>
      </w:r>
      <w:r w:rsidR="001C1459" w:rsidRPr="001C1459">
        <w:rPr>
          <w:sz w:val="24"/>
          <w:lang w:val="hr-HR"/>
        </w:rPr>
        <w:tab/>
      </w:r>
      <w:r w:rsidR="0064497B">
        <w:rPr>
          <w:sz w:val="24"/>
          <w:lang w:val="hr-HR"/>
        </w:rPr>
        <w:t>SL C</w:t>
      </w:r>
      <w:r w:rsidRPr="001C1459">
        <w:rPr>
          <w:sz w:val="24"/>
          <w:lang w:val="hr-HR"/>
        </w:rPr>
        <w:t>, C/2023/594, 27.10.2023.</w:t>
      </w:r>
    </w:p>
  </w:footnote>
  <w:footnote w:id="2">
    <w:p w:rsidR="00D16C1B" w:rsidRPr="001C1459" w:rsidRDefault="00D16C1B" w:rsidP="001C1459">
      <w:pPr>
        <w:pStyle w:val="FootnoteText"/>
        <w:ind w:left="567" w:hanging="567"/>
        <w:rPr>
          <w:sz w:val="24"/>
          <w:lang w:val="hr-HR"/>
        </w:rPr>
      </w:pPr>
      <w:r w:rsidRPr="001C1459">
        <w:rPr>
          <w:rStyle w:val="FootnoteReference"/>
          <w:sz w:val="24"/>
          <w:lang w:val="hr-HR"/>
        </w:rPr>
        <w:footnoteRef/>
      </w:r>
      <w:r w:rsidR="001C1459" w:rsidRPr="001C1459">
        <w:rPr>
          <w:sz w:val="24"/>
          <w:lang w:val="hr-HR"/>
        </w:rPr>
        <w:t xml:space="preserve"> </w:t>
      </w:r>
      <w:r w:rsidR="001C1459" w:rsidRPr="001C1459">
        <w:rPr>
          <w:sz w:val="24"/>
          <w:lang w:val="hr-HR"/>
        </w:rPr>
        <w:tab/>
      </w:r>
      <w:r w:rsidRPr="001C1459">
        <w:rPr>
          <w:sz w:val="24"/>
          <w:lang w:val="hr-HR"/>
        </w:rPr>
        <w:t>SL C, C/2023/112, 12.10.2023.</w:t>
      </w:r>
    </w:p>
  </w:footnote>
  <w:footnote w:id="3">
    <w:p w:rsidR="00D16C1B" w:rsidRPr="001C1459" w:rsidRDefault="00D16C1B" w:rsidP="001C1459">
      <w:pPr>
        <w:pStyle w:val="FootnoteText"/>
        <w:ind w:left="567" w:hanging="567"/>
        <w:rPr>
          <w:sz w:val="24"/>
          <w:lang w:val="hr-HR"/>
        </w:rPr>
      </w:pPr>
      <w:r w:rsidRPr="001C1459">
        <w:rPr>
          <w:rStyle w:val="FootnoteReference"/>
          <w:sz w:val="24"/>
          <w:lang w:val="hr-HR"/>
        </w:rPr>
        <w:footnoteRef/>
      </w:r>
      <w:r w:rsidR="001C1459" w:rsidRPr="001C1459">
        <w:rPr>
          <w:sz w:val="24"/>
          <w:lang w:val="hr-HR"/>
        </w:rPr>
        <w:t xml:space="preserve"> </w:t>
      </w:r>
      <w:r w:rsidR="001C1459" w:rsidRPr="001C1459">
        <w:rPr>
          <w:sz w:val="24"/>
          <w:lang w:val="hr-HR"/>
        </w:rPr>
        <w:tab/>
      </w:r>
      <w:r w:rsidRPr="001C1459">
        <w:rPr>
          <w:sz w:val="24"/>
          <w:lang w:val="hr-HR"/>
        </w:rPr>
        <w:t>SL L 193, 30.7.2018., str. 1.</w:t>
      </w:r>
    </w:p>
  </w:footnote>
  <w:footnote w:id="4">
    <w:p w:rsidR="00D16C1B" w:rsidRPr="001C1459" w:rsidRDefault="00D16C1B" w:rsidP="001C1459">
      <w:pPr>
        <w:pStyle w:val="FootnoteText"/>
        <w:ind w:left="567" w:hanging="567"/>
        <w:rPr>
          <w:sz w:val="24"/>
          <w:lang w:val="hr-HR"/>
        </w:rPr>
      </w:pPr>
      <w:r w:rsidRPr="001C1459">
        <w:rPr>
          <w:rStyle w:val="FootnoteReference"/>
          <w:sz w:val="24"/>
          <w:lang w:val="hr-HR"/>
        </w:rPr>
        <w:footnoteRef/>
      </w:r>
      <w:r w:rsidR="001C1459" w:rsidRPr="001C1459">
        <w:rPr>
          <w:sz w:val="24"/>
          <w:lang w:val="hr-HR"/>
        </w:rPr>
        <w:t xml:space="preserve"> </w:t>
      </w:r>
      <w:r w:rsidR="001C1459" w:rsidRPr="001C1459">
        <w:rPr>
          <w:sz w:val="24"/>
          <w:lang w:val="hr-HR"/>
        </w:rPr>
        <w:tab/>
      </w:r>
      <w:r w:rsidRPr="001C1459">
        <w:rPr>
          <w:sz w:val="24"/>
          <w:lang w:val="hr-HR"/>
        </w:rPr>
        <w:t>SL L 83, 25.3.2019., str. 18.</w:t>
      </w:r>
    </w:p>
  </w:footnote>
  <w:footnote w:id="5">
    <w:p w:rsidR="00D16C1B" w:rsidRPr="001C1459" w:rsidRDefault="00D16C1B" w:rsidP="001C1459">
      <w:pPr>
        <w:pStyle w:val="FootnoteText"/>
        <w:ind w:left="567" w:hanging="567"/>
        <w:rPr>
          <w:sz w:val="24"/>
          <w:lang w:val="hr-HR"/>
        </w:rPr>
      </w:pPr>
      <w:r w:rsidRPr="001C1459">
        <w:rPr>
          <w:rStyle w:val="FootnoteReference"/>
          <w:sz w:val="24"/>
          <w:lang w:val="hr-HR"/>
        </w:rPr>
        <w:footnoteRef/>
      </w:r>
      <w:r w:rsidR="001C1459" w:rsidRPr="001C1459">
        <w:rPr>
          <w:sz w:val="24"/>
          <w:lang w:val="hr-HR"/>
        </w:rPr>
        <w:t xml:space="preserve"> </w:t>
      </w:r>
      <w:r w:rsidR="001C1459" w:rsidRPr="001C1459">
        <w:rPr>
          <w:sz w:val="24"/>
          <w:lang w:val="hr-HR"/>
        </w:rPr>
        <w:tab/>
      </w:r>
      <w:r w:rsidRPr="001C1459">
        <w:rPr>
          <w:sz w:val="24"/>
          <w:lang w:val="hr-HR"/>
        </w:rPr>
        <w:t>SL L 122, 10.5.2019., str. 1.</w:t>
      </w:r>
    </w:p>
  </w:footnote>
  <w:footnote w:id="6">
    <w:p w:rsidR="00D16C1B" w:rsidRPr="001C1459" w:rsidRDefault="00D16C1B" w:rsidP="001C1459">
      <w:pPr>
        <w:pStyle w:val="FootnoteText"/>
        <w:ind w:left="567" w:hanging="567"/>
        <w:rPr>
          <w:sz w:val="24"/>
          <w:lang w:val="hr-HR"/>
        </w:rPr>
      </w:pPr>
      <w:r w:rsidRPr="001C1459">
        <w:rPr>
          <w:rStyle w:val="FootnoteReference"/>
          <w:sz w:val="24"/>
          <w:lang w:val="hr-HR"/>
        </w:rPr>
        <w:footnoteRef/>
      </w:r>
      <w:r w:rsidR="001C1459" w:rsidRPr="001C1459">
        <w:rPr>
          <w:sz w:val="24"/>
          <w:lang w:val="hr-HR"/>
        </w:rPr>
        <w:t xml:space="preserve"> </w:t>
      </w:r>
      <w:r w:rsidR="001C1459" w:rsidRPr="001C1459">
        <w:rPr>
          <w:sz w:val="24"/>
          <w:lang w:val="hr-HR"/>
        </w:rPr>
        <w:tab/>
      </w:r>
      <w:r w:rsidR="0064497B">
        <w:rPr>
          <w:sz w:val="24"/>
          <w:lang w:val="hr-HR"/>
        </w:rPr>
        <w:t xml:space="preserve">SL </w:t>
      </w:r>
      <w:r w:rsidR="0064497B">
        <w:rPr>
          <w:sz w:val="24"/>
          <w:lang w:val="hr-HR"/>
        </w:rPr>
        <w:t>C</w:t>
      </w:r>
      <w:bookmarkStart w:id="9" w:name="_GoBack"/>
      <w:bookmarkEnd w:id="9"/>
      <w:r w:rsidRPr="001C1459">
        <w:rPr>
          <w:sz w:val="24"/>
          <w:lang w:val="hr-HR"/>
        </w:rPr>
        <w:t>, C/2023/594, 27.10.2023.</w:t>
      </w:r>
    </w:p>
  </w:footnote>
  <w:footnote w:id="7">
    <w:p w:rsidR="00D16C1B" w:rsidRPr="001C1459" w:rsidRDefault="00D16C1B" w:rsidP="001C1459">
      <w:pPr>
        <w:pStyle w:val="FootnoteText"/>
        <w:ind w:left="567" w:hanging="567"/>
        <w:rPr>
          <w:sz w:val="24"/>
          <w:lang w:val="hr-HR"/>
        </w:rPr>
      </w:pPr>
      <w:r w:rsidRPr="001C1459">
        <w:rPr>
          <w:rStyle w:val="FootnoteReference"/>
          <w:sz w:val="24"/>
          <w:lang w:val="hr-HR"/>
        </w:rPr>
        <w:footnoteRef/>
      </w:r>
      <w:r w:rsidR="001C1459" w:rsidRPr="001C1459">
        <w:rPr>
          <w:sz w:val="24"/>
          <w:lang w:val="hr-HR"/>
        </w:rPr>
        <w:t xml:space="preserve"> </w:t>
      </w:r>
      <w:r w:rsidR="001C1459" w:rsidRPr="001C1459">
        <w:rPr>
          <w:sz w:val="24"/>
          <w:lang w:val="hr-HR"/>
        </w:rPr>
        <w:tab/>
      </w:r>
      <w:r w:rsidRPr="001C1459">
        <w:rPr>
          <w:sz w:val="24"/>
          <w:lang w:val="hr-HR"/>
        </w:rPr>
        <w:t>SL C, C/2023/112, 12.10.2023.</w:t>
      </w:r>
    </w:p>
  </w:footnote>
  <w:footnote w:id="8">
    <w:p w:rsidR="00D16C1B" w:rsidRPr="001C1459" w:rsidRDefault="00D16C1B" w:rsidP="001C1459">
      <w:pPr>
        <w:pStyle w:val="FootnoteText"/>
        <w:ind w:left="567" w:hanging="567"/>
        <w:rPr>
          <w:sz w:val="24"/>
          <w:lang w:val="hr-HR"/>
        </w:rPr>
      </w:pPr>
      <w:r w:rsidRPr="001C1459">
        <w:rPr>
          <w:rStyle w:val="FootnoteReference"/>
          <w:sz w:val="24"/>
          <w:lang w:val="hr-HR"/>
        </w:rPr>
        <w:footnoteRef/>
      </w:r>
      <w:r w:rsidR="001C1459" w:rsidRPr="001C1459">
        <w:rPr>
          <w:sz w:val="24"/>
          <w:lang w:val="hr-HR"/>
        </w:rPr>
        <w:t xml:space="preserve"> </w:t>
      </w:r>
      <w:r w:rsidR="001C1459" w:rsidRPr="001C1459">
        <w:rPr>
          <w:sz w:val="24"/>
          <w:lang w:val="hr-HR"/>
        </w:rPr>
        <w:tab/>
      </w:r>
      <w:r w:rsidRPr="001C1459">
        <w:rPr>
          <w:sz w:val="24"/>
          <w:lang w:val="hr-HR"/>
        </w:rPr>
        <w:t>SL L 193, 30.7.2018., str. 1.</w:t>
      </w:r>
    </w:p>
  </w:footnote>
  <w:footnote w:id="9">
    <w:p w:rsidR="00D16C1B" w:rsidRPr="001C1459" w:rsidRDefault="00D16C1B" w:rsidP="001C1459">
      <w:pPr>
        <w:pStyle w:val="FootnoteText"/>
        <w:ind w:left="567" w:hanging="567"/>
        <w:rPr>
          <w:sz w:val="24"/>
          <w:lang w:val="hr-HR"/>
        </w:rPr>
      </w:pPr>
      <w:r w:rsidRPr="001C1459">
        <w:rPr>
          <w:rStyle w:val="FootnoteReference"/>
          <w:sz w:val="24"/>
          <w:lang w:val="hr-HR"/>
        </w:rPr>
        <w:footnoteRef/>
      </w:r>
      <w:r w:rsidR="001C1459" w:rsidRPr="001C1459">
        <w:rPr>
          <w:sz w:val="24"/>
          <w:lang w:val="hr-HR"/>
        </w:rPr>
        <w:t xml:space="preserve"> </w:t>
      </w:r>
      <w:r w:rsidR="001C1459" w:rsidRPr="001C1459">
        <w:rPr>
          <w:sz w:val="24"/>
          <w:lang w:val="hr-HR"/>
        </w:rPr>
        <w:tab/>
      </w:r>
      <w:r w:rsidRPr="001C1459">
        <w:rPr>
          <w:sz w:val="24"/>
          <w:lang w:val="hr-HR"/>
        </w:rPr>
        <w:t>SL L 83, 25.3.2019., str. 18.</w:t>
      </w:r>
    </w:p>
  </w:footnote>
  <w:footnote w:id="10">
    <w:p w:rsidR="00D16C1B" w:rsidRPr="001C1459" w:rsidRDefault="00D16C1B" w:rsidP="001C1459">
      <w:pPr>
        <w:pStyle w:val="FootnoteText"/>
        <w:ind w:left="567" w:hanging="567"/>
        <w:rPr>
          <w:sz w:val="24"/>
          <w:lang w:val="hr-HR"/>
        </w:rPr>
      </w:pPr>
      <w:r w:rsidRPr="001C1459">
        <w:rPr>
          <w:rStyle w:val="FootnoteReference"/>
          <w:sz w:val="24"/>
          <w:lang w:val="hr-HR"/>
        </w:rPr>
        <w:footnoteRef/>
      </w:r>
      <w:r w:rsidR="001C1459" w:rsidRPr="001C1459">
        <w:rPr>
          <w:sz w:val="24"/>
          <w:lang w:val="hr-HR"/>
        </w:rPr>
        <w:t xml:space="preserve"> </w:t>
      </w:r>
      <w:r w:rsidR="001C1459" w:rsidRPr="001C1459">
        <w:rPr>
          <w:sz w:val="24"/>
          <w:lang w:val="hr-HR"/>
        </w:rPr>
        <w:tab/>
      </w:r>
      <w:r w:rsidRPr="001C1459">
        <w:rPr>
          <w:sz w:val="24"/>
          <w:lang w:val="hr-HR"/>
        </w:rPr>
        <w:t>SL L 122, 10.5.2019., str. 1.</w:t>
      </w:r>
    </w:p>
  </w:footnote>
  <w:footnote w:id="11">
    <w:p w:rsidR="00D16C1B" w:rsidRPr="001C1459" w:rsidRDefault="00D16C1B" w:rsidP="001C1459">
      <w:pPr>
        <w:pStyle w:val="FootnoteText"/>
        <w:ind w:left="567" w:hanging="567"/>
        <w:rPr>
          <w:sz w:val="24"/>
          <w:lang w:val="hr-HR"/>
        </w:rPr>
      </w:pPr>
      <w:r w:rsidRPr="001C1459">
        <w:rPr>
          <w:rStyle w:val="FootnoteReference"/>
          <w:sz w:val="24"/>
          <w:lang w:val="hr-HR"/>
        </w:rPr>
        <w:footnoteRef/>
      </w:r>
      <w:r w:rsidR="001C1459" w:rsidRPr="001C1459">
        <w:rPr>
          <w:sz w:val="24"/>
          <w:lang w:val="hr-HR"/>
        </w:rPr>
        <w:t xml:space="preserve"> </w:t>
      </w:r>
      <w:r w:rsidR="001C1459" w:rsidRPr="001C1459">
        <w:rPr>
          <w:sz w:val="24"/>
          <w:lang w:val="hr-HR"/>
        </w:rPr>
        <w:tab/>
      </w:r>
      <w:r w:rsidRPr="001C1459">
        <w:rPr>
          <w:sz w:val="24"/>
          <w:lang w:val="hr-HR"/>
        </w:rPr>
        <w:t>SL C 38, 31.1.2023., str. 65.</w:t>
      </w:r>
    </w:p>
  </w:footnote>
  <w:footnote w:id="12">
    <w:p w:rsidR="00D16C1B" w:rsidRPr="001C1459" w:rsidRDefault="00D16C1B" w:rsidP="001C1459">
      <w:pPr>
        <w:pStyle w:val="FootnoteText"/>
        <w:ind w:left="567" w:hanging="567"/>
        <w:rPr>
          <w:sz w:val="24"/>
          <w:lang w:val="hr-HR"/>
        </w:rPr>
      </w:pPr>
      <w:r w:rsidRPr="001C1459">
        <w:rPr>
          <w:rStyle w:val="FootnoteReference"/>
          <w:sz w:val="24"/>
          <w:lang w:val="hr-HR"/>
        </w:rPr>
        <w:footnoteRef/>
      </w:r>
      <w:r w:rsidR="001C1459" w:rsidRPr="001C1459">
        <w:rPr>
          <w:sz w:val="24"/>
          <w:lang w:val="hr-HR"/>
        </w:rPr>
        <w:t xml:space="preserve"> </w:t>
      </w:r>
      <w:r w:rsidR="001C1459" w:rsidRPr="001C1459">
        <w:rPr>
          <w:sz w:val="24"/>
          <w:lang w:val="hr-HR"/>
        </w:rPr>
        <w:tab/>
      </w:r>
      <w:r w:rsidRPr="001C1459">
        <w:rPr>
          <w:sz w:val="24"/>
          <w:lang w:val="hr-HR"/>
        </w:rPr>
        <w:t>Uredba (EU) 2019/473 Europskog parlamenta i Vijeća od 19. ožujka 2019. o Europskoj agenciji za kontrolu ribarstva (SL L 83, 25.3.2019., str. 18.).</w:t>
      </w:r>
    </w:p>
  </w:footnote>
  <w:footnote w:id="13">
    <w:p w:rsidR="00D16C1B" w:rsidRPr="001C1459" w:rsidRDefault="00D16C1B" w:rsidP="001C1459">
      <w:pPr>
        <w:pStyle w:val="FootnoteText"/>
        <w:ind w:left="567" w:hanging="567"/>
        <w:rPr>
          <w:sz w:val="24"/>
          <w:lang w:val="hr-HR"/>
        </w:rPr>
      </w:pPr>
      <w:r w:rsidRPr="001C1459">
        <w:rPr>
          <w:rStyle w:val="FootnoteReference"/>
          <w:sz w:val="24"/>
          <w:lang w:val="hr-HR"/>
        </w:rPr>
        <w:footnoteRef/>
      </w:r>
      <w:r w:rsidR="001C1459" w:rsidRPr="001C1459">
        <w:rPr>
          <w:sz w:val="24"/>
          <w:lang w:val="hr-HR"/>
        </w:rPr>
        <w:t xml:space="preserve"> </w:t>
      </w:r>
      <w:r w:rsidR="001C1459" w:rsidRPr="001C1459">
        <w:rPr>
          <w:sz w:val="24"/>
          <w:lang w:val="hr-HR"/>
        </w:rPr>
        <w:tab/>
      </w:r>
      <w:r w:rsidRPr="001C1459">
        <w:rPr>
          <w:sz w:val="24"/>
          <w:lang w:val="hr-HR"/>
        </w:rPr>
        <w:t>Uredba (EU, Euratom) 2018/1046 Europskog parlamenta i Vijeća od 18. srpnja 2018. o financijskim pravilima koja se primjenjuju na opći proračun Unije, o izmjeni uredaba (EU) br. 1296/2013, (EU) br. 1301/2013, (EU) br. 1303/2013, (EU) br. 1304/2013, (EU) br. 1309/2013, (EU) br. 1316/2013, (EU) br. 223/2014, (EU) br. 283/2014 i Odluke br. 541/2014/EU te o stavljanju izvan snage Uredbe (EU, Euratom) br. 966/2012 (SL L 193, 30.7.2018., str. 1).</w:t>
      </w:r>
    </w:p>
  </w:footnote>
  <w:footnote w:id="14">
    <w:p w:rsidR="00D16C1B" w:rsidRPr="001C1459" w:rsidRDefault="00D16C1B" w:rsidP="001C1459">
      <w:pPr>
        <w:pStyle w:val="FootnoteText"/>
        <w:ind w:left="567" w:hanging="567"/>
        <w:rPr>
          <w:sz w:val="24"/>
          <w:lang w:val="hr-HR"/>
        </w:rPr>
      </w:pPr>
      <w:r w:rsidRPr="001C1459">
        <w:rPr>
          <w:rStyle w:val="FootnoteReference"/>
          <w:sz w:val="24"/>
          <w:lang w:val="hr-HR"/>
        </w:rPr>
        <w:footnoteRef/>
      </w:r>
      <w:r w:rsidR="001C1459" w:rsidRPr="001C1459">
        <w:rPr>
          <w:sz w:val="24"/>
          <w:lang w:val="hr-HR"/>
        </w:rPr>
        <w:t xml:space="preserve"> </w:t>
      </w:r>
      <w:r w:rsidR="001C1459" w:rsidRPr="001C1459">
        <w:rPr>
          <w:sz w:val="24"/>
          <w:lang w:val="hr-HR"/>
        </w:rPr>
        <w:tab/>
      </w:r>
      <w:r w:rsidRPr="001C1459">
        <w:rPr>
          <w:sz w:val="24"/>
          <w:lang w:val="hr-HR"/>
        </w:rPr>
        <w:t>Us</w:t>
      </w:r>
      <w:r w:rsidR="0000309F">
        <w:rPr>
          <w:sz w:val="24"/>
          <w:lang w:val="hr-HR"/>
        </w:rPr>
        <w:t>vojeni tekstovi, P9_TA(2024)0280</w:t>
      </w:r>
      <w:r w:rsidRPr="001C1459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145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145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145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0/2024"/>
    <w:docVar w:name="dvlangue" w:val="HR"/>
    <w:docVar w:name="dvnumam" w:val="0"/>
    <w:docVar w:name="dvpe" w:val="753.518"/>
    <w:docVar w:name="dvrapporteur" w:val="Izvjestitelj: "/>
    <w:docVar w:name="dvtitre" w:val="Odluka Europskog parlamenta od .... 2024. o razrješnici za izvršenje proračuna Europske agencije za kontrolu ribarstva za financijsku godinu 2022.(2023/2150(DEC))"/>
  </w:docVars>
  <w:rsids>
    <w:rsidRoot w:val="009B760F"/>
    <w:rsid w:val="00002272"/>
    <w:rsid w:val="0000309F"/>
    <w:rsid w:val="000211A2"/>
    <w:rsid w:val="00064002"/>
    <w:rsid w:val="000677B9"/>
    <w:rsid w:val="000831BA"/>
    <w:rsid w:val="000A42CC"/>
    <w:rsid w:val="000E7DD9"/>
    <w:rsid w:val="0010095E"/>
    <w:rsid w:val="00125B37"/>
    <w:rsid w:val="00187494"/>
    <w:rsid w:val="001C145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2913"/>
    <w:rsid w:val="00560270"/>
    <w:rsid w:val="005C2568"/>
    <w:rsid w:val="006037C0"/>
    <w:rsid w:val="0064497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760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6C1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C38771"/>
  <w15:chartTrackingRefBased/>
  <w15:docId w15:val="{D08937BF-893C-4C8F-9F6C-55E9CD8D4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16C1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16C1B"/>
    <w:pPr>
      <w:spacing w:before="480" w:after="240"/>
    </w:pPr>
  </w:style>
  <w:style w:type="paragraph" w:customStyle="1" w:styleId="PageHeading">
    <w:name w:val="PageHeading"/>
    <w:basedOn w:val="Normal"/>
    <w:rsid w:val="00D16C1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16C1B"/>
    <w:rPr>
      <w:b/>
    </w:rPr>
  </w:style>
  <w:style w:type="paragraph" w:customStyle="1" w:styleId="NormalHanging12a">
    <w:name w:val="NormalHanging12a"/>
    <w:basedOn w:val="Normal"/>
    <w:link w:val="NormalHanging12aChar"/>
    <w:rsid w:val="00D16C1B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D16C1B"/>
    <w:pPr>
      <w:spacing w:after="240"/>
      <w:jc w:val="center"/>
    </w:pPr>
  </w:style>
  <w:style w:type="paragraph" w:styleId="Header">
    <w:name w:val="header"/>
    <w:basedOn w:val="Normal"/>
    <w:link w:val="HeaderChar"/>
    <w:rsid w:val="00D16C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16C1B"/>
    <w:rPr>
      <w:sz w:val="24"/>
      <w:lang w:val="hr-HR"/>
    </w:rPr>
  </w:style>
  <w:style w:type="paragraph" w:customStyle="1" w:styleId="EPFooter">
    <w:name w:val="EPFooter"/>
    <w:basedOn w:val="Normal"/>
    <w:rsid w:val="00D16C1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D16C1B"/>
    <w:rPr>
      <w:sz w:val="24"/>
      <w:lang w:val="hr-HR"/>
    </w:rPr>
  </w:style>
  <w:style w:type="paragraph" w:customStyle="1" w:styleId="Normal24a">
    <w:name w:val="Normal24a"/>
    <w:basedOn w:val="Normal"/>
    <w:rsid w:val="00D16C1B"/>
    <w:pPr>
      <w:spacing w:after="480"/>
    </w:pPr>
  </w:style>
  <w:style w:type="paragraph" w:customStyle="1" w:styleId="Normal12a">
    <w:name w:val="Normal12a"/>
    <w:basedOn w:val="Normal"/>
    <w:rsid w:val="00D16C1B"/>
    <w:pPr>
      <w:spacing w:after="240"/>
    </w:pPr>
  </w:style>
  <w:style w:type="paragraph" w:customStyle="1" w:styleId="PageHeadingNotTOC">
    <w:name w:val="PageHeadingNotTOC"/>
    <w:basedOn w:val="Normal"/>
    <w:rsid w:val="00D16C1B"/>
    <w:pPr>
      <w:keepNext/>
      <w:spacing w:after="480"/>
      <w:jc w:val="center"/>
    </w:pPr>
    <w:rPr>
      <w:rFonts w:ascii="Arial" w:hAnsi="Arial" w:cs="Arial"/>
      <w:b/>
    </w:rPr>
  </w:style>
  <w:style w:type="paragraph" w:styleId="BalloonText">
    <w:name w:val="Balloon Text"/>
    <w:basedOn w:val="Normal"/>
    <w:link w:val="BalloonTextChar"/>
    <w:rsid w:val="000211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211A2"/>
    <w:rPr>
      <w:rFonts w:ascii="Segoe UI" w:hAnsi="Segoe UI" w:cs="Segoe UI"/>
      <w:sz w:val="18"/>
      <w:szCs w:val="18"/>
      <w:lang w:val="hr-HR"/>
    </w:rPr>
  </w:style>
  <w:style w:type="paragraph" w:styleId="Footer">
    <w:name w:val="footer"/>
    <w:basedOn w:val="Normal"/>
    <w:link w:val="FooterChar"/>
    <w:rsid w:val="005529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52913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8C14B-6029-43D7-AE8A-91F3DBC09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3546</Words>
  <Characters>21363</Characters>
  <Application>Microsoft Office Word</Application>
  <DocSecurity>0</DocSecurity>
  <Lines>178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Karina Pesa</cp:lastModifiedBy>
  <cp:revision>3</cp:revision>
  <cp:lastPrinted>2004-11-19T15:42:00Z</cp:lastPrinted>
  <dcterms:created xsi:type="dcterms:W3CDTF">2024-05-23T09:58:00Z</dcterms:created>
  <dcterms:modified xsi:type="dcterms:W3CDTF">2024-10-30T16:54:00Z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P9_TA(2024)0257_</vt:lpwstr>
  </property>
  <property fmtid="{D5CDD505-2E9C-101B-9397-08002B2CF9AE}" pid="4" name="&lt;Type&gt;">
    <vt:lpwstr>RR</vt:lpwstr>
  </property>
</Properties>
</file>