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C46C2" w:rsidTr="0010095E">
        <w:trPr>
          <w:trHeight w:hRule="exact" w:val="1418"/>
        </w:trPr>
        <w:tc>
          <w:tcPr>
            <w:tcW w:w="6804" w:type="dxa"/>
            <w:shd w:val="clear" w:color="auto" w:fill="auto"/>
            <w:vAlign w:val="center"/>
          </w:tcPr>
          <w:p w:rsidR="00751A4A" w:rsidRPr="00FC46C2" w:rsidRDefault="002B0353" w:rsidP="0010095E">
            <w:pPr>
              <w:pStyle w:val="EPName"/>
            </w:pPr>
            <w:r w:rsidRPr="00FC46C2">
              <w:t>Europos Parlamentas</w:t>
            </w:r>
          </w:p>
          <w:p w:rsidR="00751A4A" w:rsidRPr="00FC46C2" w:rsidRDefault="00817416" w:rsidP="00756632">
            <w:pPr>
              <w:pStyle w:val="EPTerm"/>
              <w:rPr>
                <w:rStyle w:val="HideTWBExt"/>
                <w:noProof w:val="0"/>
                <w:vanish w:val="0"/>
                <w:color w:val="auto"/>
              </w:rPr>
            </w:pPr>
            <w:r w:rsidRPr="00FC46C2">
              <w:t>2019-2024</w:t>
            </w:r>
          </w:p>
        </w:tc>
        <w:tc>
          <w:tcPr>
            <w:tcW w:w="2268" w:type="dxa"/>
            <w:shd w:val="clear" w:color="auto" w:fill="auto"/>
          </w:tcPr>
          <w:p w:rsidR="00751A4A" w:rsidRPr="00FC46C2" w:rsidRDefault="00187494" w:rsidP="0010095E">
            <w:pPr>
              <w:pStyle w:val="EPLogo"/>
            </w:pPr>
            <w:r w:rsidRPr="00FC46C2">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C46C2" w:rsidRDefault="00D058B8" w:rsidP="004C5D52">
      <w:pPr>
        <w:pStyle w:val="LineTop"/>
      </w:pPr>
    </w:p>
    <w:p w:rsidR="00680577" w:rsidRPr="00FC46C2" w:rsidRDefault="002B0353" w:rsidP="00680577">
      <w:pPr>
        <w:pStyle w:val="EPBodyTA1"/>
      </w:pPr>
      <w:r w:rsidRPr="00FC46C2">
        <w:t>PRIIMTI TEKSTAI</w:t>
      </w:r>
    </w:p>
    <w:p w:rsidR="00D058B8" w:rsidRPr="00FC46C2" w:rsidRDefault="00D058B8" w:rsidP="00D058B8">
      <w:pPr>
        <w:pStyle w:val="LineBottom"/>
      </w:pPr>
    </w:p>
    <w:p w:rsidR="002B0353" w:rsidRPr="00FC46C2" w:rsidRDefault="002B0353" w:rsidP="002B0353">
      <w:pPr>
        <w:pStyle w:val="ATHeading1"/>
      </w:pPr>
      <w:bookmarkStart w:id="0" w:name="TANumber"/>
      <w:r w:rsidRPr="00FC46C2">
        <w:t>P9_TA(2024)0</w:t>
      </w:r>
      <w:r w:rsidR="0022661C">
        <w:t>257</w:t>
      </w:r>
      <w:bookmarkEnd w:id="0"/>
    </w:p>
    <w:p w:rsidR="002B0353" w:rsidRPr="00FC46C2" w:rsidRDefault="002B0353" w:rsidP="002B0353">
      <w:pPr>
        <w:pStyle w:val="ATHeading2"/>
      </w:pPr>
      <w:bookmarkStart w:id="1" w:name="title"/>
      <w:r w:rsidRPr="00FC46C2">
        <w:t>2022 m. biudžeto įvykdymo patvirtinimas: Europos žuvininkystės kontrolės agentūra</w:t>
      </w:r>
      <w:bookmarkEnd w:id="1"/>
    </w:p>
    <w:p w:rsidR="002B0353" w:rsidRPr="00FC46C2" w:rsidRDefault="002B0353" w:rsidP="002B0353">
      <w:pPr>
        <w:rPr>
          <w:i/>
          <w:vanish/>
        </w:rPr>
      </w:pPr>
      <w:r w:rsidRPr="00FC46C2">
        <w:rPr>
          <w:i/>
        </w:rPr>
        <w:fldChar w:fldCharType="begin"/>
      </w:r>
      <w:r w:rsidRPr="00FC46C2">
        <w:rPr>
          <w:i/>
        </w:rPr>
        <w:instrText xml:space="preserve"> TC"(</w:instrText>
      </w:r>
      <w:bookmarkStart w:id="2" w:name="DocNumber"/>
      <w:r w:rsidRPr="00FC46C2">
        <w:rPr>
          <w:i/>
        </w:rPr>
        <w:instrText>A9-0100/2024</w:instrText>
      </w:r>
      <w:bookmarkEnd w:id="2"/>
      <w:r w:rsidRPr="00FC46C2">
        <w:rPr>
          <w:i/>
        </w:rPr>
        <w:instrText xml:space="preserve"> - Pranešėjas: </w:instrText>
      </w:r>
      <w:proofErr w:type="spellStart"/>
      <w:r w:rsidRPr="00FC46C2">
        <w:rPr>
          <w:i/>
        </w:rPr>
        <w:instrText>Petri</w:instrText>
      </w:r>
      <w:proofErr w:type="spellEnd"/>
      <w:r w:rsidRPr="00FC46C2">
        <w:rPr>
          <w:i/>
        </w:rPr>
        <w:instrText xml:space="preserve"> </w:instrText>
      </w:r>
      <w:proofErr w:type="spellStart"/>
      <w:r w:rsidRPr="00FC46C2">
        <w:rPr>
          <w:i/>
        </w:rPr>
        <w:instrText>Sarvamaa</w:instrText>
      </w:r>
      <w:proofErr w:type="spellEnd"/>
      <w:r w:rsidRPr="00FC46C2">
        <w:rPr>
          <w:i/>
        </w:rPr>
        <w:instrText xml:space="preserve">)"\l3 \n&gt; \* MERGEFORMAT </w:instrText>
      </w:r>
      <w:r w:rsidRPr="00FC46C2">
        <w:rPr>
          <w:i/>
        </w:rPr>
        <w:fldChar w:fldCharType="end"/>
      </w:r>
    </w:p>
    <w:p w:rsidR="002B0353" w:rsidRPr="00FC46C2" w:rsidRDefault="002B0353" w:rsidP="002B0353">
      <w:pPr>
        <w:rPr>
          <w:vanish/>
        </w:rPr>
      </w:pPr>
      <w:bookmarkStart w:id="3" w:name="Commission"/>
      <w:r w:rsidRPr="00FC46C2">
        <w:rPr>
          <w:vanish/>
        </w:rPr>
        <w:t>Biudžeto kontrolės komitetas</w:t>
      </w:r>
      <w:bookmarkEnd w:id="3"/>
    </w:p>
    <w:p w:rsidR="002B0353" w:rsidRPr="00FC46C2" w:rsidRDefault="002B0353" w:rsidP="002B0353">
      <w:pPr>
        <w:rPr>
          <w:vanish/>
        </w:rPr>
      </w:pPr>
      <w:bookmarkStart w:id="4" w:name="PE"/>
      <w:r w:rsidRPr="00FC46C2">
        <w:rPr>
          <w:vanish/>
        </w:rPr>
        <w:t>PE753.518</w:t>
      </w:r>
      <w:bookmarkEnd w:id="4"/>
    </w:p>
    <w:p w:rsidR="002B0353" w:rsidRPr="00FC46C2" w:rsidRDefault="00375F95" w:rsidP="008C2AAE">
      <w:pPr>
        <w:pStyle w:val="ATHeading3"/>
      </w:pPr>
      <w:bookmarkStart w:id="5" w:name="Sujet"/>
      <w:r>
        <w:t xml:space="preserve">1. 2024 m. balandžio 11 d. </w:t>
      </w:r>
      <w:r w:rsidR="002B0353" w:rsidRPr="00FC46C2">
        <w:t>Europos Parlamento sprendimas dėl Europos žuvininkystės kontrolės agentūros 2022 finansinių metų biudžeto įvykdymo patvirtinimo</w:t>
      </w:r>
      <w:bookmarkEnd w:id="5"/>
      <w:r w:rsidR="002B0353" w:rsidRPr="00FC46C2">
        <w:t xml:space="preserve"> </w:t>
      </w:r>
      <w:bookmarkStart w:id="6" w:name="References"/>
      <w:r w:rsidR="002B0353" w:rsidRPr="00FC46C2">
        <w:t>(2023/2150(DEC))</w:t>
      </w:r>
      <w:bookmarkEnd w:id="6"/>
    </w:p>
    <w:p w:rsidR="00AD542F" w:rsidRPr="00FC46C2" w:rsidRDefault="00AD542F" w:rsidP="00AD542F">
      <w:pPr>
        <w:pStyle w:val="EPComma"/>
      </w:pPr>
      <w:bookmarkStart w:id="7" w:name="TextBodyBegin"/>
      <w:bookmarkEnd w:id="7"/>
      <w:r w:rsidRPr="00FC46C2">
        <w:rPr>
          <w:i/>
        </w:rPr>
        <w:t>Europos Parlamentas</w:t>
      </w:r>
      <w:r w:rsidRPr="00FC46C2">
        <w:t>,</w:t>
      </w:r>
    </w:p>
    <w:p w:rsidR="00AD542F" w:rsidRPr="00FC46C2" w:rsidRDefault="00AD542F" w:rsidP="00AD542F">
      <w:pPr>
        <w:pStyle w:val="NormalHanging12a"/>
      </w:pPr>
      <w:r w:rsidRPr="00FC46C2">
        <w:t>–</w:t>
      </w:r>
      <w:r w:rsidRPr="00FC46C2">
        <w:tab/>
        <w:t>atsižvelgdamas į Europos žuvininkystės kontrolės agentūros 2022 finansinių metų galutines metines ataskaitas,</w:t>
      </w:r>
    </w:p>
    <w:p w:rsidR="00AD542F" w:rsidRPr="00FC46C2" w:rsidRDefault="00AD542F" w:rsidP="00AD542F">
      <w:pPr>
        <w:pStyle w:val="NormalHanging12a"/>
      </w:pPr>
      <w:r w:rsidRPr="00FC46C2">
        <w:t>–</w:t>
      </w:r>
      <w:r w:rsidRPr="00FC46C2">
        <w:tab/>
        <w:t>atsižvelgdamas į Audito Rūmų 2022 finansinių metų metinę ataskaitą dėl ES agentūrų kartu su agentūrų atsakymais</w:t>
      </w:r>
      <w:r w:rsidRPr="00FC46C2">
        <w:rPr>
          <w:rStyle w:val="FootnoteReference"/>
        </w:rPr>
        <w:footnoteReference w:id="1"/>
      </w:r>
      <w:r w:rsidRPr="00FC46C2">
        <w:t>,</w:t>
      </w:r>
    </w:p>
    <w:p w:rsidR="00AD542F" w:rsidRPr="00FC46C2" w:rsidRDefault="00AD542F" w:rsidP="00AD542F">
      <w:pPr>
        <w:pStyle w:val="NormalHanging12a"/>
      </w:pPr>
      <w:r w:rsidRPr="00FC46C2">
        <w:t>–</w:t>
      </w:r>
      <w:r w:rsidRPr="00FC46C2">
        <w:tab/>
        <w:t>atsižvelgdamas į Audito Rūmų pagal Sutarties dėl Europos Sąjungos veikimo 287 straipsnį pateiktą 2022 finansinių metų sąskaitų patikimumo ir pagal jas atliktų operacijų teisėtumo ir tvarkingumo patikinimo pareiškimą</w:t>
      </w:r>
      <w:r w:rsidRPr="00FC46C2">
        <w:rPr>
          <w:rStyle w:val="FootnoteReference"/>
        </w:rPr>
        <w:footnoteReference w:id="2"/>
      </w:r>
      <w:r w:rsidRPr="00FC46C2">
        <w:t>,</w:t>
      </w:r>
    </w:p>
    <w:p w:rsidR="00AD542F" w:rsidRPr="00FC46C2" w:rsidRDefault="00AD542F" w:rsidP="00AD542F">
      <w:pPr>
        <w:pStyle w:val="NormalHanging12a"/>
      </w:pPr>
      <w:r w:rsidRPr="00FC46C2">
        <w:t>–</w:t>
      </w:r>
      <w:r w:rsidRPr="00FC46C2">
        <w:tab/>
        <w:t xml:space="preserve">atsižvelgdamas į 2024 m. vasario 22 d. </w:t>
      </w:r>
      <w:r w:rsidR="008C2AAE" w:rsidRPr="00FC46C2">
        <w:t xml:space="preserve">Tarybos </w:t>
      </w:r>
      <w:r w:rsidRPr="00FC46C2">
        <w:t>rekomendaciją dėl patvirtinimo, kad Agentūra įvykdė 2022 finansinių metų biudžetą (0</w:t>
      </w:r>
      <w:r w:rsidR="008C2AAE">
        <w:t>6180</w:t>
      </w:r>
      <w:r w:rsidRPr="00FC46C2">
        <w:t>/2024 – C9</w:t>
      </w:r>
      <w:r w:rsidRPr="00FC46C2">
        <w:noBreakHyphen/>
        <w:t>00</w:t>
      </w:r>
      <w:r w:rsidR="008C2AAE">
        <w:t>88</w:t>
      </w:r>
      <w:r w:rsidRPr="00FC46C2">
        <w:t>/2024),</w:t>
      </w:r>
    </w:p>
    <w:p w:rsidR="00AD542F" w:rsidRPr="00FC46C2" w:rsidRDefault="00AD542F" w:rsidP="00AD542F">
      <w:pPr>
        <w:pStyle w:val="NormalHanging12a"/>
      </w:pPr>
      <w:r w:rsidRPr="00FC46C2">
        <w:t>–</w:t>
      </w:r>
      <w:r w:rsidRPr="00FC46C2">
        <w:tab/>
        <w:t>atsižvelgdamas į Sutarties dėl Europos Sąjungos veikimo 319 straipsnį,</w:t>
      </w:r>
    </w:p>
    <w:p w:rsidR="00AD542F" w:rsidRPr="00FC46C2" w:rsidRDefault="00AD542F" w:rsidP="00AD542F">
      <w:pPr>
        <w:pStyle w:val="NormalHanging12a"/>
      </w:pPr>
      <w:r w:rsidRPr="00FC46C2">
        <w:t>–</w:t>
      </w:r>
      <w:r w:rsidRPr="00FC46C2">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FC46C2">
        <w:rPr>
          <w:rStyle w:val="FootnoteReference"/>
        </w:rPr>
        <w:footnoteReference w:id="3"/>
      </w:r>
      <w:r w:rsidRPr="00FC46C2">
        <w:t>, ypač į jo 70 straipsnį,</w:t>
      </w:r>
    </w:p>
    <w:p w:rsidR="00AD542F" w:rsidRPr="00FC46C2" w:rsidRDefault="00AD542F" w:rsidP="00AD542F">
      <w:pPr>
        <w:pStyle w:val="NormalHanging12a"/>
      </w:pPr>
      <w:r w:rsidRPr="00FC46C2">
        <w:t>–</w:t>
      </w:r>
      <w:r w:rsidRPr="00FC46C2">
        <w:tab/>
        <w:t xml:space="preserve">atsižvelgdamas į 2019 m. kovo 19 d. Europos Parlamento ir Tarybos reglamentą (ES) </w:t>
      </w:r>
      <w:r w:rsidRPr="00FC46C2">
        <w:lastRenderedPageBreak/>
        <w:t>2019/473 dėl Europos žuvininkystės kontrolės agentūros</w:t>
      </w:r>
      <w:r w:rsidRPr="00FC46C2">
        <w:rPr>
          <w:rStyle w:val="FootnoteReference"/>
        </w:rPr>
        <w:footnoteReference w:id="4"/>
      </w:r>
      <w:r w:rsidRPr="00FC46C2">
        <w:t>, ypač į jo 45 straipsnį,</w:t>
      </w:r>
    </w:p>
    <w:p w:rsidR="00AD542F" w:rsidRPr="00FC46C2" w:rsidRDefault="00AD542F" w:rsidP="00AD542F">
      <w:pPr>
        <w:pStyle w:val="NormalHanging12a"/>
      </w:pPr>
      <w:r w:rsidRPr="00FC46C2">
        <w:t>–</w:t>
      </w:r>
      <w:r w:rsidRPr="00FC46C2">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FC46C2">
        <w:rPr>
          <w:rStyle w:val="FootnoteReference"/>
        </w:rPr>
        <w:footnoteReference w:id="5"/>
      </w:r>
      <w:r w:rsidRPr="00FC46C2">
        <w:t>, ypač į jo 105 straipsnį,</w:t>
      </w:r>
    </w:p>
    <w:p w:rsidR="00AD542F" w:rsidRPr="00FC46C2" w:rsidRDefault="00AD542F" w:rsidP="00AD542F">
      <w:pPr>
        <w:pStyle w:val="NormalHanging12a"/>
      </w:pPr>
      <w:r w:rsidRPr="00FC46C2">
        <w:t>–</w:t>
      </w:r>
      <w:r w:rsidRPr="00FC46C2">
        <w:tab/>
        <w:t>atsižvelgdamas į Darbo tvarkos taisyklių 100 straipsnį ir V priedą,</w:t>
      </w:r>
    </w:p>
    <w:p w:rsidR="00AD542F" w:rsidRPr="00FC46C2" w:rsidRDefault="00AD542F" w:rsidP="00AD542F">
      <w:pPr>
        <w:pStyle w:val="NormalHanging12a"/>
      </w:pPr>
      <w:r w:rsidRPr="00FC46C2">
        <w:t>–</w:t>
      </w:r>
      <w:r w:rsidRPr="00FC46C2">
        <w:tab/>
        <w:t>atsižvelgdamas į Žuvininkystės komiteto nuomonę,</w:t>
      </w:r>
    </w:p>
    <w:p w:rsidR="00AD542F" w:rsidRPr="00FC46C2" w:rsidRDefault="00AD542F" w:rsidP="00AD542F">
      <w:pPr>
        <w:pStyle w:val="NormalHanging12a"/>
      </w:pPr>
      <w:r w:rsidRPr="00FC46C2">
        <w:t>–</w:t>
      </w:r>
      <w:r w:rsidRPr="00FC46C2">
        <w:tab/>
        <w:t>atsižvelgdamas į Biudžeto kontrolės komiteto pranešimą (A9-0100/2024),</w:t>
      </w:r>
    </w:p>
    <w:p w:rsidR="00AD542F" w:rsidRPr="00FC46C2" w:rsidRDefault="00AD542F" w:rsidP="00AD542F">
      <w:pPr>
        <w:pStyle w:val="NormalHanging12a"/>
      </w:pPr>
      <w:r w:rsidRPr="00FC46C2">
        <w:t>1.</w:t>
      </w:r>
      <w:r w:rsidRPr="00FC46C2">
        <w:tab/>
        <w:t>patvirtina Europos žuvininkystės kontrolės agentūros vykdomajai direktorei, kad Agentūros 2022 finansinių metų biudžetas įvykdytas;</w:t>
      </w:r>
    </w:p>
    <w:p w:rsidR="00AD542F" w:rsidRPr="00FC46C2" w:rsidRDefault="00AD542F" w:rsidP="00AD542F">
      <w:pPr>
        <w:pStyle w:val="NormalHanging12a"/>
      </w:pPr>
      <w:r w:rsidRPr="00FC46C2">
        <w:t>2.</w:t>
      </w:r>
      <w:r w:rsidRPr="00FC46C2">
        <w:tab/>
        <w:t>išdėsto savo pastabas toliau pateikiamoje rezoliucijoje;</w:t>
      </w:r>
    </w:p>
    <w:p w:rsidR="00AD542F" w:rsidRPr="00FC46C2" w:rsidRDefault="00AD542F" w:rsidP="00AD542F">
      <w:pPr>
        <w:pStyle w:val="NormalHanging12a"/>
      </w:pPr>
      <w:r w:rsidRPr="00FC46C2">
        <w:t>3.</w:t>
      </w:r>
      <w:r w:rsidRPr="00FC46C2">
        <w:tab/>
        <w:t xml:space="preserve">paveda Pirmininkei perduoti šį sprendimą ir rezoliuciją, kuri yra neatskiriama jo dalis, Europos žuvininkystės kontrolės agentūros vykdomajai direktorei, Tarybai, Komisijai ir Audito Rūmams ir pasirūpinti, kad jie būtų paskelbti </w:t>
      </w:r>
      <w:r w:rsidRPr="00FC46C2">
        <w:rPr>
          <w:i/>
        </w:rPr>
        <w:t>Europos Sąjungos oficialiajame leidinyje</w:t>
      </w:r>
      <w:r w:rsidRPr="00FC46C2">
        <w:t xml:space="preserve"> (L serijoje).</w:t>
      </w:r>
    </w:p>
    <w:p w:rsidR="00AD542F" w:rsidRPr="00FC46C2" w:rsidRDefault="00AD542F" w:rsidP="00AD542F"/>
    <w:p w:rsidR="00AD542F" w:rsidRPr="00FC46C2" w:rsidRDefault="00AD542F" w:rsidP="00AD542F">
      <w:pPr>
        <w:widowControl/>
        <w:rPr>
          <w:rFonts w:ascii="Arial" w:hAnsi="Arial" w:cs="Arial"/>
          <w:b/>
        </w:rPr>
        <w:sectPr w:rsidR="00AD542F" w:rsidRPr="00FC46C2" w:rsidSect="00FC46C2">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AD542F" w:rsidRPr="00FC46C2" w:rsidRDefault="00375F95" w:rsidP="00375F95">
      <w:pPr>
        <w:pStyle w:val="ATHeading3"/>
      </w:pPr>
      <w:r>
        <w:lastRenderedPageBreak/>
        <w:t xml:space="preserve">2. 2024 m. balandžio 11 d. </w:t>
      </w:r>
      <w:r w:rsidRPr="00FC46C2">
        <w:t xml:space="preserve">Europos Parlamento sprendimas </w:t>
      </w:r>
      <w:r w:rsidR="00AD542F" w:rsidRPr="00FC46C2">
        <w:t>dėl Europos žuvininkystės kontrolės agentūros 2022 finansinių metų sąskaitų uždarymo</w:t>
      </w:r>
      <w:r>
        <w:t xml:space="preserve"> </w:t>
      </w:r>
      <w:r w:rsidR="00AD542F" w:rsidRPr="00FC46C2">
        <w:t>(2023/2150(DEC))</w:t>
      </w:r>
    </w:p>
    <w:p w:rsidR="00AD542F" w:rsidRPr="00FC46C2" w:rsidRDefault="00AD542F" w:rsidP="00AD542F">
      <w:pPr>
        <w:pStyle w:val="EPComma"/>
      </w:pPr>
      <w:r w:rsidRPr="00FC46C2">
        <w:rPr>
          <w:i/>
        </w:rPr>
        <w:t>Europos Parlamentas</w:t>
      </w:r>
      <w:r w:rsidRPr="00FC46C2">
        <w:t>,</w:t>
      </w:r>
    </w:p>
    <w:p w:rsidR="00AD542F" w:rsidRPr="00FC46C2" w:rsidRDefault="00AD542F" w:rsidP="00AD542F">
      <w:pPr>
        <w:pStyle w:val="NormalHanging12a"/>
      </w:pPr>
      <w:r w:rsidRPr="00FC46C2">
        <w:t>–</w:t>
      </w:r>
      <w:r w:rsidRPr="00FC46C2">
        <w:tab/>
        <w:t>atsižvelgdamas į Europos žuvininkystės kontrolės agentūros 2022 finansinių metų galutines metines ataskaitas,</w:t>
      </w:r>
    </w:p>
    <w:p w:rsidR="00AD542F" w:rsidRPr="00FC46C2" w:rsidRDefault="00AD542F" w:rsidP="00AD542F">
      <w:pPr>
        <w:pStyle w:val="NormalHanging12a"/>
      </w:pPr>
      <w:r w:rsidRPr="00FC46C2">
        <w:t>–</w:t>
      </w:r>
      <w:r w:rsidRPr="00FC46C2">
        <w:tab/>
        <w:t>atsižvelgdamas į Audito Rūmų 2022 finansinių metų metinę ataskaitą dėl ES agentūrų kartu su agentūrų atsakymais</w:t>
      </w:r>
      <w:r w:rsidRPr="00FC46C2">
        <w:rPr>
          <w:rStyle w:val="FootnoteReference"/>
        </w:rPr>
        <w:footnoteReference w:id="6"/>
      </w:r>
      <w:r w:rsidRPr="00FC46C2">
        <w:t>,</w:t>
      </w:r>
    </w:p>
    <w:p w:rsidR="00AD542F" w:rsidRPr="00FC46C2" w:rsidRDefault="00AD542F" w:rsidP="00AD542F">
      <w:pPr>
        <w:pStyle w:val="NormalHanging12a"/>
      </w:pPr>
      <w:r w:rsidRPr="00FC46C2">
        <w:t>–</w:t>
      </w:r>
      <w:r w:rsidRPr="00FC46C2">
        <w:tab/>
        <w:t>atsižvelgdamas į Audito Rūmų pagal Sutarties dėl Europos Sąjungos veikimo 287 straipsnį pateiktą 2022 finansinių metų sąskaitų patikimumo ir pagal jas atliktų operacijų teisėtumo ir tvarkingumo patikinimo pareiškimą</w:t>
      </w:r>
      <w:r w:rsidRPr="00FC46C2">
        <w:rPr>
          <w:rStyle w:val="FootnoteReference"/>
        </w:rPr>
        <w:footnoteReference w:id="7"/>
      </w:r>
      <w:r w:rsidRPr="00FC46C2">
        <w:t>,</w:t>
      </w:r>
    </w:p>
    <w:p w:rsidR="00AD542F" w:rsidRPr="00FC46C2" w:rsidRDefault="00AD542F" w:rsidP="00AD542F">
      <w:pPr>
        <w:pStyle w:val="NormalHanging12a"/>
      </w:pPr>
      <w:r w:rsidRPr="00FC46C2">
        <w:t>–</w:t>
      </w:r>
      <w:r w:rsidRPr="00FC46C2">
        <w:tab/>
        <w:t xml:space="preserve">atsižvelgdamas į 2024 m. vasario 22 d. </w:t>
      </w:r>
      <w:r w:rsidR="008C2AAE" w:rsidRPr="00FC46C2">
        <w:t xml:space="preserve">Tarybos </w:t>
      </w:r>
      <w:r w:rsidRPr="00FC46C2">
        <w:t>rekomendaciją dėl patvirtinimo, kad Agentūra įvykdė 2022 finansinių metų biudžetą (0</w:t>
      </w:r>
      <w:r w:rsidR="008C2AAE">
        <w:t>6180</w:t>
      </w:r>
      <w:r w:rsidRPr="00FC46C2">
        <w:t>/2024 – C9</w:t>
      </w:r>
      <w:r w:rsidRPr="00FC46C2">
        <w:noBreakHyphen/>
        <w:t>00</w:t>
      </w:r>
      <w:r w:rsidR="008C2AAE">
        <w:t>88</w:t>
      </w:r>
      <w:r w:rsidRPr="00FC46C2">
        <w:t>/2024),</w:t>
      </w:r>
    </w:p>
    <w:p w:rsidR="00AD542F" w:rsidRPr="00FC46C2" w:rsidRDefault="00AD542F" w:rsidP="00AD542F">
      <w:pPr>
        <w:pStyle w:val="NormalHanging12a"/>
      </w:pPr>
      <w:r w:rsidRPr="00FC46C2">
        <w:t>–</w:t>
      </w:r>
      <w:r w:rsidRPr="00FC46C2">
        <w:tab/>
        <w:t>atsižvelgdamas į Sutarties dėl Europos Sąjungos veikimo 319 straipsnį,</w:t>
      </w:r>
    </w:p>
    <w:p w:rsidR="00AD542F" w:rsidRPr="00FC46C2" w:rsidRDefault="00AD542F" w:rsidP="00AD542F">
      <w:pPr>
        <w:pStyle w:val="NormalHanging12a"/>
      </w:pPr>
      <w:r w:rsidRPr="00FC46C2">
        <w:t>–</w:t>
      </w:r>
      <w:r w:rsidRPr="00FC46C2">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FC46C2">
        <w:rPr>
          <w:rStyle w:val="FootnoteReference"/>
        </w:rPr>
        <w:footnoteReference w:id="8"/>
      </w:r>
      <w:r w:rsidRPr="00FC46C2">
        <w:t>, ypač į jo 70 straipsnį,</w:t>
      </w:r>
    </w:p>
    <w:p w:rsidR="00AD542F" w:rsidRPr="00FC46C2" w:rsidRDefault="00AD542F" w:rsidP="00AD542F">
      <w:pPr>
        <w:pStyle w:val="NormalHanging12a"/>
      </w:pPr>
      <w:r w:rsidRPr="00FC46C2">
        <w:t>–</w:t>
      </w:r>
      <w:r w:rsidRPr="00FC46C2">
        <w:tab/>
        <w:t>atsižvelgdamas į 2019 m. kovo 19 d. Europos Parlamento ir Tarybos reglamentą (ES) 2019/473 dėl Europos žuvininkystės kontrolės agentūros</w:t>
      </w:r>
      <w:r w:rsidRPr="00FC46C2">
        <w:rPr>
          <w:rStyle w:val="FootnoteReference"/>
        </w:rPr>
        <w:footnoteReference w:id="9"/>
      </w:r>
      <w:r w:rsidRPr="00FC46C2">
        <w:t>, ypač į jo 45 straipsnį,</w:t>
      </w:r>
    </w:p>
    <w:p w:rsidR="00AD542F" w:rsidRPr="00FC46C2" w:rsidRDefault="00AD542F" w:rsidP="00AD542F">
      <w:pPr>
        <w:pStyle w:val="NormalHanging12a"/>
      </w:pPr>
      <w:r w:rsidRPr="00FC46C2">
        <w:t>–</w:t>
      </w:r>
      <w:r w:rsidRPr="00FC46C2">
        <w:tab/>
        <w:t>atsižvelgdamas į 2018 m. gruodžio 18 d. Komisijos deleguotąjį reglamentą (ES) 2019/715 dėl finansinio pagrindų reglamento, taikomo organams, įsteigtiems pagal SESV ir Euratomo sutartį ir nurodytiems Europos Parlamento ir Tarybos reglamento (ES, Euratomas) 2018/1046 70 straipsnyje</w:t>
      </w:r>
      <w:r w:rsidRPr="00FC46C2">
        <w:rPr>
          <w:rStyle w:val="FootnoteReference"/>
        </w:rPr>
        <w:footnoteReference w:id="10"/>
      </w:r>
      <w:r w:rsidRPr="00FC46C2">
        <w:t>, ypač į jo 105 straipsnį,</w:t>
      </w:r>
    </w:p>
    <w:p w:rsidR="00AD542F" w:rsidRPr="00FC46C2" w:rsidRDefault="00AD542F" w:rsidP="00AD542F">
      <w:pPr>
        <w:pStyle w:val="NormalHanging12a"/>
      </w:pPr>
      <w:r w:rsidRPr="00FC46C2">
        <w:t>–</w:t>
      </w:r>
      <w:r w:rsidRPr="00FC46C2">
        <w:tab/>
        <w:t>atsižvelgdamas į Darbo tvarkos taisyklių 100 straipsnį ir V priedą,</w:t>
      </w:r>
    </w:p>
    <w:p w:rsidR="00AD542F" w:rsidRPr="00FC46C2" w:rsidRDefault="00AD542F" w:rsidP="00AD542F">
      <w:pPr>
        <w:pStyle w:val="NormalHanging12a"/>
      </w:pPr>
      <w:r w:rsidRPr="00FC46C2">
        <w:t>–</w:t>
      </w:r>
      <w:r w:rsidRPr="00FC46C2">
        <w:tab/>
        <w:t>atsižvelgdamas į Žuvininkystės komiteto nuomonę,</w:t>
      </w:r>
    </w:p>
    <w:p w:rsidR="00AD542F" w:rsidRPr="00FC46C2" w:rsidRDefault="00AD542F" w:rsidP="00AD542F">
      <w:pPr>
        <w:pStyle w:val="NormalHanging12a"/>
      </w:pPr>
      <w:r w:rsidRPr="00FC46C2">
        <w:t>–</w:t>
      </w:r>
      <w:r w:rsidRPr="00FC46C2">
        <w:tab/>
        <w:t>atsižvelgdamas į Biudžeto kontrolės komiteto pranešimą (A9-0100/2024),</w:t>
      </w:r>
    </w:p>
    <w:p w:rsidR="00AD542F" w:rsidRPr="00FC46C2" w:rsidRDefault="00AD542F" w:rsidP="00AD542F">
      <w:pPr>
        <w:pStyle w:val="NormalHanging12a"/>
      </w:pPr>
      <w:r w:rsidRPr="00FC46C2">
        <w:t>1.</w:t>
      </w:r>
      <w:r w:rsidRPr="00FC46C2">
        <w:tab/>
        <w:t>pritaria Europos žuvininkystės kontrolės agentūros 2022 finansinių metų sąskaitų uždarymui;</w:t>
      </w:r>
    </w:p>
    <w:p w:rsidR="00AD542F" w:rsidRPr="00FC46C2" w:rsidRDefault="00AD542F" w:rsidP="00AD542F">
      <w:pPr>
        <w:pStyle w:val="NormalHanging12a"/>
      </w:pPr>
      <w:r w:rsidRPr="00FC46C2">
        <w:t>2.</w:t>
      </w:r>
      <w:r w:rsidRPr="00FC46C2">
        <w:tab/>
        <w:t xml:space="preserve">paveda Pirmininkei perduoti šį sprendimą Europos žuvininkystės kontrolės agentūros vykdomajai direktorei, Tarybai, Komisijai ir Audito Rūmams ir pasirūpinti, kad jis būtų </w:t>
      </w:r>
      <w:r w:rsidRPr="00FC46C2">
        <w:lastRenderedPageBreak/>
        <w:t xml:space="preserve">paskelbtas </w:t>
      </w:r>
      <w:r w:rsidRPr="00FC46C2">
        <w:rPr>
          <w:i/>
        </w:rPr>
        <w:t>Europos Sąjungos oficialiajame leidinyje</w:t>
      </w:r>
      <w:r w:rsidRPr="00FC46C2">
        <w:t xml:space="preserve"> (L serijoje).</w:t>
      </w:r>
    </w:p>
    <w:p w:rsidR="00AD542F" w:rsidRPr="00FC46C2" w:rsidRDefault="00AD542F" w:rsidP="00AD542F"/>
    <w:p w:rsidR="00AD542F" w:rsidRPr="00FC46C2" w:rsidRDefault="00AD542F" w:rsidP="00AD542F">
      <w:pPr>
        <w:widowControl/>
        <w:rPr>
          <w:rFonts w:ascii="Arial" w:hAnsi="Arial" w:cs="Arial"/>
          <w:b/>
        </w:rPr>
        <w:sectPr w:rsidR="00AD542F" w:rsidRPr="00FC46C2" w:rsidSect="00FC46C2">
          <w:footnotePr>
            <w:numRestart w:val="eachPage"/>
          </w:footnotePr>
          <w:endnotePr>
            <w:numFmt w:val="decimal"/>
          </w:endnotePr>
          <w:pgSz w:w="11906" w:h="16838"/>
          <w:pgMar w:top="1134" w:right="1418" w:bottom="1418" w:left="1418" w:header="567" w:footer="567" w:gutter="0"/>
          <w:cols w:space="720"/>
          <w:docGrid w:linePitch="326"/>
        </w:sectPr>
      </w:pPr>
    </w:p>
    <w:p w:rsidR="00AD542F" w:rsidRPr="00FC46C2" w:rsidRDefault="00375F95" w:rsidP="00375F95">
      <w:pPr>
        <w:pStyle w:val="ATHeading3"/>
      </w:pPr>
      <w:r>
        <w:lastRenderedPageBreak/>
        <w:t xml:space="preserve">3. 2024 m. balandžio 11 d. </w:t>
      </w:r>
      <w:r w:rsidRPr="00FC46C2">
        <w:t xml:space="preserve">Europos Parlamento </w:t>
      </w:r>
      <w:r>
        <w:t>rezoliucija</w:t>
      </w:r>
      <w:r w:rsidRPr="00FC46C2">
        <w:t xml:space="preserve"> </w:t>
      </w:r>
      <w:r w:rsidR="00AD542F" w:rsidRPr="00FC46C2">
        <w:t>su pastabomis, sudarančiomis neatskiriamą sprendimo dėl Europos žuvininkystės kontrolės agentūros 2022 finansinių metų biudžeto įvykdymo patvirtinimo dalį</w:t>
      </w:r>
      <w:r>
        <w:t xml:space="preserve"> </w:t>
      </w:r>
      <w:r w:rsidR="00AD542F" w:rsidRPr="00FC46C2">
        <w:t>(2023/2150(DEC))</w:t>
      </w:r>
    </w:p>
    <w:p w:rsidR="00AD542F" w:rsidRPr="00FC46C2" w:rsidRDefault="00AD542F" w:rsidP="00AD542F">
      <w:pPr>
        <w:pStyle w:val="EPComma"/>
      </w:pPr>
      <w:r w:rsidRPr="00FC46C2">
        <w:rPr>
          <w:i/>
        </w:rPr>
        <w:t>Europos Parlamentas</w:t>
      </w:r>
      <w:r w:rsidRPr="00FC46C2">
        <w:t>,</w:t>
      </w:r>
    </w:p>
    <w:p w:rsidR="00AD542F" w:rsidRPr="00FC46C2" w:rsidRDefault="00AD542F" w:rsidP="00AD542F">
      <w:pPr>
        <w:pStyle w:val="NormalHanging12a"/>
      </w:pPr>
      <w:r w:rsidRPr="00FC46C2">
        <w:t>–</w:t>
      </w:r>
      <w:r w:rsidRPr="00FC46C2">
        <w:tab/>
        <w:t>atsižvelgdamas į savo sprendimą dėl Europos žuvininkystės kontrolės agentūros 2022 finansinių metų biudžeto įvykdymo patvirtinimo,</w:t>
      </w:r>
    </w:p>
    <w:p w:rsidR="00AD542F" w:rsidRPr="00FC46C2" w:rsidRDefault="00AD542F" w:rsidP="00AD542F">
      <w:pPr>
        <w:pStyle w:val="NormalHanging12a"/>
      </w:pPr>
      <w:r w:rsidRPr="00FC46C2">
        <w:t>–</w:t>
      </w:r>
      <w:r w:rsidRPr="00FC46C2">
        <w:tab/>
        <w:t>atsižvelgdamas į Darbo tvarkos taisyklių 100 straipsnį ir V priedą,</w:t>
      </w:r>
    </w:p>
    <w:p w:rsidR="00AD542F" w:rsidRPr="00FC46C2" w:rsidRDefault="00AD542F" w:rsidP="00AD542F">
      <w:pPr>
        <w:pStyle w:val="NormalHanging12a"/>
      </w:pPr>
      <w:r w:rsidRPr="00FC46C2">
        <w:t>–</w:t>
      </w:r>
      <w:r w:rsidRPr="00FC46C2">
        <w:tab/>
        <w:t>atsižvelgdamas į Žuvininkystės komiteto nuomonę,</w:t>
      </w:r>
    </w:p>
    <w:p w:rsidR="00AD542F" w:rsidRPr="00FC46C2" w:rsidRDefault="00AD542F" w:rsidP="00AD542F">
      <w:pPr>
        <w:pStyle w:val="NormalHanging12a"/>
      </w:pPr>
      <w:r w:rsidRPr="00FC46C2">
        <w:t>–</w:t>
      </w:r>
      <w:r w:rsidRPr="00FC46C2">
        <w:tab/>
        <w:t>atsižvelgdamas į Biudžeto kontrolės komiteto pranešimą (A9-0100/2024),</w:t>
      </w:r>
    </w:p>
    <w:p w:rsidR="00AD542F" w:rsidRPr="00FC46C2" w:rsidRDefault="00AD542F" w:rsidP="00AD542F">
      <w:pPr>
        <w:widowControl/>
        <w:spacing w:after="240"/>
        <w:ind w:left="567" w:hanging="567"/>
        <w:rPr>
          <w:szCs w:val="24"/>
        </w:rPr>
      </w:pPr>
      <w:r w:rsidRPr="00FC46C2">
        <w:t>A.</w:t>
      </w:r>
      <w:r w:rsidRPr="00FC46C2">
        <w:tab/>
        <w:t>kadangi, remiantis Europos žuvininkystės kontrolės agentūros (toliau – Agentūra) pajamų ir išlaidų suvestine</w:t>
      </w:r>
      <w:r w:rsidRPr="00FC46C2">
        <w:rPr>
          <w:szCs w:val="24"/>
          <w:vertAlign w:val="superscript"/>
        </w:rPr>
        <w:footnoteReference w:id="11"/>
      </w:r>
      <w:r w:rsidRPr="00FC46C2">
        <w:t>, jos galutinis 2022 finansinių metų biudžetas buvo 34 967 797 EUR, t. y. 61,73 proc. didesnis nei 2021 m., o bendroji ES subsidija padidėjo maždaug 41 proc. ir labai padidėjo asignuotosios pajamos pagal daugiamečius susitarimus dėl įnašų ir dotacijas; kadangi papildoma ES subsidija, suteikta EŽKA, inicijuota 2021 m., buvo susieta su finansine teisės akto pasiūlymo pažyma, susijusia su padidėjusiais stebėsenos reikalavimais Jungtinės Karalystės kaimynystėje esančiuose ES vandenyse; kadangi apie 84 proc. Agentūros biudžeto sudaro lėšos iš Sąjungos biudžeto, o apie 16 proc. – iš paskirtųjų pajamų;</w:t>
      </w:r>
    </w:p>
    <w:p w:rsidR="00AD542F" w:rsidRPr="00FC46C2" w:rsidRDefault="00AD542F" w:rsidP="00AD542F">
      <w:pPr>
        <w:widowControl/>
        <w:spacing w:after="240"/>
        <w:ind w:left="567" w:hanging="567"/>
        <w:rPr>
          <w:szCs w:val="24"/>
        </w:rPr>
      </w:pPr>
      <w:r w:rsidRPr="00FC46C2">
        <w:t>B.</w:t>
      </w:r>
      <w:r w:rsidRPr="00FC46C2">
        <w:tab/>
        <w:t>kadangi Audito Rūmai savo ataskaitoje dėl Agentūros 2022 finansinių metų metinių ataskaitų (toliau – Audito Rūmų ataskaita) nurodė, kad gavo pagrįstą patikinimą, jog Agentūros metinės ataskaitos yra patikimos ir jose nurodytos operacijos yra teisėtos ir tvarkingos;</w:t>
      </w:r>
    </w:p>
    <w:p w:rsidR="00AD542F" w:rsidRPr="00FC46C2" w:rsidRDefault="00AD542F" w:rsidP="00AD542F">
      <w:pPr>
        <w:widowControl/>
        <w:spacing w:after="240"/>
        <w:ind w:left="567" w:hanging="567"/>
        <w:rPr>
          <w:b/>
          <w:i/>
          <w:szCs w:val="24"/>
        </w:rPr>
      </w:pPr>
      <w:r w:rsidRPr="00FC46C2">
        <w:rPr>
          <w:b/>
          <w:i/>
        </w:rPr>
        <w:t>Biudžeto ir finansų valdymas</w:t>
      </w:r>
    </w:p>
    <w:p w:rsidR="00AD542F" w:rsidRPr="00FC46C2" w:rsidRDefault="00AD542F" w:rsidP="00AD542F">
      <w:pPr>
        <w:widowControl/>
        <w:spacing w:after="240"/>
        <w:ind w:left="567" w:hanging="567"/>
        <w:rPr>
          <w:szCs w:val="24"/>
        </w:rPr>
      </w:pPr>
      <w:r w:rsidRPr="00FC46C2">
        <w:t>1.</w:t>
      </w:r>
      <w:r w:rsidRPr="00FC46C2">
        <w:tab/>
        <w:t>džiaugdamasis pažymi, kad dėl 2022 finansiniais metais vykdytos biudžeto stebėsenos biudžeto įsipareigojimų asignavimų įvykdymo lygis einamaisiais metais buvo 99,41 proc., t. y. kiek padidėjo (0,34 proc.), palyginti su 2021 m.; pažymi, kad einamaisiais metais mokėjimų asignavimų panaudojimo lygis buvo 57,78 proc., t. y. 16,70 proc. mažesnis nei 2021 m.;</w:t>
      </w:r>
    </w:p>
    <w:p w:rsidR="00AD542F" w:rsidRPr="00FC46C2" w:rsidRDefault="00AD542F" w:rsidP="00AD542F">
      <w:pPr>
        <w:widowControl/>
        <w:spacing w:after="240"/>
        <w:ind w:left="567" w:hanging="567"/>
        <w:rPr>
          <w:szCs w:val="24"/>
        </w:rPr>
      </w:pPr>
      <w:r w:rsidRPr="00FC46C2">
        <w:t>2.</w:t>
      </w:r>
      <w:r w:rsidRPr="00FC46C2">
        <w:tab/>
        <w:t xml:space="preserve">susirūpinęs pažymi, kad, Audito Rūmų duomenimis, Agentūra į 2023 m. perkėlė 11,9 mln. EUR (41 proc.) turimų 2022 m. įsipareigojimų asignavimų; pažymi, kad tai apėmė 1,6 milijono eurų (arba 53 proc.) asignavimų pagal II antraštinę dalį, susijusių su administracine veikla (34 proc. 2021 m.), ir 10,1 milijono eurų (arba 63 proc.) asignavimų pagal III antraštinę dalį, susijusių su pagrindine veikla (42 proc. 2021 m.); pabrėžia, kad dideli asignavimų perkėlimo į kitą laikotarpį rodikliai prieštarauja biudžeto metinio periodiškumo principui ir rodo biudžeto sudarymo proceso ir įgyvendinimo ciklo struktūrines problemas; atkreipia dėmesį į Agentūros atsakymą šiuo </w:t>
      </w:r>
      <w:r w:rsidRPr="00FC46C2">
        <w:lastRenderedPageBreak/>
        <w:t>klausimu, pabrėždamas, kad aukštas 2022 m. perkėlimų lygis yra labai ypatingų aplinkybių, kurios, tikėtina, nepasikartos, padarinys;</w:t>
      </w:r>
    </w:p>
    <w:p w:rsidR="00AD542F" w:rsidRPr="00FC46C2" w:rsidRDefault="00AD542F" w:rsidP="00AD542F">
      <w:pPr>
        <w:pStyle w:val="NormalHanging12a"/>
      </w:pPr>
      <w:r w:rsidRPr="00FC46C2">
        <w:t>3.</w:t>
      </w:r>
      <w:r w:rsidRPr="00FC46C2">
        <w:tab/>
        <w:t>pažymi, kad būdingas 2022 finansinių metų akcentas – atsigavimas po COVID-19 pandemijos poveikio, patirto per ankstesnius dvejus finansinius metus, ir kad EŽKA biudžetas ir ištekliai toliau didėjo papildomoms užduotims ir projektams vykdyti, kaip numatyta jos 2022 m. bendrajame programavimo dokumente; atkreipia dėmesį į tai, kad karas Ukrainoje galėjo turėti įtakos tam tikro turto ir įsipareigojimų pripažinimui ir vertinimui balanse, tas pats pasakytina apie tam tikras pajamas ir išlaidas, įtraukiamas į vėlesniems ataskaitiniams laikotarpiams skirtas finansinių rezultatų ataskaitas;</w:t>
      </w:r>
    </w:p>
    <w:p w:rsidR="00AD542F" w:rsidRPr="00FC46C2" w:rsidRDefault="00AD542F" w:rsidP="00AD542F">
      <w:pPr>
        <w:pStyle w:val="NormalHanging12a"/>
      </w:pPr>
      <w:r w:rsidRPr="00FC46C2">
        <w:t>4.</w:t>
      </w:r>
      <w:r w:rsidRPr="00FC46C2">
        <w:tab/>
        <w:t>pabrėžia, kad už žvejybos veiklos kontrolę visų pirma atsakingos valstybės narės, o Agentūros užduotys yra paramos pobūdžio; pabrėžia, kad po pastarosios Sąjungos žuvininkystės kontrolės sistemos peržiūros Agentūros darbo, susijusio su parama, krūvis padidės; pabrėžia, jog svarbu atsižvelgti į tai, kad nenuoseklu didinti pareigas, bet nenumatyti pakankamų išteklių joms vykdyti; todėl pabrėžia, kad ateinančiais metais Agentūrai skiriami finansiniai ir žmogiškieji ištekliai turi būti pakankami;</w:t>
      </w:r>
    </w:p>
    <w:p w:rsidR="00AD542F" w:rsidRPr="00FC46C2" w:rsidRDefault="00AD542F" w:rsidP="00AD542F">
      <w:pPr>
        <w:widowControl/>
        <w:spacing w:after="240"/>
        <w:ind w:left="567" w:hanging="567"/>
        <w:rPr>
          <w:b/>
          <w:i/>
          <w:szCs w:val="24"/>
        </w:rPr>
      </w:pPr>
      <w:r w:rsidRPr="00FC46C2">
        <w:rPr>
          <w:b/>
          <w:i/>
        </w:rPr>
        <w:t>Veikla</w:t>
      </w:r>
    </w:p>
    <w:p w:rsidR="00AD542F" w:rsidRPr="00FC46C2" w:rsidRDefault="00AD542F" w:rsidP="00AD542F">
      <w:pPr>
        <w:pStyle w:val="NormalHanging12a"/>
        <w:widowControl/>
      </w:pPr>
      <w:r w:rsidRPr="00FC46C2">
        <w:t>5.</w:t>
      </w:r>
      <w:r w:rsidRPr="00FC46C2">
        <w:tab/>
        <w:t>palankiai vertina tai, kad 2022 m. Agentūra įgyvendino 95,4 proc. metinės darbo programos, kurią administracinė valdyba priėmė pagal bendrąjį programavimo dokumentą;</w:t>
      </w:r>
    </w:p>
    <w:p w:rsidR="00AD542F" w:rsidRPr="00FC46C2" w:rsidRDefault="00AD542F" w:rsidP="00AD542F">
      <w:pPr>
        <w:pStyle w:val="NormalHanging12a"/>
        <w:widowControl/>
      </w:pPr>
      <w:r w:rsidRPr="00FC46C2">
        <w:t>6.</w:t>
      </w:r>
      <w:r w:rsidRPr="00FC46C2">
        <w:tab/>
        <w:t>su pasitenkinimu pažymi, kad Agentūra naudoja pagrindinius veiklos rezultatų rodiklius, kad įvertintų savo veiklos rezultatus dviejose pagrindinėse srityse: operatyvinė veikla ir horizontalioji veikla; taip pat pripažįsta, kad operatyvinė veikla apima tokias pagrindines sritis kaip operatyvinis bendradarbiavimas, pagalba bendradarbiavimui, tarptautinis aspektas ir Sąjungos bendradarbiavimas pakrančių apsaugos funkcijų srityje; atkreipia dėmesį į tai, kad horizontalioji veikla apima komunikaciją ir atstovavimą, informacines ir ryšių technologijas ir informacijos saugumą, taip pat administracinius ir valdymo procesus;</w:t>
      </w:r>
    </w:p>
    <w:p w:rsidR="00AD542F" w:rsidRPr="00FC46C2" w:rsidRDefault="00AD542F" w:rsidP="00AD542F">
      <w:pPr>
        <w:pStyle w:val="NormalHanging12a"/>
        <w:widowControl/>
      </w:pPr>
      <w:r w:rsidRPr="00FC46C2">
        <w:t>7.</w:t>
      </w:r>
      <w:r w:rsidRPr="00FC46C2">
        <w:tab/>
        <w:t xml:space="preserve">pažymi, kad 2022 m. Agentūrai buvo skirta papildomų išteklių, suteikiant jai būtinus veiklos </w:t>
      </w:r>
      <w:proofErr w:type="spellStart"/>
      <w:r w:rsidRPr="00FC46C2">
        <w:t>pajėgumus</w:t>
      </w:r>
      <w:proofErr w:type="spellEnd"/>
      <w:r w:rsidRPr="00FC46C2">
        <w:t>, kad ji galėtų padėti valstybėms narėms ir Komisijai taikyti stebėsenos, kontrolės ir priežiūros tvarką, naudojamą pagal bendrą žuvininkystės politiką (BŽP), įskaitant priemones, susijusias su Prekybos ir bendradarbiavimo susitarimu (PBS) su Jungtine Karalyste; be to, pažymi, kad 2022 m. buvo įtraukti trys nauji projektai, subsidijuojami dotacijomis pagal būsimą Europos jūrų reikalų, žvejybos ir akvakultūros fondą (EJRŽAF); pažymi, kad šie projektai apėmė žuvininkystės produktų svėrimo proceso visoje Sąjungoje tyrimą, virtualią regioninę mokymo akademiją vakarinėje Viduržemio jūros dalyje žuvininkystės kontrolės ir tikrinimo klausimais, taip pat Europos bendradarbiavimo pakrančių apsaugos funkcijų srityje vadovo ir internetinės sektorių kvalifikacijos sistemos (SQF) administravimą;</w:t>
      </w:r>
    </w:p>
    <w:p w:rsidR="00AD542F" w:rsidRPr="00FC46C2" w:rsidRDefault="00AD542F" w:rsidP="00AD542F">
      <w:pPr>
        <w:pStyle w:val="NormalHanging12a"/>
        <w:widowControl/>
      </w:pPr>
      <w:r w:rsidRPr="00FC46C2">
        <w:t>8.</w:t>
      </w:r>
      <w:r w:rsidRPr="00FC46C2">
        <w:tab/>
        <w:t>primena, kad Agentūra privalo kas penkerius metus atlikti nepriklausomą vertinimą, atsižvelgdama į Europos Parlamento ir Tarybos reglamento (ES) 2019/473</w:t>
      </w:r>
      <w:r w:rsidRPr="00FC46C2">
        <w:rPr>
          <w:rStyle w:val="FootnoteReference"/>
        </w:rPr>
        <w:footnoteReference w:id="12"/>
      </w:r>
      <w:r w:rsidRPr="00FC46C2">
        <w:t xml:space="preserve"> 48 straipsnyje nustatytą teisinę pareigą; pažymi, kad dėl 2017–2021 m. laikotarpio išorės </w:t>
      </w:r>
      <w:r w:rsidRPr="00FC46C2">
        <w:lastRenderedPageBreak/>
        <w:t>vertintojas 2022 m. liepos mėn. pateikė galutinės ataskaitos projektą, kuris buvo pateiktas Administracinės valdybos nariams, kad jie galėtų pateikti pastabų; pažymi, kad atliekant vertinimą Agentūros veiklos rezultatai įvertinti pagal penkis veiksmingumo, efektyvumo, aktualumo, nuoseklumo ir Sąjungos pridėtinės vertės kriterijus, laikantis Komisijos geresnio reglamentavimo gairių; pabrėžia, kad vertinime pateikta dešimt rekomendacijų, kuriose daugiausia dėmesio skiriama įvairiems aspektams, konkrečiai organizaciniams aspektams, rekomendacijos tam, kad vaidmuo ir veikla ir toliau būtų tinkami siekiant Reglamente (ES) 2019/473 nustatytų tikslų, taip pat rekomendacijos dėl konkrečios Agentūros veiklos;</w:t>
      </w:r>
    </w:p>
    <w:p w:rsidR="00AD542F" w:rsidRPr="00FC46C2" w:rsidRDefault="00AD542F" w:rsidP="00AD542F">
      <w:pPr>
        <w:pStyle w:val="NormalHanging12a"/>
      </w:pPr>
      <w:r w:rsidRPr="00FC46C2">
        <w:t>9.</w:t>
      </w:r>
      <w:r w:rsidRPr="00FC46C2">
        <w:tab/>
        <w:t>primena, kad Agentūra labai prisideda prie BŽP įgyvendinimo, visų pirma prie žuvininkystės kontrolės ir kovos su neteisėta, nedeklaruojama ir nereglamentuojama žvejyba; palankiai vertina tai, kad stiprinami Agentūros frachtuojami jūrų patruliniai laivai, siekiant vykdyti žuvininkystės kontrolę ir inspektavimą Sąjungos ir tarptautiniuose vandenyse ir padėti nacionalinėms institucijoms; pabrėžia, kad Agentūra dalyvauja svarbiose tarptautinėse koalicijose prieš neteisėtą žvejybą, pvz., Geresnės regioninės žvejybos Vakarų Afrikos vandenyse programoje (operacijoje PESCAO);</w:t>
      </w:r>
    </w:p>
    <w:p w:rsidR="00AD542F" w:rsidRPr="00FC46C2" w:rsidRDefault="00AD542F" w:rsidP="00AD542F">
      <w:pPr>
        <w:spacing w:after="240"/>
        <w:ind w:left="567" w:hanging="567"/>
      </w:pPr>
      <w:r w:rsidRPr="00FC46C2">
        <w:t>10.</w:t>
      </w:r>
      <w:r w:rsidRPr="00FC46C2">
        <w:tab/>
        <w:t>atkreipia dėmesį į tai, kad 2022 m. Agentūra pranešė apie 47 592 žvejybos laivų inspektavimo atvejus (jūroje ir krante), per kuriuos nustatyti 5 167 įtariami pažeidimai, taigi, palyginti su 2021 m., inspektavimo atvejų skaičius sumažėjo 11 proc., o įtariamų pažeidimų padidėjo 28 proc.; atkreipia dėmesį į tai, kad pastebėtas sumažėjimas nebūtinai yra susijęs su sumažėjusiomis valstybių narių kontrolės pastangomis; ragina Agentūrą pateikti išsamesnės informacijos apie šių pokyčių priežastis; atkreipia dėmesį į tai, kad inspektavimas ir kiti tolesni veiksmai atlieka svarbų vaidmenį ne tik siekiant tinkamai valdyti žuvų išteklius, bet ir užtikrinant vienodas sąlygas Sąjungos žvejams;</w:t>
      </w:r>
    </w:p>
    <w:p w:rsidR="00AD542F" w:rsidRPr="00FC46C2" w:rsidRDefault="00AD542F" w:rsidP="00AD542F">
      <w:pPr>
        <w:pStyle w:val="NormalHanging12a"/>
      </w:pPr>
      <w:r w:rsidRPr="00FC46C2">
        <w:t>11.</w:t>
      </w:r>
      <w:r w:rsidRPr="00FC46C2">
        <w:tab/>
        <w:t>atkreipia dėmesį į Agentūros vaidmenį teikiant pajėgumo stiprinimo ir mokymo paslaugas trečiosioms valstybėms ir į itin svarbų Agentūros vaidmenį užtikrinant vienodas sąlygas visoms pakrantės valstybėms;</w:t>
      </w:r>
    </w:p>
    <w:p w:rsidR="00AD542F" w:rsidRPr="00FC46C2" w:rsidRDefault="00AD542F" w:rsidP="00AD542F">
      <w:pPr>
        <w:widowControl/>
        <w:spacing w:after="240"/>
        <w:ind w:left="567" w:hanging="567"/>
        <w:rPr>
          <w:b/>
          <w:i/>
        </w:rPr>
      </w:pPr>
      <w:r w:rsidRPr="00FC46C2">
        <w:rPr>
          <w:b/>
          <w:i/>
        </w:rPr>
        <w:t>Veiksmingumas ir nauda</w:t>
      </w:r>
    </w:p>
    <w:p w:rsidR="00AD542F" w:rsidRPr="00FC46C2" w:rsidRDefault="00AD542F" w:rsidP="00AD542F">
      <w:pPr>
        <w:widowControl/>
        <w:spacing w:after="240"/>
        <w:ind w:left="567" w:hanging="567"/>
      </w:pPr>
      <w:r w:rsidRPr="00FC46C2">
        <w:t>12.</w:t>
      </w:r>
      <w:r w:rsidRPr="00FC46C2">
        <w:tab/>
        <w:t xml:space="preserve">pabrėžia, kad Agentūra ir toliau gauna naudos iš veiksmingumo, pasiekto laikantis Komisijos veiksmų gairių, kiek tai susiję su esamų organizacijos IT sistemų integravimu (SUMMA, e. viešųjų pirkimų moduliai iki sutarties sudarymo ir po sutarties sudarymo, MIPS, AGM, </w:t>
      </w:r>
      <w:proofErr w:type="spellStart"/>
      <w:r w:rsidRPr="00FC46C2">
        <w:t>Sysper</w:t>
      </w:r>
      <w:proofErr w:type="spellEnd"/>
      <w:r w:rsidRPr="00FC46C2">
        <w:t xml:space="preserve"> moduliai, PPMT ir kt.); pažymi, kad, be nustatytų </w:t>
      </w:r>
      <w:proofErr w:type="spellStart"/>
      <w:r w:rsidRPr="00FC46C2">
        <w:t>privalumų</w:t>
      </w:r>
      <w:proofErr w:type="spellEnd"/>
      <w:r w:rsidRPr="00FC46C2">
        <w:t>, susijusių su visų tų sistemų integracijos aspektais, esama akivaizdžios naudos mažinant priežiūros išlaidas, susijusias su pakeitimų ir atnaujinimų palaikymu;</w:t>
      </w:r>
    </w:p>
    <w:p w:rsidR="00AD542F" w:rsidRPr="00FC46C2" w:rsidRDefault="00AD542F" w:rsidP="00AD542F">
      <w:pPr>
        <w:widowControl/>
        <w:spacing w:after="240"/>
        <w:ind w:left="567" w:hanging="567"/>
      </w:pPr>
      <w:r w:rsidRPr="00FC46C2">
        <w:t>13.</w:t>
      </w:r>
      <w:r w:rsidRPr="00FC46C2">
        <w:tab/>
        <w:t xml:space="preserve">palankiai vertina tai, kad Agentūra priima iš Komisijos ir kitų agentūrų gautus kvietimus dalyvauti </w:t>
      </w:r>
      <w:proofErr w:type="spellStart"/>
      <w:r w:rsidRPr="00FC46C2">
        <w:t>tarpinstituciniuose</w:t>
      </w:r>
      <w:proofErr w:type="spellEnd"/>
      <w:r w:rsidRPr="00FC46C2">
        <w:t xml:space="preserve"> konkursuose; pažymi, kad šiuo metu Agentūra naudoja daugiau kaip 45 preliminariąsias sutartis, pasirašytas kitų subjektų; pažymi, kad dėl to agentūros rotacijos tvarka užima vadovaujančią poziciją, o tai apskritai padidina agentūrų viešųjų pirkimų veiksmingumą;</w:t>
      </w:r>
    </w:p>
    <w:p w:rsidR="00AD542F" w:rsidRPr="00FC46C2" w:rsidRDefault="00AD542F" w:rsidP="00AD542F">
      <w:pPr>
        <w:widowControl/>
        <w:spacing w:after="240"/>
        <w:ind w:left="567" w:hanging="567"/>
      </w:pPr>
      <w:r w:rsidRPr="00FC46C2">
        <w:t>14.</w:t>
      </w:r>
      <w:r w:rsidRPr="00FC46C2">
        <w:tab/>
        <w:t>atkreipia dėmesį į bendrų administracinių užduočių centralizavimą, kuris taip pat buvo sėkmingas siekiant veiksmingumo; atkreipia dėmesį į tai, kad finansų inicijavimas ir tikrinimas ir toliau yra centralizuoti, o tai leidžia geriau kontroliuoti sandorius, suvienodinti metodikas ir kaupti žinias šiose srityse;</w:t>
      </w:r>
    </w:p>
    <w:p w:rsidR="00AD542F" w:rsidRPr="00FC46C2" w:rsidRDefault="00AD542F" w:rsidP="00AD542F">
      <w:pPr>
        <w:widowControl/>
        <w:spacing w:after="240"/>
        <w:ind w:left="567" w:hanging="567"/>
      </w:pPr>
      <w:r w:rsidRPr="00FC46C2">
        <w:lastRenderedPageBreak/>
        <w:t>15.</w:t>
      </w:r>
      <w:r w:rsidRPr="00FC46C2">
        <w:tab/>
        <w:t>pažymi, kad žmogiškųjų išteklių srityje veiksmingumas dar labiau padidėja dalijantis esamais įdarbinimo procedūrų rezervo sąrašais su kitomis agentūromis, kai rezervo sąrašo profilis atitinka prašančiosios agentūros poreikius; pažymi, kad taikant šią praktiką galima pasinaudoti kitos agentūros rezervo sąrašu ir nereikia organizuoti daug išteklių reikalaujančios įdarbinimo procedūros;</w:t>
      </w:r>
    </w:p>
    <w:p w:rsidR="00AD542F" w:rsidRPr="00FC46C2" w:rsidRDefault="00AD542F" w:rsidP="00AD542F">
      <w:pPr>
        <w:pStyle w:val="NormalHanging12a"/>
      </w:pPr>
      <w:r w:rsidRPr="00FC46C2">
        <w:t>16.</w:t>
      </w:r>
      <w:r w:rsidRPr="00FC46C2">
        <w:tab/>
        <w:t>atkreipia dėmesį į tai, kad Agentūra tęsia bendradarbiavimą su Europos sienų ir pakrančių apsaugos agentūra (FRONTEX) ir Europos jūrų saugumo agentūra (EMSA), siekdama padėti nacionalinėms institucijoms atlikti pakrančių apsaugos funkcijas pagal Reglamento (ES) 2019/473 8 straipsnį; mano, kad šis bendradarbiavimas yra Sąjungos agentūrų sinergijos pavyzdys, kuris turėtų įkvėpti kitose srityse veikiančias agentūras; ragina Agentūrą toliau dėti pastangas šioje srityje ir mano, kad taip pat tikslinga stiprinti Agentūros ir Europos aplinkos agentūros bendradarbiavimą;</w:t>
      </w:r>
    </w:p>
    <w:p w:rsidR="00AD542F" w:rsidRPr="00FC46C2" w:rsidRDefault="00AD542F" w:rsidP="00AD542F">
      <w:pPr>
        <w:widowControl/>
        <w:spacing w:after="240"/>
        <w:ind w:left="567" w:hanging="567"/>
        <w:rPr>
          <w:b/>
          <w:i/>
          <w:szCs w:val="24"/>
        </w:rPr>
      </w:pPr>
      <w:r w:rsidRPr="00FC46C2">
        <w:rPr>
          <w:b/>
          <w:i/>
        </w:rPr>
        <w:t>Personalo politika</w:t>
      </w:r>
    </w:p>
    <w:p w:rsidR="00AD542F" w:rsidRPr="00FC46C2" w:rsidRDefault="00AD542F" w:rsidP="00AD542F">
      <w:pPr>
        <w:widowControl/>
        <w:spacing w:after="240"/>
        <w:ind w:left="567" w:hanging="567"/>
        <w:rPr>
          <w:szCs w:val="24"/>
        </w:rPr>
      </w:pPr>
      <w:r w:rsidRPr="00FC46C2">
        <w:t>17.</w:t>
      </w:r>
      <w:r w:rsidRPr="00FC46C2">
        <w:tab/>
        <w:t xml:space="preserve">pažymi, kad 2022 m. gruodžio 31 d. etatų planas buvo įvykdytas 96,10 proc.: iš 77 laikinųjų darbuotojų, patvirtintų pagal Sąjungos biudžetą, paskirti 74 laikinieji darbuotojai (2021 m. patvirtintas 65 etatas); be to, pažymi, kad 2022 m. Agentūroje dirbo 11 sutartininkų, šeši deleguotieji nacionaliniai ekspertai ir 16 laikinųjų darbuotojų bei konsultantų; taip pat pažymi, kad iš viso 13 sutartininkų buvo remiami pagal </w:t>
      </w:r>
      <w:proofErr w:type="spellStart"/>
      <w:r w:rsidRPr="00FC46C2">
        <w:rPr>
          <w:i/>
          <w:iCs/>
        </w:rPr>
        <w:t>ad</w:t>
      </w:r>
      <w:proofErr w:type="spellEnd"/>
      <w:r w:rsidRPr="00FC46C2">
        <w:rPr>
          <w:i/>
          <w:iCs/>
        </w:rPr>
        <w:t xml:space="preserve"> </w:t>
      </w:r>
      <w:proofErr w:type="spellStart"/>
      <w:r w:rsidRPr="00FC46C2">
        <w:rPr>
          <w:i/>
          <w:iCs/>
        </w:rPr>
        <w:t>hoc</w:t>
      </w:r>
      <w:proofErr w:type="spellEnd"/>
      <w:r w:rsidRPr="00FC46C2">
        <w:t xml:space="preserve"> dotacijų ir įnašų susitarimus dėl įvairių projektų;</w:t>
      </w:r>
    </w:p>
    <w:p w:rsidR="00AD542F" w:rsidRPr="00FC46C2" w:rsidRDefault="00AD542F" w:rsidP="00AD542F">
      <w:pPr>
        <w:widowControl/>
        <w:spacing w:after="240"/>
        <w:ind w:left="567" w:hanging="567"/>
        <w:rPr>
          <w:szCs w:val="24"/>
        </w:rPr>
      </w:pPr>
      <w:r w:rsidRPr="00FC46C2">
        <w:t>18.</w:t>
      </w:r>
      <w:r w:rsidRPr="00FC46C2">
        <w:tab/>
        <w:t xml:space="preserve">atkreipia dėmesį į 2022 m. vasario mėn. įvykusią reorganizaciją siekiant pritaikyti organizaciją prie Agentūrai paskirtų papildomų užduočių ir išteklių, kad būtų sustiprinti būtini veiklos </w:t>
      </w:r>
      <w:proofErr w:type="spellStart"/>
      <w:r w:rsidRPr="00FC46C2">
        <w:t>pajėgumai</w:t>
      </w:r>
      <w:proofErr w:type="spellEnd"/>
      <w:r w:rsidRPr="00FC46C2">
        <w:t xml:space="preserve"> siekiant padėti stebėti, kontroliuoti ir prižiūrėti žuvininkystę, kaip reikalaujama pagal BŽP, įskaitant priemones, numatytas prekybos ir bendradarbiavimo susitarime su Jungtine Karalyste, ir kelis naujus projektus pagal susitarimus dėl įnašo; pabrėžia, kad, palyginti su padėtimi 2021 m. pradžioje, darbuotojų, įskaitant laikinuosius darbuotojus, sutartininkus ir deleguotuosius nacionalinius ekspertus, skaičius padidėjo beveik 50 proc.;</w:t>
      </w:r>
    </w:p>
    <w:p w:rsidR="00AD542F" w:rsidRPr="00FC46C2" w:rsidRDefault="00AD542F" w:rsidP="00AD542F">
      <w:pPr>
        <w:pStyle w:val="NormalHanging12a"/>
      </w:pPr>
      <w:r w:rsidRPr="00FC46C2">
        <w:t>19.</w:t>
      </w:r>
      <w:r w:rsidRPr="00FC46C2">
        <w:tab/>
        <w:t xml:space="preserve">atkreipia dėmesį į Agentūros politiką, kuria siekiama skatinti vienodą požiūrį į darbuotojus, ir lyčių lygybės tikslą skaičiaus, pareigų ir atsakomybės lygio požiūriu; atkreipia dėmesį į bendrą Agentūros darbuotojų pasiskirstymą pagal lytį: iš 106 darbuotojų 54 yra moterys (51 proc.); apgailestauja dėl to, kad tik 38 proc. AD 8 lygio (administratoriaus pareigų grupės, 8 lygio) ir aukštesnio lygio darbuotojų buvo moterys (kaip ir 2021 m.); primena, kad svarbu užtikrinti lyčių pusiausvyrą, ir ragina Agentūrą atsižvelgti į šį aspektą ateityje skiriant vyresniosios vadovybės ir vidurinės grandies vadovus; pažymi, kad, nors 2022 m. Agentūra nepriėmė „Įvairovės ir </w:t>
      </w:r>
      <w:proofErr w:type="spellStart"/>
      <w:r w:rsidRPr="00FC46C2">
        <w:t>įtraukties</w:t>
      </w:r>
      <w:proofErr w:type="spellEnd"/>
      <w:r w:rsidRPr="00FC46C2">
        <w:t xml:space="preserve"> chartijos“, ji ėmėsi veiksmų, kad būtų laikomasi darnaus vystymosi 5-ojo tikslo dėl lyčių lygybės, kaip nurodyta Agentūros tiksluose;</w:t>
      </w:r>
    </w:p>
    <w:p w:rsidR="00AD542F" w:rsidRPr="00FC46C2" w:rsidRDefault="00AD542F" w:rsidP="00AD542F">
      <w:pPr>
        <w:pStyle w:val="NormalHanging12a"/>
      </w:pPr>
      <w:r w:rsidRPr="00FC46C2">
        <w:t>20.</w:t>
      </w:r>
      <w:r w:rsidRPr="00FC46C2">
        <w:tab/>
        <w:t>pažymi, kad 2022 m. gruodžio 31 d. Agentūroje dirbo darbuotojai iš 18 valstybių narių; pažymi, kad 33 proc. darbuotojų yra valstybės narės, kurioje įsikūrusi Agentūra, piliečiai; primena geografinės pusiausvyros svarbą ir ragina Agentūrą toliau imtis būtinų priemonių, kad būtų užtikrintas subalansuotas ir teisingas geografinis atstovavimas;</w:t>
      </w:r>
    </w:p>
    <w:p w:rsidR="00AD542F" w:rsidRPr="00FC46C2" w:rsidRDefault="00AD542F" w:rsidP="00AD542F">
      <w:pPr>
        <w:pStyle w:val="NormalHanging12a"/>
        <w:widowControl/>
      </w:pPr>
      <w:r w:rsidRPr="00FC46C2">
        <w:t>21.</w:t>
      </w:r>
      <w:r w:rsidRPr="00FC46C2">
        <w:tab/>
        <w:t>atkreipia dėmesį į tai, kad nuo 2022 m. spalio 1 d. Agentūra analogiškai taiko Komisijos darbo laiko ir hibridinio darbo taisykles;</w:t>
      </w:r>
    </w:p>
    <w:p w:rsidR="00AD542F" w:rsidRPr="00FC46C2" w:rsidRDefault="00AD542F" w:rsidP="00AD542F">
      <w:pPr>
        <w:pStyle w:val="NormalHanging12a"/>
        <w:widowControl/>
      </w:pPr>
      <w:r w:rsidRPr="00FC46C2">
        <w:lastRenderedPageBreak/>
        <w:t>22.</w:t>
      </w:r>
      <w:r w:rsidRPr="00FC46C2">
        <w:tab/>
        <w:t>pažymi, kad 2022 m. įgyvendinant „</w:t>
      </w:r>
      <w:proofErr w:type="spellStart"/>
      <w:r w:rsidRPr="00FC46C2">
        <w:t>Sysper</w:t>
      </w:r>
      <w:proofErr w:type="spellEnd"/>
      <w:r w:rsidRPr="00FC46C2">
        <w:t>“ modulius, be kita ko, įdiegta funkcija „Atostogos dėl asmeninių priežasčių“, įtraukta funkcija „Algalapiai“ laikiniesiems darbuotojams ir pagal sutartis dirbantiems darbuotojams, įdiegta nauja funkcija, leidžianti laikiniesiems darbuotojams ir pagal sutartis dirbantiems darbuotojams prašyti dirbti nuotoliniu būdu iš užsienio (nereguliarus nuotolinis darbas), taip pat laikinai pavaduojančių darbuotojų darbo srauto ADI sistema; be to, įdiegtos „</w:t>
      </w:r>
      <w:proofErr w:type="spellStart"/>
      <w:r w:rsidRPr="00FC46C2">
        <w:t>Sysper</w:t>
      </w:r>
      <w:proofErr w:type="spellEnd"/>
      <w:r w:rsidRPr="00FC46C2">
        <w:t>“ funkcijos, susijusios su naujų taisyklių dėl darbo laiko ir hibridinio darbo įgyvendinimu, įdiegtas STAGE modulis ir atliktas EVAL ir OBJ modulių parengiamasis darbas;</w:t>
      </w:r>
    </w:p>
    <w:p w:rsidR="00AD542F" w:rsidRPr="00FC46C2" w:rsidRDefault="00AD542F" w:rsidP="00AD542F">
      <w:pPr>
        <w:pStyle w:val="NormalHanging12a"/>
        <w:rPr>
          <w:b/>
          <w:i/>
          <w:szCs w:val="24"/>
        </w:rPr>
      </w:pPr>
      <w:r w:rsidRPr="00FC46C2">
        <w:rPr>
          <w:b/>
          <w:i/>
        </w:rPr>
        <w:t>Interesų konfliktų prevencija ir valdymas, taip pat skaidrumas</w:t>
      </w:r>
    </w:p>
    <w:p w:rsidR="00AD542F" w:rsidRPr="00FC46C2" w:rsidRDefault="00AD542F" w:rsidP="00AD542F">
      <w:pPr>
        <w:pStyle w:val="NormalHanging12a"/>
        <w:rPr>
          <w:szCs w:val="24"/>
        </w:rPr>
      </w:pPr>
      <w:r w:rsidRPr="00FC46C2">
        <w:t>23.</w:t>
      </w:r>
      <w:r w:rsidRPr="00FC46C2">
        <w:tab/>
        <w:t>žino, kad Agentūra savo interneto svetainėje skelbia savo administracinės valdybos ir vyresniosios vadovybės narių interesų deklaracijas ir gyvenimo aprašymus; taip pat pažymi, kad Agentūra reguliariai atnaujina savo interneto svetainėje pateikiamą lentelę, kurioje skelbiama informacija apie vykdomojo direktoriaus ir darbuotojų susitikimus su organizacijų atstovais ar savarankiškai dirbančiais asmenimis, dalyvaujančiais formuojant ir įgyvendinant Sąjungos politiką, tam, kad būtų užtikrintas visiškas skaidrumas ir pasitikėjimas Agentūros veikla;</w:t>
      </w:r>
    </w:p>
    <w:p w:rsidR="00AD542F" w:rsidRPr="00FC46C2" w:rsidRDefault="00AD542F" w:rsidP="00AD542F">
      <w:pPr>
        <w:pStyle w:val="NormalHanging12a"/>
      </w:pPr>
      <w:r w:rsidRPr="00FC46C2">
        <w:t>24.</w:t>
      </w:r>
      <w:r w:rsidRPr="00FC46C2">
        <w:tab/>
        <w:t>ragina Agentūrą toliau reguliariai atnaujinti ir viešai skelbti informaciją apie atitinkamus vykdomojo direktoriaus ir darbuotojų susitikimus su organizacijomis ar savarankiškai dirbančiais asmenimis, dalyvaujančiais formuojant ir įgyvendinant Sąjungos politiką, kad būtų užtikrintas visiškas skaidrumas ir pasitikėjimas Agentūros veikla;</w:t>
      </w:r>
    </w:p>
    <w:p w:rsidR="00AD542F" w:rsidRPr="00FC46C2" w:rsidRDefault="00AD542F" w:rsidP="00AD542F">
      <w:pPr>
        <w:pStyle w:val="NormalHanging12a"/>
        <w:rPr>
          <w:szCs w:val="24"/>
        </w:rPr>
      </w:pPr>
      <w:r w:rsidRPr="00FC46C2">
        <w:t>25.</w:t>
      </w:r>
      <w:r w:rsidRPr="00FC46C2">
        <w:tab/>
        <w:t>atkreipia dėmesį į tai, kad Agentūra taiko interesų konfliktų politiką savo darbuotojams, deleguotiesiems nacionaliniams ekspertams, atlyginamiems išorės ekspertams, stažuotojams ir administracinės valdybos bei patariamosios tarybos nariams; pažymi, kad apie ją darbuotojams pranešama intranete ir mokymuose, o tarnautojai ir ekspertai įsipareigoja jos laikytis pasirašydami deklaracijas ir konfidencialumo įsipareigojimus; be to, pažymi, kad Agentūros sutarčių bendrosiose sąlygose nustatytos konkrečios nuostatos dėl Agentūros rangovų, įskaitant laikinojo įdarbinimo agentūrų darbuotojus (laikinuosius darbuotojus), teikiančius paslaugas, interesų konfliktų;</w:t>
      </w:r>
    </w:p>
    <w:p w:rsidR="00AD542F" w:rsidRPr="00FC46C2" w:rsidRDefault="00AD542F" w:rsidP="00AD542F">
      <w:pPr>
        <w:pStyle w:val="NormalHanging12a"/>
        <w:rPr>
          <w:szCs w:val="24"/>
        </w:rPr>
      </w:pPr>
      <w:r w:rsidRPr="00FC46C2">
        <w:t>26.</w:t>
      </w:r>
      <w:r w:rsidRPr="00FC46C2">
        <w:tab/>
        <w:t>pripažįsta, kad Agentūra nuo 2014 m. taiko kovos su sukčiavimu strategiją, kuri reguliariai atnaujinama, ir šiuo metu daugiausia dėmesio skiriama rizikos vertinimuose nustatytos sukčiavimo rizikos mažinimo veiksmų įgyvendinimui; pažymi, kad naujausiame 2022 m. atnaujintame dokumente, kurį patvirtino Administracinė valdyba, pabrėžiamos nuolatinės pastangos didinti informuotumą apie etiką ir sąžiningumą;</w:t>
      </w:r>
    </w:p>
    <w:p w:rsidR="00AD542F" w:rsidRPr="00FC46C2" w:rsidRDefault="00AD542F" w:rsidP="00AD542F">
      <w:pPr>
        <w:widowControl/>
        <w:spacing w:after="240"/>
        <w:ind w:left="567" w:hanging="567"/>
        <w:rPr>
          <w:szCs w:val="24"/>
        </w:rPr>
      </w:pPr>
      <w:r w:rsidRPr="00FC46C2">
        <w:rPr>
          <w:b/>
          <w:i/>
        </w:rPr>
        <w:t>Viešieji pirkimai</w:t>
      </w:r>
    </w:p>
    <w:p w:rsidR="00AD542F" w:rsidRPr="00FC46C2" w:rsidRDefault="00AD542F" w:rsidP="00AD542F">
      <w:pPr>
        <w:widowControl/>
        <w:spacing w:after="240"/>
        <w:ind w:left="567" w:hanging="567"/>
        <w:rPr>
          <w:szCs w:val="24"/>
        </w:rPr>
      </w:pPr>
      <w:r w:rsidRPr="00FC46C2">
        <w:t>27.</w:t>
      </w:r>
      <w:r w:rsidRPr="00FC46C2">
        <w:tab/>
        <w:t xml:space="preserve">atkreipia dėmesį į tai, kad, Audito Rūmų duomenimis, 2022 m. Agentūra pasirašė 90 mln. EUR vertės preliminariąją sutartį dėl trijų jūrų patrulinių laivų frachtavimo, kurios pradinė trukmė – 24 mėnesiai ir kuri turi būti automatiškai pratęsta keturis kartus, kiekvieną kartą dar 12 mėnesių, iš viso iki šešerių metų; primena, kad pagal Europos </w:t>
      </w:r>
      <w:r w:rsidRPr="00FC46C2">
        <w:lastRenderedPageBreak/>
        <w:t>Parlamento ir Tarybos reglamento (ES, Euratomas) 2018/1046</w:t>
      </w:r>
      <w:r w:rsidRPr="00FC46C2">
        <w:rPr>
          <w:rStyle w:val="FootnoteReference"/>
          <w:szCs w:val="24"/>
        </w:rPr>
        <w:footnoteReference w:id="13"/>
      </w:r>
      <w:r w:rsidRPr="00FC46C2">
        <w:t xml:space="preserve"> (Finansinio reglamento) 1 priedo 1.1 punktą leidžiama sudaryti preliminariąsias sutartis, kurių trukmė ilgesnė nei ketveri metai, tačiau tik išimtiniais, tinkamai pagrįstais atvejais; pažymi, kad Agentūra ilgesnės trukmės sutartį pagrindė poreikiu užtikrinti tinkamą investicijų grąžą rangovams, kurie laivuose turėjo įrengti pripučiamas valtis su kietu dugnu; be to, pažymi, kad Audito Rūmai nustatė, jog tas pagrindimas yra nepakankamas, nes apskaičiuota, kad įrengimo išlaidos sudarė tik apie 1 proc. visos sutarties vertės, be to, Agentūra pasiliko galimybę vienašališkai nutraukti sutartį po pirmųjų dvejų metų ir po kiekvienų paskesnių metų, o tai paneigia argumentą, kad rangovui reikėjo garantuotos šešerių metų sutarties trukmės, kad būtų užtikrinta investicijų grąža; pabrėžia, kad Audito Rūmai laikys paskesnius susijusius </w:t>
      </w:r>
      <w:proofErr w:type="spellStart"/>
      <w:r w:rsidRPr="00FC46C2">
        <w:t>mokėjimus</w:t>
      </w:r>
      <w:proofErr w:type="spellEnd"/>
      <w:r w:rsidRPr="00FC46C2">
        <w:t xml:space="preserve"> neteisėtais, jei sutartis bus pratęsta ilgiau nei ketverių metų riba; pažymi, kad, kaip nurodė Agentūra rengdama procedūrą, ji laikėsi nuomonės, kad įprasta ketverių metų sutarties trukmė rinkoje galėjo būti nelaikoma pakankama investicijų grąžai, o sėkmingas paslaugos, dėl kurios sudaryta susijusi preliminarioji sutartis, teikimas ir tęstinumas yra labai svarbūs jos pagrindinėms operacijoms;</w:t>
      </w:r>
    </w:p>
    <w:p w:rsidR="00AD542F" w:rsidRPr="00FC46C2" w:rsidRDefault="00AD542F" w:rsidP="00AD542F">
      <w:pPr>
        <w:widowControl/>
        <w:spacing w:after="240"/>
        <w:ind w:left="567" w:hanging="567"/>
        <w:rPr>
          <w:szCs w:val="24"/>
        </w:rPr>
      </w:pPr>
      <w:r w:rsidRPr="00FC46C2">
        <w:t>28.</w:t>
      </w:r>
      <w:r w:rsidRPr="00FC46C2">
        <w:tab/>
        <w:t>primena, kad vykdant visas viešųjų pirkimų procedūras svarbu užtikrinti sąžiningą konkurso dalyvių konkurenciją ir pirkti prekes bei paslaugas už geriausią kainą, laikantis skaidrumo, proporcingumo, vienodo požiūrio ir nediskriminavimo principų; ragina Agentūrą gerinti savo viešųjų pirkimų procedūras, užtikrinančias, kad būtų visapusiškai laikomasi taikytinų taisyklių, kad būtų užtikrinta kuo didesnė viešųjų išteklių vertė;</w:t>
      </w:r>
    </w:p>
    <w:p w:rsidR="00AD542F" w:rsidRPr="00FC46C2" w:rsidRDefault="00AD542F" w:rsidP="00AD542F">
      <w:pPr>
        <w:widowControl/>
        <w:spacing w:after="240"/>
        <w:ind w:left="567" w:hanging="567"/>
        <w:rPr>
          <w:b/>
          <w:i/>
          <w:szCs w:val="24"/>
        </w:rPr>
      </w:pPr>
      <w:r w:rsidRPr="00FC46C2">
        <w:rPr>
          <w:b/>
          <w:i/>
        </w:rPr>
        <w:t>Vidaus kontrolė</w:t>
      </w:r>
    </w:p>
    <w:p w:rsidR="00AD542F" w:rsidRPr="00FC46C2" w:rsidRDefault="00AD542F" w:rsidP="00AD542F">
      <w:pPr>
        <w:widowControl/>
        <w:spacing w:after="240"/>
        <w:ind w:left="567" w:hanging="567"/>
        <w:rPr>
          <w:szCs w:val="24"/>
        </w:rPr>
      </w:pPr>
      <w:r w:rsidRPr="00FC46C2">
        <w:t>29.</w:t>
      </w:r>
      <w:r w:rsidRPr="00FC46C2">
        <w:tab/>
        <w:t xml:space="preserve">reiškia susirūpinimą dėl to, kad Audito Rūmai nustatė, jog išorės ekspertų atrankos ir sutarčių su jais sudarymo procedūroms sistemingai trūko tinkamos audito sekos, kaip reikalaujama pagal Finansinio reglamento 36 straipsnio 3 dalį; pažymi, kad, konkrečiau kalbant, gauta nepakankamai įrodymų, kad ekspertai buvo paskirti užduotims atlikti pagal iš anksto nustatytus atrankos kriterijus, susijusius su jų santykiniais </w:t>
      </w:r>
      <w:proofErr w:type="spellStart"/>
      <w:r w:rsidRPr="00FC46C2">
        <w:t>pranašumais</w:t>
      </w:r>
      <w:proofErr w:type="spellEnd"/>
      <w:r w:rsidRPr="00FC46C2">
        <w:t>, ir kad buvo laikomasi nediskriminavimo ir vienodo požiūrio principų, nustatytų Finansinio reglamento 237 straipsnyje; ragina Agentūrą stiprinti savo vidaus procesus, susijusius su išorės ekspertų atranka ir sutarčių sudarymu, ir informuoti biudžeto įvykdymą tvirtinančią instituciją apie visus veiksmus, kurių imtasi šioje srityje;</w:t>
      </w:r>
    </w:p>
    <w:p w:rsidR="00AD542F" w:rsidRPr="00FC46C2" w:rsidRDefault="00AD542F" w:rsidP="00AD542F">
      <w:pPr>
        <w:widowControl/>
        <w:spacing w:after="240"/>
        <w:ind w:left="567" w:hanging="567"/>
        <w:rPr>
          <w:szCs w:val="24"/>
        </w:rPr>
      </w:pPr>
      <w:r w:rsidRPr="00FC46C2">
        <w:t>30.</w:t>
      </w:r>
      <w:r w:rsidRPr="00FC46C2">
        <w:tab/>
        <w:t xml:space="preserve">susirūpinęs pažymi, kad, Audito Rūmų teigimu, 2022 m. gegužės mėn. Agentūra pradėjo derybų procedūrą iš anksto nepaskelbusi skelbimo apie pirkimą, susijusį su jūrinio patrulinio laivo, naudotino ES ir Jungtinės Karalystės vandenyse, nuoma, ir 2022 m. birželio mėn. pasirašė sutartį, kad panaikintų atotrūkį tarp ankstesnės ir būsimos sutarčių pagal vykdomą atvirą procedūrą, kuri truko ilgiau, nei iš pradžių tikėtasi; atkreipia dėmesį į tai, kad Agentūra pagrindė skubą taikydama Finansiniame reglamente numatytą išimtį, nurodydama nenumatytus įvykius, o tai yra išimtis, leidžiama pagal Finansinio reglamento I priedo 11.1 punkto c papunktį; pažymi, kad </w:t>
      </w:r>
      <w:r w:rsidRPr="00FC46C2">
        <w:lastRenderedPageBreak/>
        <w:t>Audito Rūmai padarė išvadą, jog kai kurių šią skubą lėmusių veiksnių galėjo būti neįmanoma numatyti, tačiau kai kuriuos kitus buvo galima numatyti, ir tai, kad į juos nebuvo tinkamai atsižvelgta, rodo, kad Agentūra nepakankamai planuoja ir valdo trijų laivų frachtavimo viešuosius pirkimus; ragina Agentūrą spręsti ir ištaisyti savo planavimo ir viešųjų pirkimų valdymo trūkumus, kuriuos nurodė Audito Rūmai, ir kuo greičiau pranešti biudžeto įvykdymą tvirtinančiai institucijai apie priemones, kurių imtasi šioje srityje;</w:t>
      </w:r>
    </w:p>
    <w:p w:rsidR="00AD542F" w:rsidRPr="00FC46C2" w:rsidRDefault="00AD542F" w:rsidP="00AD542F">
      <w:pPr>
        <w:widowControl/>
        <w:spacing w:after="240"/>
        <w:ind w:left="567" w:hanging="567"/>
        <w:rPr>
          <w:b/>
          <w:i/>
          <w:szCs w:val="24"/>
        </w:rPr>
      </w:pPr>
      <w:r w:rsidRPr="00FC46C2">
        <w:rPr>
          <w:b/>
          <w:i/>
        </w:rPr>
        <w:t>Kitos pastabos</w:t>
      </w:r>
    </w:p>
    <w:p w:rsidR="00AD542F" w:rsidRPr="00FC46C2" w:rsidRDefault="00AD542F" w:rsidP="00AD542F">
      <w:pPr>
        <w:widowControl/>
        <w:spacing w:after="240"/>
        <w:ind w:left="567" w:hanging="567"/>
        <w:rPr>
          <w:szCs w:val="24"/>
        </w:rPr>
      </w:pPr>
      <w:r w:rsidRPr="00FC46C2">
        <w:t>31.</w:t>
      </w:r>
      <w:r w:rsidRPr="00FC46C2">
        <w:tab/>
        <w:t>atkreipia dėmesį į tai, kad Agentūra neįgyvendino Aplinkosaugos vadybos ir audito sistemos (EMAS) sertifikavimo, nes pastangos buvo skirtos kitiems projektams;</w:t>
      </w:r>
      <w:r w:rsidRPr="00FC46C2">
        <w:rPr>
          <w:rFonts w:ascii="Segoe UI" w:hAnsi="Segoe UI"/>
          <w:color w:val="374151"/>
        </w:rPr>
        <w:t xml:space="preserve"> </w:t>
      </w:r>
      <w:r w:rsidRPr="00FC46C2">
        <w:t>primena, kad šios sistemos tikslas – skatinti nuolatinį organizacijų aplinkosauginio veiksmingumo gerinimą; ragina Agentūrą imtis veiksmų siekiant įgyvendinti EMAS;</w:t>
      </w:r>
    </w:p>
    <w:p w:rsidR="00AD542F" w:rsidRPr="00FC46C2" w:rsidRDefault="00AD542F" w:rsidP="00AD542F">
      <w:pPr>
        <w:pStyle w:val="NormalCenter12a"/>
      </w:pPr>
      <w:r w:rsidRPr="00FC46C2">
        <w:t>°</w:t>
      </w:r>
    </w:p>
    <w:p w:rsidR="00AD542F" w:rsidRPr="00FC46C2" w:rsidRDefault="00AD542F" w:rsidP="00AD542F">
      <w:pPr>
        <w:pStyle w:val="NormalCenter12a"/>
      </w:pPr>
      <w:r w:rsidRPr="00FC46C2">
        <w:t>°</w:t>
      </w:r>
      <w:r w:rsidRPr="00FC46C2">
        <w:tab/>
        <w:t>°</w:t>
      </w:r>
    </w:p>
    <w:p w:rsidR="00E365E1" w:rsidRPr="00FC46C2" w:rsidRDefault="00AD542F" w:rsidP="00375F95">
      <w:pPr>
        <w:pStyle w:val="NormalHanging12a"/>
      </w:pPr>
      <w:r w:rsidRPr="00FC46C2">
        <w:t>32.</w:t>
      </w:r>
      <w:r w:rsidRPr="00FC46C2">
        <w:tab/>
        <w:t xml:space="preserve">pažymi, kad kitos su sprendimu dėl biudžeto įvykdymo patvirtinimo susijusios pastabos, kurios yra horizontaliojo pobūdžio, pateikiamos jo </w:t>
      </w:r>
      <w:r w:rsidR="00375F95">
        <w:t>2024 m. balandžio 11 d.</w:t>
      </w:r>
      <w:r w:rsidRPr="00FC46C2">
        <w:t xml:space="preserve"> rezoliucijoje</w:t>
      </w:r>
      <w:r w:rsidRPr="00FC46C2">
        <w:rPr>
          <w:vertAlign w:val="superscript"/>
        </w:rPr>
        <w:footnoteReference w:id="14"/>
      </w:r>
      <w:r w:rsidRPr="00FC46C2">
        <w:t xml:space="preserve"> dėl agentūrų veiklos, finansų va</w:t>
      </w:r>
      <w:bookmarkStart w:id="8" w:name="_GoBack"/>
      <w:bookmarkEnd w:id="8"/>
      <w:r w:rsidRPr="00FC46C2">
        <w:t>ldymo ir kontrolės.</w:t>
      </w:r>
      <w:bookmarkStart w:id="9" w:name="TextBodyEnd"/>
      <w:bookmarkEnd w:id="9"/>
    </w:p>
    <w:sectPr w:rsidR="00E365E1" w:rsidRPr="00FC46C2" w:rsidSect="00FC46C2">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0353" w:rsidRPr="00FC46C2" w:rsidRDefault="002B0353">
      <w:r w:rsidRPr="00FC46C2">
        <w:separator/>
      </w:r>
    </w:p>
  </w:endnote>
  <w:endnote w:type="continuationSeparator" w:id="0">
    <w:p w:rsidR="002B0353" w:rsidRPr="00FC46C2" w:rsidRDefault="002B0353">
      <w:r w:rsidRPr="00FC46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542F" w:rsidRPr="00FC46C2" w:rsidRDefault="00AD542F" w:rsidP="00522842">
    <w:pPr>
      <w:pStyle w:val="EPFooter"/>
    </w:pPr>
    <w:r w:rsidRPr="00FC46C2">
      <w:t>PE</w:t>
    </w:r>
    <w:r w:rsidRPr="00FC46C2">
      <w:rPr>
        <w:rStyle w:val="HideTWBExt"/>
      </w:rPr>
      <w:t>&lt;</w:t>
    </w:r>
    <w:proofErr w:type="spellStart"/>
    <w:r w:rsidRPr="00FC46C2">
      <w:rPr>
        <w:rStyle w:val="HideTWBExt"/>
      </w:rPr>
      <w:t>NoPE</w:t>
    </w:r>
    <w:proofErr w:type="spellEnd"/>
    <w:r w:rsidRPr="00FC46C2">
      <w:rPr>
        <w:rStyle w:val="HideTWBExt"/>
      </w:rPr>
      <w:t>&gt;</w:t>
    </w:r>
    <w:r w:rsidRPr="00FC46C2">
      <w:t>753.518</w:t>
    </w:r>
    <w:r w:rsidRPr="00FC46C2">
      <w:rPr>
        <w:rStyle w:val="HideTWBExt"/>
      </w:rPr>
      <w:t>&lt;/</w:t>
    </w:r>
    <w:proofErr w:type="spellStart"/>
    <w:r w:rsidRPr="00FC46C2">
      <w:rPr>
        <w:rStyle w:val="HideTWBExt"/>
      </w:rPr>
      <w:t>NoPE</w:t>
    </w:r>
    <w:proofErr w:type="spellEnd"/>
    <w:r w:rsidRPr="00FC46C2">
      <w:rPr>
        <w:rStyle w:val="HideTWBExt"/>
      </w:rPr>
      <w:t>&gt;&lt;Version&gt;</w:t>
    </w:r>
    <w:r w:rsidRPr="00FC46C2">
      <w:t>v02-00</w:t>
    </w:r>
    <w:r w:rsidRPr="00FC46C2">
      <w:rPr>
        <w:rStyle w:val="HideTWBExt"/>
      </w:rPr>
      <w:t>&lt;/</w:t>
    </w:r>
    <w:proofErr w:type="spellStart"/>
    <w:r w:rsidRPr="00FC46C2">
      <w:rPr>
        <w:rStyle w:val="HideTWBExt"/>
      </w:rPr>
      <w:t>Version</w:t>
    </w:r>
    <w:proofErr w:type="spellEnd"/>
    <w:r w:rsidRPr="00FC46C2">
      <w:rPr>
        <w:rStyle w:val="HideTWBExt"/>
      </w:rPr>
      <w:t>&gt;</w:t>
    </w:r>
    <w:r w:rsidRPr="00FC46C2">
      <w:tab/>
    </w:r>
    <w:r w:rsidRPr="00FC46C2">
      <w:fldChar w:fldCharType="begin"/>
    </w:r>
    <w:r w:rsidRPr="00FC46C2">
      <w:instrText xml:space="preserve"> PAGE  \* MERGEFORMAT </w:instrText>
    </w:r>
    <w:r w:rsidRPr="00FC46C2">
      <w:fldChar w:fldCharType="separate"/>
    </w:r>
    <w:r w:rsidRPr="00FC46C2">
      <w:rPr>
        <w:noProof/>
      </w:rPr>
      <w:t>4</w:t>
    </w:r>
    <w:r w:rsidRPr="00FC46C2">
      <w:fldChar w:fldCharType="end"/>
    </w:r>
    <w:r w:rsidRPr="00FC46C2">
      <w:t>/</w:t>
    </w:r>
    <w:fldSimple w:instr=" NUMPAGES  \* MERGEFORMAT ">
      <w:r w:rsidRPr="00FC46C2">
        <w:rPr>
          <w:noProof/>
        </w:rPr>
        <w:t>4</w:t>
      </w:r>
    </w:fldSimple>
    <w:r w:rsidRPr="00FC46C2">
      <w:tab/>
    </w:r>
    <w:r w:rsidRPr="00FC46C2">
      <w:rPr>
        <w:rStyle w:val="HideTWBExt"/>
      </w:rPr>
      <w:t>&lt;PathFdR&gt;</w:t>
    </w:r>
    <w:r w:rsidRPr="00FC46C2">
      <w:t>RR\1298773LT.docx</w:t>
    </w:r>
    <w:r w:rsidRPr="00FC46C2">
      <w:rPr>
        <w:rStyle w:val="HideTWBExt"/>
      </w:rPr>
      <w:t>&lt;/</w:t>
    </w:r>
    <w:proofErr w:type="spellStart"/>
    <w:r w:rsidRPr="00FC46C2">
      <w:rPr>
        <w:rStyle w:val="HideTWBExt"/>
      </w:rPr>
      <w:t>PathFdR</w:t>
    </w:r>
    <w:proofErr w:type="spellEnd"/>
    <w:r w:rsidRPr="00FC46C2">
      <w:rPr>
        <w:rStyle w:val="HideTWBExt"/>
      </w:rPr>
      <w:t>&gt;</w:t>
    </w:r>
  </w:p>
  <w:p w:rsidR="00AD542F" w:rsidRPr="00FC46C2" w:rsidRDefault="00AD542F" w:rsidP="00522842">
    <w:pPr>
      <w:pStyle w:val="EPFooter2"/>
    </w:pPr>
    <w:r w:rsidRPr="00FC46C2">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542F" w:rsidRPr="00FC46C2" w:rsidRDefault="00AD542F" w:rsidP="00522842">
    <w:pPr>
      <w:pStyle w:val="EPFooter"/>
    </w:pPr>
    <w:r w:rsidRPr="00FC46C2">
      <w:rPr>
        <w:rStyle w:val="HideTWBExt"/>
      </w:rPr>
      <w:t>&lt;PathFdR&gt;</w:t>
    </w:r>
    <w:r w:rsidRPr="00FC46C2">
      <w:t>RR\1298773LT.docx</w:t>
    </w:r>
    <w:r w:rsidRPr="00FC46C2">
      <w:rPr>
        <w:rStyle w:val="HideTWBExt"/>
      </w:rPr>
      <w:t>&lt;/</w:t>
    </w:r>
    <w:proofErr w:type="spellStart"/>
    <w:r w:rsidRPr="00FC46C2">
      <w:rPr>
        <w:rStyle w:val="HideTWBExt"/>
      </w:rPr>
      <w:t>PathFdR</w:t>
    </w:r>
    <w:proofErr w:type="spellEnd"/>
    <w:r w:rsidRPr="00FC46C2">
      <w:rPr>
        <w:rStyle w:val="HideTWBExt"/>
      </w:rPr>
      <w:t>&gt;</w:t>
    </w:r>
    <w:r w:rsidRPr="00FC46C2">
      <w:tab/>
    </w:r>
    <w:r w:rsidRPr="00FC46C2">
      <w:tab/>
      <w:t>PE</w:t>
    </w:r>
    <w:r w:rsidRPr="00FC46C2">
      <w:rPr>
        <w:rStyle w:val="HideTWBExt"/>
      </w:rPr>
      <w:t>&lt;</w:t>
    </w:r>
    <w:proofErr w:type="spellStart"/>
    <w:r w:rsidRPr="00FC46C2">
      <w:rPr>
        <w:rStyle w:val="HideTWBExt"/>
      </w:rPr>
      <w:t>NoPE</w:t>
    </w:r>
    <w:proofErr w:type="spellEnd"/>
    <w:r w:rsidRPr="00FC46C2">
      <w:rPr>
        <w:rStyle w:val="HideTWBExt"/>
      </w:rPr>
      <w:t>&gt;</w:t>
    </w:r>
    <w:r w:rsidRPr="00FC46C2">
      <w:t>753.518</w:t>
    </w:r>
    <w:r w:rsidRPr="00FC46C2">
      <w:rPr>
        <w:rStyle w:val="HideTWBExt"/>
      </w:rPr>
      <w:t>&lt;/</w:t>
    </w:r>
    <w:proofErr w:type="spellStart"/>
    <w:r w:rsidRPr="00FC46C2">
      <w:rPr>
        <w:rStyle w:val="HideTWBExt"/>
      </w:rPr>
      <w:t>NoPE</w:t>
    </w:r>
    <w:proofErr w:type="spellEnd"/>
    <w:r w:rsidRPr="00FC46C2">
      <w:rPr>
        <w:rStyle w:val="HideTWBExt"/>
      </w:rPr>
      <w:t>&gt;&lt;Version&gt;</w:t>
    </w:r>
    <w:r w:rsidRPr="00FC46C2">
      <w:t>v02-00</w:t>
    </w:r>
    <w:r w:rsidRPr="00FC46C2">
      <w:rPr>
        <w:rStyle w:val="HideTWBExt"/>
      </w:rPr>
      <w:t>&lt;/</w:t>
    </w:r>
    <w:proofErr w:type="spellStart"/>
    <w:r w:rsidRPr="00FC46C2">
      <w:rPr>
        <w:rStyle w:val="HideTWBExt"/>
      </w:rPr>
      <w:t>Version</w:t>
    </w:r>
    <w:proofErr w:type="spellEnd"/>
    <w:r w:rsidRPr="00FC46C2">
      <w:rPr>
        <w:rStyle w:val="HideTWBExt"/>
      </w:rPr>
      <w:t>&gt;</w:t>
    </w:r>
  </w:p>
  <w:p w:rsidR="00AD542F" w:rsidRPr="00FC46C2" w:rsidRDefault="00AD542F" w:rsidP="00522842">
    <w:pPr>
      <w:pStyle w:val="EPFooter2"/>
    </w:pPr>
    <w:r w:rsidRPr="00FC46C2">
      <w:t>LT</w:t>
    </w:r>
    <w:r w:rsidRPr="00FC46C2">
      <w:tab/>
    </w:r>
    <w:r w:rsidRPr="00FC46C2">
      <w:rPr>
        <w:b w:val="0"/>
        <w:i/>
        <w:color w:val="C0C0C0"/>
        <w:sz w:val="22"/>
      </w:rPr>
      <w:t>Suvienijusi įvairovę</w:t>
    </w:r>
    <w:r w:rsidRPr="00FC46C2">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46C2"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46C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46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0353" w:rsidRPr="00FC46C2" w:rsidRDefault="002B0353">
      <w:r w:rsidRPr="00FC46C2">
        <w:separator/>
      </w:r>
    </w:p>
  </w:footnote>
  <w:footnote w:type="continuationSeparator" w:id="0">
    <w:p w:rsidR="002B0353" w:rsidRPr="00FC46C2" w:rsidRDefault="002B0353">
      <w:r w:rsidRPr="00FC46C2">
        <w:continuationSeparator/>
      </w:r>
    </w:p>
  </w:footnote>
  <w:footnote w:id="1">
    <w:p w:rsidR="00AD542F" w:rsidRPr="00FC46C2" w:rsidRDefault="00AD542F" w:rsidP="00FC46C2">
      <w:pPr>
        <w:pStyle w:val="FootnoteText"/>
        <w:ind w:left="567" w:hanging="567"/>
        <w:rPr>
          <w:sz w:val="24"/>
          <w:lang w:val="lt-LT"/>
        </w:rPr>
      </w:pPr>
      <w:r w:rsidRPr="00FC46C2">
        <w:rPr>
          <w:rStyle w:val="FootnoteReference"/>
          <w:sz w:val="24"/>
          <w:lang w:val="lt-LT"/>
        </w:rPr>
        <w:footnoteRef/>
      </w:r>
      <w:r w:rsidR="00FC46C2" w:rsidRPr="00FC46C2">
        <w:rPr>
          <w:sz w:val="24"/>
          <w:lang w:val="lt-LT"/>
        </w:rPr>
        <w:t xml:space="preserve"> </w:t>
      </w:r>
      <w:r w:rsidR="00FC46C2" w:rsidRPr="00FC46C2">
        <w:rPr>
          <w:sz w:val="24"/>
          <w:lang w:val="lt-LT"/>
        </w:rPr>
        <w:tab/>
      </w:r>
      <w:r w:rsidRPr="00FC46C2">
        <w:rPr>
          <w:sz w:val="24"/>
          <w:lang w:val="lt-LT"/>
        </w:rPr>
        <w:t>OL C, C/2023/594, 2023 10 27.</w:t>
      </w:r>
    </w:p>
  </w:footnote>
  <w:footnote w:id="2">
    <w:p w:rsidR="00AD542F" w:rsidRPr="00FC46C2" w:rsidRDefault="00AD542F" w:rsidP="00FC46C2">
      <w:pPr>
        <w:pStyle w:val="FootnoteText"/>
        <w:ind w:left="567" w:hanging="567"/>
        <w:rPr>
          <w:sz w:val="24"/>
          <w:lang w:val="lt-LT"/>
        </w:rPr>
      </w:pPr>
      <w:r w:rsidRPr="00FC46C2">
        <w:rPr>
          <w:rStyle w:val="FootnoteReference"/>
          <w:sz w:val="24"/>
          <w:lang w:val="lt-LT"/>
        </w:rPr>
        <w:footnoteRef/>
      </w:r>
      <w:r w:rsidR="00FC46C2" w:rsidRPr="00FC46C2">
        <w:rPr>
          <w:sz w:val="24"/>
          <w:lang w:val="lt-LT"/>
        </w:rPr>
        <w:t xml:space="preserve"> </w:t>
      </w:r>
      <w:r w:rsidR="00FC46C2" w:rsidRPr="00FC46C2">
        <w:rPr>
          <w:sz w:val="24"/>
          <w:lang w:val="lt-LT"/>
        </w:rPr>
        <w:tab/>
      </w:r>
      <w:r w:rsidRPr="00FC46C2">
        <w:rPr>
          <w:sz w:val="24"/>
          <w:lang w:val="lt-LT"/>
        </w:rPr>
        <w:t>OL C, C/2023/112, 2023 10 12.</w:t>
      </w:r>
    </w:p>
  </w:footnote>
  <w:footnote w:id="3">
    <w:p w:rsidR="00AD542F" w:rsidRPr="00FC46C2" w:rsidRDefault="00AD542F" w:rsidP="00FC46C2">
      <w:pPr>
        <w:pStyle w:val="FootnoteText"/>
        <w:ind w:left="567" w:hanging="567"/>
        <w:rPr>
          <w:sz w:val="24"/>
          <w:lang w:val="lt-LT"/>
        </w:rPr>
      </w:pPr>
      <w:r w:rsidRPr="00FC46C2">
        <w:rPr>
          <w:rStyle w:val="FootnoteReference"/>
          <w:sz w:val="24"/>
          <w:lang w:val="lt-LT"/>
        </w:rPr>
        <w:footnoteRef/>
      </w:r>
      <w:r w:rsidR="00FC46C2" w:rsidRPr="00FC46C2">
        <w:rPr>
          <w:sz w:val="24"/>
          <w:lang w:val="lt-LT"/>
        </w:rPr>
        <w:t xml:space="preserve"> </w:t>
      </w:r>
      <w:r w:rsidR="00FC46C2" w:rsidRPr="00FC46C2">
        <w:rPr>
          <w:sz w:val="24"/>
          <w:lang w:val="lt-LT"/>
        </w:rPr>
        <w:tab/>
      </w:r>
      <w:r w:rsidRPr="00FC46C2">
        <w:rPr>
          <w:sz w:val="24"/>
          <w:lang w:val="lt-LT"/>
        </w:rPr>
        <w:t>OL L 193, 2018 7 30, p. 1.</w:t>
      </w:r>
    </w:p>
  </w:footnote>
  <w:footnote w:id="4">
    <w:p w:rsidR="00AD542F" w:rsidRPr="00FC46C2" w:rsidRDefault="00AD542F" w:rsidP="00FC46C2">
      <w:pPr>
        <w:pStyle w:val="FootnoteText"/>
        <w:ind w:left="567" w:hanging="567"/>
        <w:rPr>
          <w:sz w:val="24"/>
          <w:lang w:val="lt-LT"/>
        </w:rPr>
      </w:pPr>
      <w:r w:rsidRPr="00FC46C2">
        <w:rPr>
          <w:rStyle w:val="FootnoteReference"/>
          <w:sz w:val="24"/>
          <w:lang w:val="lt-LT"/>
        </w:rPr>
        <w:footnoteRef/>
      </w:r>
      <w:r w:rsidR="00FC46C2" w:rsidRPr="00FC46C2">
        <w:rPr>
          <w:sz w:val="24"/>
          <w:lang w:val="lt-LT"/>
        </w:rPr>
        <w:t xml:space="preserve"> </w:t>
      </w:r>
      <w:r w:rsidR="00FC46C2" w:rsidRPr="00FC46C2">
        <w:rPr>
          <w:sz w:val="24"/>
          <w:lang w:val="lt-LT"/>
        </w:rPr>
        <w:tab/>
      </w:r>
      <w:r w:rsidRPr="00FC46C2">
        <w:rPr>
          <w:sz w:val="24"/>
          <w:lang w:val="lt-LT"/>
        </w:rPr>
        <w:t>OL L 83, 2019 3 25, p. 18.</w:t>
      </w:r>
    </w:p>
  </w:footnote>
  <w:footnote w:id="5">
    <w:p w:rsidR="00AD542F" w:rsidRPr="00FC46C2" w:rsidRDefault="00AD542F" w:rsidP="00FC46C2">
      <w:pPr>
        <w:pStyle w:val="FootnoteText"/>
        <w:ind w:left="567" w:hanging="567"/>
        <w:rPr>
          <w:sz w:val="24"/>
          <w:lang w:val="lt-LT"/>
        </w:rPr>
      </w:pPr>
      <w:r w:rsidRPr="00FC46C2">
        <w:rPr>
          <w:rStyle w:val="FootnoteReference"/>
          <w:sz w:val="24"/>
          <w:lang w:val="lt-LT"/>
        </w:rPr>
        <w:footnoteRef/>
      </w:r>
      <w:r w:rsidR="00FC46C2" w:rsidRPr="00FC46C2">
        <w:rPr>
          <w:sz w:val="24"/>
          <w:lang w:val="lt-LT"/>
        </w:rPr>
        <w:t xml:space="preserve"> </w:t>
      </w:r>
      <w:r w:rsidR="00FC46C2" w:rsidRPr="00FC46C2">
        <w:rPr>
          <w:sz w:val="24"/>
          <w:lang w:val="lt-LT"/>
        </w:rPr>
        <w:tab/>
      </w:r>
      <w:r w:rsidRPr="00FC46C2">
        <w:rPr>
          <w:sz w:val="24"/>
          <w:lang w:val="lt-LT"/>
        </w:rPr>
        <w:t>OL L 122, 2019 5 10, p. 1.</w:t>
      </w:r>
    </w:p>
  </w:footnote>
  <w:footnote w:id="6">
    <w:p w:rsidR="00AD542F" w:rsidRPr="00FC46C2" w:rsidRDefault="00AD542F" w:rsidP="00FC46C2">
      <w:pPr>
        <w:pStyle w:val="FootnoteText"/>
        <w:ind w:left="567" w:hanging="567"/>
        <w:rPr>
          <w:sz w:val="24"/>
          <w:lang w:val="lt-LT"/>
        </w:rPr>
      </w:pPr>
      <w:r w:rsidRPr="00FC46C2">
        <w:rPr>
          <w:rStyle w:val="FootnoteReference"/>
          <w:sz w:val="24"/>
          <w:lang w:val="lt-LT"/>
        </w:rPr>
        <w:footnoteRef/>
      </w:r>
      <w:r w:rsidR="00FC46C2" w:rsidRPr="00FC46C2">
        <w:rPr>
          <w:sz w:val="24"/>
          <w:lang w:val="lt-LT"/>
        </w:rPr>
        <w:t xml:space="preserve"> </w:t>
      </w:r>
      <w:r w:rsidR="00FC46C2" w:rsidRPr="00FC46C2">
        <w:rPr>
          <w:sz w:val="24"/>
          <w:lang w:val="lt-LT"/>
        </w:rPr>
        <w:tab/>
      </w:r>
      <w:r w:rsidRPr="00FC46C2">
        <w:rPr>
          <w:sz w:val="24"/>
          <w:lang w:val="lt-LT"/>
        </w:rPr>
        <w:t>OL C, C/2023/594, 2023 10 27.</w:t>
      </w:r>
    </w:p>
  </w:footnote>
  <w:footnote w:id="7">
    <w:p w:rsidR="00AD542F" w:rsidRPr="00FC46C2" w:rsidRDefault="00AD542F" w:rsidP="00FC46C2">
      <w:pPr>
        <w:pStyle w:val="FootnoteText"/>
        <w:ind w:left="567" w:hanging="567"/>
        <w:rPr>
          <w:sz w:val="24"/>
          <w:lang w:val="lt-LT"/>
        </w:rPr>
      </w:pPr>
      <w:r w:rsidRPr="00FC46C2">
        <w:rPr>
          <w:rStyle w:val="FootnoteReference"/>
          <w:sz w:val="24"/>
          <w:lang w:val="lt-LT"/>
        </w:rPr>
        <w:footnoteRef/>
      </w:r>
      <w:r w:rsidR="00FC46C2" w:rsidRPr="00FC46C2">
        <w:rPr>
          <w:sz w:val="24"/>
          <w:lang w:val="lt-LT"/>
        </w:rPr>
        <w:t xml:space="preserve"> </w:t>
      </w:r>
      <w:r w:rsidR="00FC46C2" w:rsidRPr="00FC46C2">
        <w:rPr>
          <w:sz w:val="24"/>
          <w:lang w:val="lt-LT"/>
        </w:rPr>
        <w:tab/>
      </w:r>
      <w:r w:rsidRPr="00FC46C2">
        <w:rPr>
          <w:sz w:val="24"/>
          <w:lang w:val="lt-LT"/>
        </w:rPr>
        <w:t>OL C, C/2023/112, 2023 10 12.</w:t>
      </w:r>
    </w:p>
  </w:footnote>
  <w:footnote w:id="8">
    <w:p w:rsidR="00AD542F" w:rsidRPr="00FC46C2" w:rsidRDefault="00AD542F" w:rsidP="00FC46C2">
      <w:pPr>
        <w:pStyle w:val="FootnoteText"/>
        <w:ind w:left="567" w:hanging="567"/>
        <w:rPr>
          <w:sz w:val="24"/>
          <w:lang w:val="lt-LT"/>
        </w:rPr>
      </w:pPr>
      <w:r w:rsidRPr="00FC46C2">
        <w:rPr>
          <w:rStyle w:val="FootnoteReference"/>
          <w:sz w:val="24"/>
          <w:lang w:val="lt-LT"/>
        </w:rPr>
        <w:footnoteRef/>
      </w:r>
      <w:r w:rsidR="00FC46C2" w:rsidRPr="00FC46C2">
        <w:rPr>
          <w:sz w:val="24"/>
          <w:lang w:val="lt-LT"/>
        </w:rPr>
        <w:t xml:space="preserve"> </w:t>
      </w:r>
      <w:r w:rsidR="00FC46C2" w:rsidRPr="00FC46C2">
        <w:rPr>
          <w:sz w:val="24"/>
          <w:lang w:val="lt-LT"/>
        </w:rPr>
        <w:tab/>
      </w:r>
      <w:r w:rsidRPr="00FC46C2">
        <w:rPr>
          <w:sz w:val="24"/>
          <w:lang w:val="lt-LT"/>
        </w:rPr>
        <w:t>OL L 193, 2018 7 30, p. 1.</w:t>
      </w:r>
    </w:p>
  </w:footnote>
  <w:footnote w:id="9">
    <w:p w:rsidR="00AD542F" w:rsidRPr="00FC46C2" w:rsidRDefault="00AD542F" w:rsidP="00FC46C2">
      <w:pPr>
        <w:pStyle w:val="FootnoteText"/>
        <w:ind w:left="567" w:hanging="567"/>
        <w:rPr>
          <w:sz w:val="24"/>
          <w:lang w:val="lt-LT"/>
        </w:rPr>
      </w:pPr>
      <w:r w:rsidRPr="00FC46C2">
        <w:rPr>
          <w:rStyle w:val="FootnoteReference"/>
          <w:sz w:val="24"/>
          <w:lang w:val="lt-LT"/>
        </w:rPr>
        <w:footnoteRef/>
      </w:r>
      <w:r w:rsidR="00FC46C2" w:rsidRPr="00FC46C2">
        <w:rPr>
          <w:sz w:val="24"/>
          <w:lang w:val="lt-LT"/>
        </w:rPr>
        <w:t xml:space="preserve"> </w:t>
      </w:r>
      <w:r w:rsidR="00FC46C2" w:rsidRPr="00FC46C2">
        <w:rPr>
          <w:sz w:val="24"/>
          <w:lang w:val="lt-LT"/>
        </w:rPr>
        <w:tab/>
      </w:r>
      <w:r w:rsidRPr="00FC46C2">
        <w:rPr>
          <w:sz w:val="24"/>
          <w:lang w:val="lt-LT"/>
        </w:rPr>
        <w:t>OL L 83, 2019 3 25, p. 18.</w:t>
      </w:r>
    </w:p>
  </w:footnote>
  <w:footnote w:id="10">
    <w:p w:rsidR="00AD542F" w:rsidRPr="00FC46C2" w:rsidRDefault="00AD542F" w:rsidP="00FC46C2">
      <w:pPr>
        <w:pStyle w:val="FootnoteText"/>
        <w:ind w:left="567" w:hanging="567"/>
        <w:rPr>
          <w:sz w:val="24"/>
          <w:lang w:val="lt-LT"/>
        </w:rPr>
      </w:pPr>
      <w:r w:rsidRPr="00FC46C2">
        <w:rPr>
          <w:rStyle w:val="FootnoteReference"/>
          <w:sz w:val="24"/>
          <w:lang w:val="lt-LT"/>
        </w:rPr>
        <w:footnoteRef/>
      </w:r>
      <w:r w:rsidR="00FC46C2" w:rsidRPr="00FC46C2">
        <w:rPr>
          <w:sz w:val="24"/>
          <w:lang w:val="lt-LT"/>
        </w:rPr>
        <w:t xml:space="preserve"> </w:t>
      </w:r>
      <w:r w:rsidR="00FC46C2" w:rsidRPr="00FC46C2">
        <w:rPr>
          <w:sz w:val="24"/>
          <w:lang w:val="lt-LT"/>
        </w:rPr>
        <w:tab/>
      </w:r>
      <w:r w:rsidRPr="00FC46C2">
        <w:rPr>
          <w:sz w:val="24"/>
          <w:lang w:val="lt-LT"/>
        </w:rPr>
        <w:t>OL L 122, 2019 5 10, p. 1.</w:t>
      </w:r>
    </w:p>
  </w:footnote>
  <w:footnote w:id="11">
    <w:p w:rsidR="00AD542F" w:rsidRPr="00FC46C2" w:rsidRDefault="00AD542F" w:rsidP="00FC46C2">
      <w:pPr>
        <w:pStyle w:val="FootnoteText"/>
        <w:ind w:left="567" w:hanging="567"/>
        <w:rPr>
          <w:sz w:val="24"/>
          <w:lang w:val="lt-LT"/>
        </w:rPr>
      </w:pPr>
      <w:r w:rsidRPr="00FC46C2">
        <w:rPr>
          <w:rStyle w:val="FootnoteReference"/>
          <w:sz w:val="24"/>
          <w:lang w:val="lt-LT"/>
        </w:rPr>
        <w:footnoteRef/>
      </w:r>
      <w:r w:rsidR="00FC46C2" w:rsidRPr="00FC46C2">
        <w:rPr>
          <w:sz w:val="24"/>
          <w:lang w:val="lt-LT"/>
        </w:rPr>
        <w:t xml:space="preserve"> </w:t>
      </w:r>
      <w:r w:rsidR="00FC46C2" w:rsidRPr="00FC46C2">
        <w:rPr>
          <w:sz w:val="24"/>
          <w:lang w:val="lt-LT"/>
        </w:rPr>
        <w:tab/>
      </w:r>
      <w:r w:rsidRPr="00FC46C2">
        <w:rPr>
          <w:sz w:val="24"/>
          <w:lang w:val="lt-LT"/>
        </w:rPr>
        <w:t>OL C 38, 2023 1 31, p. 65.</w:t>
      </w:r>
    </w:p>
  </w:footnote>
  <w:footnote w:id="12">
    <w:p w:rsidR="00AD542F" w:rsidRPr="00FC46C2" w:rsidRDefault="00AD542F" w:rsidP="00FC46C2">
      <w:pPr>
        <w:pStyle w:val="FootnoteText"/>
        <w:ind w:left="567" w:hanging="567"/>
        <w:rPr>
          <w:sz w:val="24"/>
          <w:lang w:val="lt-LT"/>
        </w:rPr>
      </w:pPr>
      <w:r w:rsidRPr="00FC46C2">
        <w:rPr>
          <w:rStyle w:val="FootnoteReference"/>
          <w:sz w:val="24"/>
          <w:lang w:val="lt-LT"/>
        </w:rPr>
        <w:footnoteRef/>
      </w:r>
      <w:r w:rsidR="00FC46C2" w:rsidRPr="00FC46C2">
        <w:rPr>
          <w:sz w:val="24"/>
          <w:lang w:val="lt-LT"/>
        </w:rPr>
        <w:t xml:space="preserve"> </w:t>
      </w:r>
      <w:r w:rsidR="00FC46C2" w:rsidRPr="00FC46C2">
        <w:rPr>
          <w:sz w:val="24"/>
          <w:lang w:val="lt-LT"/>
        </w:rPr>
        <w:tab/>
      </w:r>
      <w:r w:rsidRPr="00FC46C2">
        <w:rPr>
          <w:sz w:val="24"/>
          <w:lang w:val="lt-LT"/>
        </w:rPr>
        <w:t>2019 m. kovo 19 d. Europos Parlamento ir Tarybos reglamentas (ES) 2019/473 dėl Europos žuvininkystės kontrolės agentūros (OL L 83, 2019 3 25, p. 18).</w:t>
      </w:r>
    </w:p>
  </w:footnote>
  <w:footnote w:id="13">
    <w:p w:rsidR="00AD542F" w:rsidRPr="00FC46C2" w:rsidRDefault="00AD542F" w:rsidP="00FC46C2">
      <w:pPr>
        <w:pStyle w:val="FootnoteText"/>
        <w:ind w:left="567" w:hanging="567"/>
        <w:rPr>
          <w:sz w:val="24"/>
          <w:lang w:val="lt-LT"/>
        </w:rPr>
      </w:pPr>
      <w:r w:rsidRPr="00FC46C2">
        <w:rPr>
          <w:rStyle w:val="FootnoteReference"/>
          <w:sz w:val="24"/>
          <w:lang w:val="lt-LT"/>
        </w:rPr>
        <w:footnoteRef/>
      </w:r>
      <w:r w:rsidR="00FC46C2" w:rsidRPr="00FC46C2">
        <w:rPr>
          <w:sz w:val="24"/>
          <w:lang w:val="lt-LT"/>
        </w:rPr>
        <w:t xml:space="preserve"> </w:t>
      </w:r>
      <w:r w:rsidR="00FC46C2" w:rsidRPr="00FC46C2">
        <w:rPr>
          <w:sz w:val="24"/>
          <w:lang w:val="lt-LT"/>
        </w:rPr>
        <w:tab/>
      </w:r>
      <w:r w:rsidRPr="00FC46C2">
        <w:rPr>
          <w:sz w:val="24"/>
          <w:lang w:val="lt-LT"/>
        </w:rPr>
        <w:t>2018 m. liepos 18 d. Europos Parlamento ir Tarybos reglamentas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 (OL L 193, 2018 7 30, p. 1).</w:t>
      </w:r>
    </w:p>
  </w:footnote>
  <w:footnote w:id="14">
    <w:p w:rsidR="00AD542F" w:rsidRPr="00FC46C2" w:rsidRDefault="00AD542F" w:rsidP="00FC46C2">
      <w:pPr>
        <w:pStyle w:val="FootnoteText"/>
        <w:ind w:left="567" w:hanging="567"/>
        <w:rPr>
          <w:sz w:val="24"/>
          <w:lang w:val="lt-LT"/>
        </w:rPr>
      </w:pPr>
      <w:r w:rsidRPr="00FC46C2">
        <w:rPr>
          <w:rStyle w:val="FootnoteReference"/>
          <w:sz w:val="24"/>
          <w:lang w:val="lt-LT"/>
        </w:rPr>
        <w:footnoteRef/>
      </w:r>
      <w:r w:rsidR="00FC46C2" w:rsidRPr="00FC46C2">
        <w:rPr>
          <w:sz w:val="24"/>
          <w:lang w:val="lt-LT"/>
        </w:rPr>
        <w:t xml:space="preserve"> </w:t>
      </w:r>
      <w:r w:rsidR="00FC46C2" w:rsidRPr="00FC46C2">
        <w:rPr>
          <w:sz w:val="24"/>
          <w:lang w:val="lt-LT"/>
        </w:rPr>
        <w:tab/>
      </w:r>
      <w:r w:rsidRPr="00FC46C2">
        <w:rPr>
          <w:sz w:val="24"/>
          <w:lang w:val="lt-LT"/>
        </w:rPr>
        <w:t>Priimti tekstai, P9_TA(2024)0</w:t>
      </w:r>
      <w:r w:rsidR="00E831C3">
        <w:rPr>
          <w:sz w:val="24"/>
          <w:lang w:val="lt-LT"/>
        </w:rPr>
        <w:t>28</w:t>
      </w:r>
      <w:r w:rsidR="00F45214">
        <w:rPr>
          <w:sz w:val="24"/>
          <w:lang w:val="lt-LT"/>
        </w:rPr>
        <w:t>0</w:t>
      </w:r>
      <w:r w:rsidRPr="00FC46C2">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46C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46C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46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0/2024"/>
    <w:docVar w:name="dvlangue" w:val="LT"/>
    <w:docVar w:name="dvnumam" w:val="0"/>
    <w:docVar w:name="dvpe" w:val="753.518"/>
    <w:docVar w:name="dvrapporteur" w:val="Pranešėjas: "/>
    <w:docVar w:name="dvtitre" w:val="Europos Parlamento sprendimas dėl Europos žuvininkystės kontrolės agentūros 2022 finansinių metų biudžeto įvykdymo patvirtinimo(2023/2150(DEC))"/>
  </w:docVars>
  <w:rsids>
    <w:rsidRoot w:val="002B0353"/>
    <w:rsid w:val="00002272"/>
    <w:rsid w:val="00064002"/>
    <w:rsid w:val="000677B9"/>
    <w:rsid w:val="000831BA"/>
    <w:rsid w:val="000A42CC"/>
    <w:rsid w:val="000E7DD9"/>
    <w:rsid w:val="0010095E"/>
    <w:rsid w:val="00125B37"/>
    <w:rsid w:val="00187494"/>
    <w:rsid w:val="001F32AE"/>
    <w:rsid w:val="0022661C"/>
    <w:rsid w:val="002767FF"/>
    <w:rsid w:val="002B0353"/>
    <w:rsid w:val="002B18FE"/>
    <w:rsid w:val="002B5493"/>
    <w:rsid w:val="00343214"/>
    <w:rsid w:val="00361C00"/>
    <w:rsid w:val="00375F95"/>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15E0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AE"/>
    <w:rsid w:val="008C2AC6"/>
    <w:rsid w:val="00930C23"/>
    <w:rsid w:val="0093193B"/>
    <w:rsid w:val="009509D8"/>
    <w:rsid w:val="00950B64"/>
    <w:rsid w:val="00981893"/>
    <w:rsid w:val="00A1687D"/>
    <w:rsid w:val="00A43E52"/>
    <w:rsid w:val="00A4678D"/>
    <w:rsid w:val="00A778C7"/>
    <w:rsid w:val="00AB441E"/>
    <w:rsid w:val="00AB6293"/>
    <w:rsid w:val="00AD542F"/>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831C3"/>
    <w:rsid w:val="00EB006A"/>
    <w:rsid w:val="00EB4772"/>
    <w:rsid w:val="00ED169E"/>
    <w:rsid w:val="00ED4235"/>
    <w:rsid w:val="00F04346"/>
    <w:rsid w:val="00F075DC"/>
    <w:rsid w:val="00F149E9"/>
    <w:rsid w:val="00F45214"/>
    <w:rsid w:val="00F5134D"/>
    <w:rsid w:val="00F74202"/>
    <w:rsid w:val="00F87713"/>
    <w:rsid w:val="00FB4360"/>
    <w:rsid w:val="00FC46C2"/>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8B9E93"/>
  <w15:chartTrackingRefBased/>
  <w15:docId w15:val="{6E28A480-9450-47A9-A19D-5A70FAA0F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D542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D542F"/>
    <w:pPr>
      <w:spacing w:before="480" w:after="240"/>
    </w:pPr>
  </w:style>
  <w:style w:type="paragraph" w:customStyle="1" w:styleId="PageHeading">
    <w:name w:val="PageHeading"/>
    <w:basedOn w:val="Normal"/>
    <w:rsid w:val="00AD542F"/>
    <w:pPr>
      <w:keepNext/>
      <w:spacing w:after="480"/>
      <w:jc w:val="center"/>
    </w:pPr>
    <w:rPr>
      <w:rFonts w:ascii="Arial" w:hAnsi="Arial" w:cs="Arial"/>
      <w:b/>
    </w:rPr>
  </w:style>
  <w:style w:type="paragraph" w:customStyle="1" w:styleId="NormalBold">
    <w:name w:val="NormalBold"/>
    <w:basedOn w:val="Normal"/>
    <w:rsid w:val="00AD542F"/>
    <w:rPr>
      <w:b/>
    </w:rPr>
  </w:style>
  <w:style w:type="paragraph" w:customStyle="1" w:styleId="NormalHanging12a">
    <w:name w:val="NormalHanging12a"/>
    <w:basedOn w:val="Normal"/>
    <w:link w:val="NormalHanging12aChar"/>
    <w:rsid w:val="00AD542F"/>
    <w:pPr>
      <w:spacing w:after="240"/>
      <w:ind w:left="567" w:hanging="567"/>
    </w:pPr>
  </w:style>
  <w:style w:type="paragraph" w:customStyle="1" w:styleId="NormalCenter12a">
    <w:name w:val="NormalCenter12a"/>
    <w:basedOn w:val="Normal"/>
    <w:rsid w:val="00AD542F"/>
    <w:pPr>
      <w:spacing w:after="240"/>
      <w:jc w:val="center"/>
    </w:pPr>
  </w:style>
  <w:style w:type="paragraph" w:styleId="Header">
    <w:name w:val="header"/>
    <w:basedOn w:val="Normal"/>
    <w:link w:val="HeaderChar"/>
    <w:rsid w:val="00AD542F"/>
    <w:pPr>
      <w:tabs>
        <w:tab w:val="center" w:pos="4513"/>
        <w:tab w:val="right" w:pos="9026"/>
      </w:tabs>
    </w:pPr>
  </w:style>
  <w:style w:type="character" w:customStyle="1" w:styleId="HeaderChar">
    <w:name w:val="Header Char"/>
    <w:basedOn w:val="DefaultParagraphFont"/>
    <w:link w:val="Header"/>
    <w:rsid w:val="00AD542F"/>
    <w:rPr>
      <w:sz w:val="24"/>
      <w:lang w:val="lt-LT"/>
    </w:rPr>
  </w:style>
  <w:style w:type="paragraph" w:customStyle="1" w:styleId="EPFooter">
    <w:name w:val="EPFooter"/>
    <w:basedOn w:val="Normal"/>
    <w:rsid w:val="00AD542F"/>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AD542F"/>
    <w:rPr>
      <w:sz w:val="24"/>
      <w:lang w:val="lt-LT"/>
    </w:rPr>
  </w:style>
  <w:style w:type="paragraph" w:styleId="Footer">
    <w:name w:val="footer"/>
    <w:basedOn w:val="Normal"/>
    <w:link w:val="FooterChar"/>
    <w:rsid w:val="00375F95"/>
    <w:pPr>
      <w:tabs>
        <w:tab w:val="center" w:pos="4513"/>
        <w:tab w:val="right" w:pos="9026"/>
      </w:tabs>
    </w:pPr>
  </w:style>
  <w:style w:type="character" w:customStyle="1" w:styleId="FooterChar">
    <w:name w:val="Footer Char"/>
    <w:basedOn w:val="DefaultParagraphFont"/>
    <w:link w:val="Footer"/>
    <w:rsid w:val="00375F95"/>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8BBBD-BC54-4DF0-9E6E-C680965AA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3201</Words>
  <Characters>21882</Characters>
  <Application>Microsoft Office Word</Application>
  <DocSecurity>0</DocSecurity>
  <Lines>182</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4</cp:revision>
  <cp:lastPrinted>2004-11-19T15:42:00Z</cp:lastPrinted>
  <dcterms:created xsi:type="dcterms:W3CDTF">2024-04-11T10:03:00Z</dcterms:created>
  <dcterms:modified xsi:type="dcterms:W3CDTF">2024-04-11T12:23:00Z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A9-0100/2024</vt:lpwstr>
  </property>
  <property fmtid="{D5CDD505-2E9C-101B-9397-08002B2CF9AE}" pid="4" name="&lt;Type&gt;">
    <vt:lpwstr>RR</vt:lpwstr>
  </property>
</Properties>
</file>