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6B3F" w:rsidTr="0010095E">
        <w:trPr>
          <w:trHeight w:hRule="exact" w:val="1418"/>
        </w:trPr>
        <w:tc>
          <w:tcPr>
            <w:tcW w:w="6804" w:type="dxa"/>
            <w:shd w:val="clear" w:color="auto" w:fill="auto"/>
            <w:vAlign w:val="center"/>
          </w:tcPr>
          <w:p w:rsidR="00751A4A" w:rsidRPr="00276B3F" w:rsidRDefault="00C44E58" w:rsidP="0010095E">
            <w:pPr>
              <w:pStyle w:val="EPName"/>
            </w:pPr>
            <w:r w:rsidRPr="00276B3F">
              <w:t>Eiropas Parlaments</w:t>
            </w:r>
          </w:p>
          <w:p w:rsidR="00751A4A" w:rsidRPr="00276B3F" w:rsidRDefault="00817416" w:rsidP="00756632">
            <w:pPr>
              <w:pStyle w:val="EPTerm"/>
              <w:rPr>
                <w:rStyle w:val="HideTWBExt"/>
                <w:noProof w:val="0"/>
                <w:vanish w:val="0"/>
                <w:color w:val="auto"/>
              </w:rPr>
            </w:pPr>
            <w:r w:rsidRPr="00276B3F">
              <w:t>2019-2024</w:t>
            </w:r>
          </w:p>
        </w:tc>
        <w:tc>
          <w:tcPr>
            <w:tcW w:w="2268" w:type="dxa"/>
            <w:shd w:val="clear" w:color="auto" w:fill="auto"/>
          </w:tcPr>
          <w:p w:rsidR="00751A4A" w:rsidRPr="00276B3F" w:rsidRDefault="00187494" w:rsidP="0010095E">
            <w:pPr>
              <w:pStyle w:val="EPLogo"/>
            </w:pPr>
            <w:r w:rsidRPr="00276B3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76B3F" w:rsidRDefault="00D058B8" w:rsidP="004C5D52">
      <w:pPr>
        <w:pStyle w:val="LineTop"/>
      </w:pPr>
    </w:p>
    <w:p w:rsidR="00680577" w:rsidRPr="00276B3F" w:rsidRDefault="00C44E58" w:rsidP="00680577">
      <w:pPr>
        <w:pStyle w:val="EPBodyTA1"/>
      </w:pPr>
      <w:r w:rsidRPr="00276B3F">
        <w:t>PIEŅEMTIE TEKSTI</w:t>
      </w:r>
    </w:p>
    <w:p w:rsidR="00D058B8" w:rsidRPr="00276B3F" w:rsidRDefault="00D058B8" w:rsidP="00D058B8">
      <w:pPr>
        <w:pStyle w:val="LineBottom"/>
      </w:pPr>
    </w:p>
    <w:p w:rsidR="00C44E58" w:rsidRPr="00276B3F" w:rsidRDefault="00C44E58" w:rsidP="00C44E58">
      <w:pPr>
        <w:pStyle w:val="ATHeading1"/>
      </w:pPr>
      <w:bookmarkStart w:id="0" w:name="TANumber"/>
      <w:r w:rsidRPr="00276B3F">
        <w:t>P9_TA(2024)0</w:t>
      </w:r>
      <w:r w:rsidR="00276B3F" w:rsidRPr="00276B3F">
        <w:t>257</w:t>
      </w:r>
      <w:bookmarkEnd w:id="0"/>
    </w:p>
    <w:p w:rsidR="00C44E58" w:rsidRPr="00276B3F" w:rsidRDefault="00F933BE" w:rsidP="00C44E58">
      <w:pPr>
        <w:pStyle w:val="ATHeading2"/>
      </w:pPr>
      <w:bookmarkStart w:id="1" w:name="title"/>
      <w:r w:rsidRPr="00276B3F">
        <w:t>2022. finanšu gada budžeta izpildes apstiprināšana: Eiropas Zivsaimniecības kontroles aģentūra</w:t>
      </w:r>
      <w:bookmarkEnd w:id="1"/>
    </w:p>
    <w:p w:rsidR="00C44E58" w:rsidRPr="00276B3F" w:rsidRDefault="00C44E58" w:rsidP="00C44E58">
      <w:pPr>
        <w:rPr>
          <w:i/>
          <w:vanish/>
        </w:rPr>
      </w:pPr>
      <w:r w:rsidRPr="00276B3F">
        <w:rPr>
          <w:i/>
        </w:rPr>
        <w:fldChar w:fldCharType="begin"/>
      </w:r>
      <w:r w:rsidRPr="00276B3F">
        <w:rPr>
          <w:i/>
        </w:rPr>
        <w:instrText xml:space="preserve"> TC"(</w:instrText>
      </w:r>
      <w:bookmarkStart w:id="2" w:name="DocNumber"/>
      <w:r w:rsidRPr="00276B3F">
        <w:rPr>
          <w:i/>
        </w:rPr>
        <w:instrText>A9-0100/2024</w:instrText>
      </w:r>
      <w:bookmarkEnd w:id="2"/>
      <w:r w:rsidRPr="00276B3F">
        <w:rPr>
          <w:i/>
        </w:rPr>
        <w:instrText xml:space="preserve"> - Referents: Petri Sarvamaa)"\l3 \n&gt; \* MERGEFORMAT </w:instrText>
      </w:r>
      <w:r w:rsidRPr="00276B3F">
        <w:rPr>
          <w:i/>
        </w:rPr>
        <w:fldChar w:fldCharType="end"/>
      </w:r>
    </w:p>
    <w:p w:rsidR="00C44E58" w:rsidRPr="00276B3F" w:rsidRDefault="00C44E58" w:rsidP="00C44E58">
      <w:pPr>
        <w:rPr>
          <w:vanish/>
        </w:rPr>
      </w:pPr>
      <w:bookmarkStart w:id="3" w:name="Commission"/>
      <w:r w:rsidRPr="00276B3F">
        <w:rPr>
          <w:vanish/>
        </w:rPr>
        <w:t>Budžeta kontroles komiteja</w:t>
      </w:r>
      <w:bookmarkEnd w:id="3"/>
    </w:p>
    <w:p w:rsidR="00C44E58" w:rsidRPr="00276B3F" w:rsidRDefault="00C44E58" w:rsidP="00C44E58">
      <w:pPr>
        <w:rPr>
          <w:vanish/>
        </w:rPr>
      </w:pPr>
      <w:bookmarkStart w:id="4" w:name="PE"/>
      <w:r w:rsidRPr="00276B3F">
        <w:rPr>
          <w:vanish/>
        </w:rPr>
        <w:t>PE753.518</w:t>
      </w:r>
      <w:bookmarkEnd w:id="4"/>
    </w:p>
    <w:p w:rsidR="00C44E58" w:rsidRPr="00276B3F" w:rsidRDefault="00F933BE" w:rsidP="00C44E58">
      <w:pPr>
        <w:pStyle w:val="ATHeading3"/>
      </w:pPr>
      <w:bookmarkStart w:id="5" w:name="Sujet"/>
      <w:r w:rsidRPr="00276B3F">
        <w:t>1. E</w:t>
      </w:r>
      <w:r w:rsidR="00C44E58" w:rsidRPr="00276B3F">
        <w:t xml:space="preserve">iropas Parlamenta 2024. gada </w:t>
      </w:r>
      <w:r w:rsidRPr="00276B3F">
        <w:t>11. aprīļa</w:t>
      </w:r>
      <w:r w:rsidR="00C44E58" w:rsidRPr="00276B3F">
        <w:t xml:space="preserve"> lēmums par Eiropas Zivsaimniecības kontroles aģentūras 2022. finanšu gada budžeta izpildes apstiprināšanu</w:t>
      </w:r>
      <w:bookmarkEnd w:id="5"/>
      <w:r w:rsidR="00C44E58" w:rsidRPr="00276B3F">
        <w:t xml:space="preserve"> </w:t>
      </w:r>
      <w:bookmarkStart w:id="6" w:name="References"/>
      <w:r w:rsidR="00C44E58" w:rsidRPr="00276B3F">
        <w:t>2023/2150(DEC))</w:t>
      </w:r>
      <w:bookmarkEnd w:id="6"/>
    </w:p>
    <w:p w:rsidR="00C44E58" w:rsidRPr="00276B3F" w:rsidRDefault="00C44E58" w:rsidP="00C44E58"/>
    <w:p w:rsidR="001B0E0B" w:rsidRPr="00276B3F" w:rsidRDefault="001B0E0B" w:rsidP="001B0E0B">
      <w:pPr>
        <w:pStyle w:val="EPComma"/>
      </w:pPr>
      <w:bookmarkStart w:id="7" w:name="TextBodyBegin"/>
      <w:bookmarkEnd w:id="7"/>
      <w:r w:rsidRPr="00276B3F">
        <w:rPr>
          <w:i/>
        </w:rPr>
        <w:t>Eiropas Parlaments</w:t>
      </w:r>
      <w:r w:rsidRPr="00276B3F">
        <w:t>,</w:t>
      </w:r>
    </w:p>
    <w:p w:rsidR="001B0E0B" w:rsidRPr="00276B3F" w:rsidRDefault="001B0E0B" w:rsidP="001B0E0B">
      <w:pPr>
        <w:pStyle w:val="NormalHanging12a"/>
      </w:pPr>
      <w:r w:rsidRPr="00276B3F">
        <w:t>–</w:t>
      </w:r>
      <w:r w:rsidRPr="00276B3F">
        <w:tab/>
        <w:t>ņemot vērā Eiropas Zivsaimniecības kontroles aģentūras 2022. finanšu gada galīgos pārskatus,</w:t>
      </w:r>
    </w:p>
    <w:p w:rsidR="001B0E0B" w:rsidRPr="00276B3F" w:rsidRDefault="001B0E0B" w:rsidP="001B0E0B">
      <w:pPr>
        <w:pStyle w:val="NormalHanging12a"/>
      </w:pPr>
      <w:r w:rsidRPr="00276B3F">
        <w:t>–</w:t>
      </w:r>
      <w:r w:rsidRPr="00276B3F">
        <w:tab/>
        <w:t>ņemot vērā Revīzijas palātas gada ziņojumu par ES aģentūrām attiecībā uz 2022. finanšu gadu ar aģentūru atbildēm</w:t>
      </w:r>
      <w:r w:rsidRPr="00276B3F">
        <w:rPr>
          <w:rStyle w:val="FootnoteReference"/>
        </w:rPr>
        <w:footnoteReference w:id="1"/>
      </w:r>
      <w:r w:rsidRPr="00276B3F">
        <w:t>,</w:t>
      </w:r>
    </w:p>
    <w:p w:rsidR="001B0E0B" w:rsidRPr="00276B3F" w:rsidRDefault="001B0E0B" w:rsidP="001B0E0B">
      <w:pPr>
        <w:pStyle w:val="NormalHanging12a"/>
      </w:pPr>
      <w:r w:rsidRPr="00276B3F">
        <w:t>–</w:t>
      </w:r>
      <w:r w:rsidRPr="00276B3F">
        <w:tab/>
        <w:t>ņemot vērā deklarāciju</w:t>
      </w:r>
      <w:r w:rsidRPr="00276B3F">
        <w:rPr>
          <w:rStyle w:val="FootnoteReference"/>
        </w:rPr>
        <w:footnoteReference w:id="2"/>
      </w:r>
      <w:r w:rsidRPr="00276B3F">
        <w:t xml:space="preserve"> par pārskatu ticamību, kā arī par pakārtoto darījumu likumību un pareizību, kuru Revīzijas palāta sniegusi par 2022. finanšu gadu saskaņā ar Līguma par Eiropas Savienības darbību 287. pantu,</w:t>
      </w:r>
    </w:p>
    <w:p w:rsidR="001B0E0B" w:rsidRPr="00276B3F" w:rsidRDefault="001B0E0B" w:rsidP="001B0E0B">
      <w:pPr>
        <w:pStyle w:val="NormalHanging12a"/>
      </w:pPr>
      <w:r w:rsidRPr="00276B3F">
        <w:t>–</w:t>
      </w:r>
      <w:r w:rsidRPr="00276B3F">
        <w:tab/>
        <w:t>ņemot vērā Padomes 2024. gada 22. februāra ieteikumu par apstiprinājumu, ko sniedz Aģentūrai par 2022. finanšu gada budžeta izpildi (</w:t>
      </w:r>
      <w:r w:rsidR="00F933BE" w:rsidRPr="00276B3F">
        <w:t>06180</w:t>
      </w:r>
      <w:r w:rsidRPr="00276B3F">
        <w:t>/2024 – C9</w:t>
      </w:r>
      <w:r w:rsidRPr="00276B3F">
        <w:noBreakHyphen/>
      </w:r>
      <w:r w:rsidR="00F933BE" w:rsidRPr="00276B3F">
        <w:t>0088</w:t>
      </w:r>
      <w:r w:rsidRPr="00276B3F">
        <w:t>/2024),</w:t>
      </w:r>
    </w:p>
    <w:p w:rsidR="001B0E0B" w:rsidRPr="00276B3F" w:rsidRDefault="001B0E0B" w:rsidP="001B0E0B">
      <w:pPr>
        <w:pStyle w:val="NormalHanging12a"/>
      </w:pPr>
      <w:r w:rsidRPr="00276B3F">
        <w:t>–</w:t>
      </w:r>
      <w:r w:rsidRPr="00276B3F">
        <w:tab/>
        <w:t>ņemot vērā Līguma par Eiropas Savienības darbību 319. pantu,</w:t>
      </w:r>
    </w:p>
    <w:p w:rsidR="001B0E0B" w:rsidRPr="00276B3F" w:rsidRDefault="001B0E0B" w:rsidP="001B0E0B">
      <w:pPr>
        <w:pStyle w:val="NormalHanging12a"/>
      </w:pPr>
      <w:r w:rsidRPr="00276B3F">
        <w:t>–</w:t>
      </w:r>
      <w:r w:rsidRPr="00276B3F">
        <w:tab/>
        <w:t xml:space="preserve">ņemot vērā Eiropas Parlamenta un Padomes 2018. gada 18. jūlija Regulu (ES, </w:t>
      </w:r>
      <w:r w:rsidRPr="00276B3F">
        <w:rPr>
          <w:i/>
        </w:rPr>
        <w:t>Euratom</w:t>
      </w:r>
      <w:r w:rsidRPr="00276B3F">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76B3F">
        <w:rPr>
          <w:i/>
        </w:rPr>
        <w:t>Euratom</w:t>
      </w:r>
      <w:r w:rsidRPr="00276B3F">
        <w:t>) Nr. 966/2012</w:t>
      </w:r>
      <w:r w:rsidRPr="00276B3F">
        <w:rPr>
          <w:rStyle w:val="FootnoteReference"/>
        </w:rPr>
        <w:footnoteReference w:id="3"/>
      </w:r>
      <w:r w:rsidRPr="00276B3F">
        <w:t>, un jo īpaši tās 70. pantu,</w:t>
      </w:r>
    </w:p>
    <w:p w:rsidR="001B0E0B" w:rsidRPr="00276B3F" w:rsidRDefault="001B0E0B" w:rsidP="001B0E0B">
      <w:pPr>
        <w:pStyle w:val="NormalHanging12a"/>
      </w:pPr>
      <w:r w:rsidRPr="00276B3F">
        <w:lastRenderedPageBreak/>
        <w:t>–</w:t>
      </w:r>
      <w:r w:rsidRPr="00276B3F">
        <w:tab/>
        <w:t>ņemot vērā Eiropas Parlamenta un Padomes 2019. gada 19. marta Regulu (ES) 2019/473 par Eiropas Zivsaimniecības kontroles aģentūru</w:t>
      </w:r>
      <w:r w:rsidRPr="00276B3F">
        <w:rPr>
          <w:rStyle w:val="FootnoteReference"/>
        </w:rPr>
        <w:footnoteReference w:id="4"/>
      </w:r>
      <w:r w:rsidRPr="00276B3F">
        <w:t xml:space="preserve"> un jo īpaši tās 45. pantu,</w:t>
      </w:r>
    </w:p>
    <w:p w:rsidR="001B0E0B" w:rsidRPr="00276B3F" w:rsidRDefault="001B0E0B" w:rsidP="001B0E0B">
      <w:pPr>
        <w:pStyle w:val="NormalHanging12a"/>
      </w:pPr>
      <w:r w:rsidRPr="00276B3F">
        <w:t>–</w:t>
      </w:r>
      <w:r w:rsidRPr="00276B3F">
        <w:tab/>
        <w:t xml:space="preserve">ņemot vērā Komisijas 2018. gada 18. decembra Deleģēto regulu (ES) 2019/715 par finanšu </w:t>
      </w:r>
      <w:proofErr w:type="spellStart"/>
      <w:r w:rsidRPr="00276B3F">
        <w:t>pamatregulu</w:t>
      </w:r>
      <w:proofErr w:type="spellEnd"/>
      <w:r w:rsidRPr="00276B3F">
        <w:t xml:space="preserve"> struktūrām, kas izveidotas saskaņā ar LESD un </w:t>
      </w:r>
      <w:r w:rsidRPr="00276B3F">
        <w:rPr>
          <w:i/>
        </w:rPr>
        <w:t>Euratom</w:t>
      </w:r>
      <w:r w:rsidRPr="00276B3F">
        <w:t xml:space="preserve"> līgumu un minētas Eiropas Parlamenta un Padomes Regulas (ES, </w:t>
      </w:r>
      <w:r w:rsidRPr="00276B3F">
        <w:rPr>
          <w:i/>
        </w:rPr>
        <w:t>Euratom</w:t>
      </w:r>
      <w:r w:rsidRPr="00276B3F">
        <w:t>) 2018/1046 70. pantā</w:t>
      </w:r>
      <w:r w:rsidRPr="00276B3F">
        <w:rPr>
          <w:rStyle w:val="FootnoteReference"/>
        </w:rPr>
        <w:footnoteReference w:id="5"/>
      </w:r>
      <w:r w:rsidRPr="00276B3F">
        <w:t>, un jo īpaši tās 105. pantu,</w:t>
      </w:r>
    </w:p>
    <w:p w:rsidR="001B0E0B" w:rsidRPr="00276B3F" w:rsidRDefault="001B0E0B" w:rsidP="001B0E0B">
      <w:pPr>
        <w:pStyle w:val="NormalHanging12a"/>
      </w:pPr>
      <w:r w:rsidRPr="00276B3F">
        <w:t>–</w:t>
      </w:r>
      <w:r w:rsidRPr="00276B3F">
        <w:tab/>
        <w:t>ņemot vērā Reglamenta 100. pantu un V pielikumu,</w:t>
      </w:r>
    </w:p>
    <w:p w:rsidR="001B0E0B" w:rsidRPr="00276B3F" w:rsidRDefault="001B0E0B" w:rsidP="001B0E0B">
      <w:pPr>
        <w:pStyle w:val="NormalHanging12a"/>
      </w:pPr>
      <w:r w:rsidRPr="00276B3F">
        <w:t>–</w:t>
      </w:r>
      <w:r w:rsidRPr="00276B3F">
        <w:tab/>
        <w:t>ņemot vērā Zivsaimniecības komitejas atzinumu,</w:t>
      </w:r>
    </w:p>
    <w:p w:rsidR="001B0E0B" w:rsidRPr="00276B3F" w:rsidRDefault="001B0E0B" w:rsidP="001B0E0B">
      <w:pPr>
        <w:pStyle w:val="NormalHanging12a"/>
      </w:pPr>
      <w:r w:rsidRPr="00276B3F">
        <w:t>–</w:t>
      </w:r>
      <w:r w:rsidRPr="00276B3F">
        <w:tab/>
        <w:t>ņemot vērā Budžeta kontroles komitejas ziņojumu (A9</w:t>
      </w:r>
      <w:r w:rsidRPr="00276B3F">
        <w:noBreakHyphen/>
        <w:t>0100/2024),</w:t>
      </w:r>
    </w:p>
    <w:p w:rsidR="001B0E0B" w:rsidRPr="00276B3F" w:rsidRDefault="001B0E0B" w:rsidP="001B0E0B">
      <w:pPr>
        <w:pStyle w:val="NormalHanging12a"/>
      </w:pPr>
      <w:r w:rsidRPr="00276B3F">
        <w:t>1.</w:t>
      </w:r>
      <w:r w:rsidRPr="00276B3F">
        <w:tab/>
        <w:t>sniedz Eiropas Zivsaimniecības kontroles aģentūras izpilddirektorei apstiprinājumu par Aģentūras 2022. finanšu gada budžeta izpildi;</w:t>
      </w:r>
    </w:p>
    <w:p w:rsidR="001B0E0B" w:rsidRPr="00276B3F" w:rsidRDefault="001B0E0B" w:rsidP="001B0E0B">
      <w:pPr>
        <w:pStyle w:val="NormalHanging12a"/>
      </w:pPr>
      <w:r w:rsidRPr="00276B3F">
        <w:t>2.</w:t>
      </w:r>
      <w:r w:rsidRPr="00276B3F">
        <w:tab/>
        <w:t>izklāsta savus konstatējumus turpmāk tekstā iekļautajā rezolūcijā;</w:t>
      </w:r>
    </w:p>
    <w:p w:rsidR="001B0E0B" w:rsidRPr="00276B3F" w:rsidRDefault="001B0E0B" w:rsidP="001B0E0B">
      <w:pPr>
        <w:pStyle w:val="NormalHanging12a"/>
      </w:pPr>
      <w:r w:rsidRPr="00276B3F">
        <w:t>3.</w:t>
      </w:r>
      <w:r w:rsidRPr="00276B3F">
        <w:tab/>
        <w:t xml:space="preserve">uzdod priekšsēdētājai šo lēmumu un rezolūciju, kas ir tā neatņemama daļa, nosūtīt Eiropas Zivsaimniecības kontroles aģentūras izpilddirektorei, Padomei, Komisijai un Revīzijas palātai un nodrošināt to publicēšanu </w:t>
      </w:r>
      <w:r w:rsidRPr="00276B3F">
        <w:rPr>
          <w:i/>
        </w:rPr>
        <w:t>Eiropas Savienības Oficiālajā Vēstnesī</w:t>
      </w:r>
      <w:r w:rsidRPr="00276B3F">
        <w:t xml:space="preserve"> (L sērijā).</w:t>
      </w:r>
    </w:p>
    <w:p w:rsidR="001B0E0B" w:rsidRPr="00276B3F" w:rsidRDefault="001B0E0B" w:rsidP="001B0E0B"/>
    <w:p w:rsidR="001B0E0B" w:rsidRPr="00276B3F" w:rsidRDefault="001B0E0B" w:rsidP="001B0E0B">
      <w:pPr>
        <w:pStyle w:val="PageHeading"/>
        <w:sectPr w:rsidR="001B0E0B" w:rsidRPr="00276B3F" w:rsidSect="00A95B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B0E0B" w:rsidRPr="00276B3F" w:rsidRDefault="00F933BE" w:rsidP="001B0E0B">
      <w:pPr>
        <w:pStyle w:val="NormalBold"/>
      </w:pPr>
      <w:bookmarkStart w:id="8" w:name="_Toc161658290"/>
      <w:r w:rsidRPr="00276B3F">
        <w:t xml:space="preserve">2. Eiropas Parlamenta 2024. gada 11. aprīļa lēmums par </w:t>
      </w:r>
      <w:bookmarkEnd w:id="8"/>
      <w:r w:rsidR="001B0E0B" w:rsidRPr="00276B3F">
        <w:t>Eiropas Zivsaimniecības kontroles aģentūras 2022. finanšu gada pārskatu apstiprināšanu</w:t>
      </w:r>
      <w:r w:rsidRPr="00276B3F">
        <w:t xml:space="preserve"> </w:t>
      </w:r>
      <w:r w:rsidR="001B0E0B" w:rsidRPr="00276B3F">
        <w:t>(2023/2150(DEC))</w:t>
      </w:r>
    </w:p>
    <w:p w:rsidR="001B0E0B" w:rsidRPr="00276B3F" w:rsidRDefault="001B0E0B" w:rsidP="001B0E0B">
      <w:pPr>
        <w:pStyle w:val="EPComma"/>
      </w:pPr>
      <w:r w:rsidRPr="00276B3F">
        <w:rPr>
          <w:i/>
        </w:rPr>
        <w:t>Eiropas Parlaments</w:t>
      </w:r>
      <w:r w:rsidRPr="00276B3F">
        <w:t>,</w:t>
      </w:r>
    </w:p>
    <w:p w:rsidR="001B0E0B" w:rsidRPr="00276B3F" w:rsidRDefault="001B0E0B" w:rsidP="001B0E0B">
      <w:pPr>
        <w:pStyle w:val="NormalHanging12a"/>
      </w:pPr>
      <w:r w:rsidRPr="00276B3F">
        <w:t>–</w:t>
      </w:r>
      <w:r w:rsidRPr="00276B3F">
        <w:tab/>
        <w:t>ņemot vērā Eiropas Zivsaimniecības kontroles aģentūras 2022. finanšu gada galīgos pārskatus,</w:t>
      </w:r>
    </w:p>
    <w:p w:rsidR="001B0E0B" w:rsidRPr="00276B3F" w:rsidRDefault="001B0E0B" w:rsidP="001B0E0B">
      <w:pPr>
        <w:pStyle w:val="NormalHanging12a"/>
      </w:pPr>
      <w:r w:rsidRPr="00276B3F">
        <w:t>–</w:t>
      </w:r>
      <w:r w:rsidRPr="00276B3F">
        <w:tab/>
        <w:t>ņemot vērā Revīzijas palātas gada ziņojumu par ES aģentūrām attiecībā uz 2022. finanšu gadu ar aģentūru atbildēm</w:t>
      </w:r>
      <w:r w:rsidRPr="00276B3F">
        <w:rPr>
          <w:rStyle w:val="FootnoteReference"/>
        </w:rPr>
        <w:footnoteReference w:id="6"/>
      </w:r>
      <w:r w:rsidRPr="00276B3F">
        <w:t>,</w:t>
      </w:r>
    </w:p>
    <w:p w:rsidR="001B0E0B" w:rsidRPr="00276B3F" w:rsidRDefault="001B0E0B" w:rsidP="001B0E0B">
      <w:pPr>
        <w:pStyle w:val="NormalHanging12a"/>
      </w:pPr>
      <w:r w:rsidRPr="00276B3F">
        <w:t>–</w:t>
      </w:r>
      <w:r w:rsidRPr="00276B3F">
        <w:tab/>
        <w:t>ņemot vērā deklarāciju</w:t>
      </w:r>
      <w:r w:rsidRPr="00276B3F">
        <w:rPr>
          <w:rStyle w:val="FootnoteReference"/>
        </w:rPr>
        <w:footnoteReference w:id="7"/>
      </w:r>
      <w:r w:rsidRPr="00276B3F">
        <w:t xml:space="preserve"> par pārskatu ticamību, kā arī par pakārtoto darījumu likumību un pareizību, kuru Revīzijas palāta sniegusi par 2022. finanšu gadu saskaņā ar Līguma par Eiropas Savienības darbību 287. pantu,</w:t>
      </w:r>
    </w:p>
    <w:p w:rsidR="001B0E0B" w:rsidRPr="00276B3F" w:rsidRDefault="001B0E0B" w:rsidP="001B0E0B">
      <w:pPr>
        <w:pStyle w:val="NormalHanging12a"/>
      </w:pPr>
      <w:r w:rsidRPr="00276B3F">
        <w:t>–</w:t>
      </w:r>
      <w:r w:rsidRPr="00276B3F">
        <w:tab/>
        <w:t>ņemot vērā Padomes 2024. gada 22. februāra ieteikumu par apstiprinājumu, ko sniedz Aģentūrai par 2022. finanšu gada budžeta izpildi (</w:t>
      </w:r>
      <w:r w:rsidR="00F933BE" w:rsidRPr="00276B3F">
        <w:t>06180</w:t>
      </w:r>
      <w:r w:rsidRPr="00276B3F">
        <w:t>/2024 – C9</w:t>
      </w:r>
      <w:r w:rsidRPr="00276B3F">
        <w:noBreakHyphen/>
      </w:r>
      <w:r w:rsidR="00F933BE" w:rsidRPr="00276B3F">
        <w:t>0088</w:t>
      </w:r>
      <w:r w:rsidRPr="00276B3F">
        <w:t>/2024),</w:t>
      </w:r>
    </w:p>
    <w:p w:rsidR="001B0E0B" w:rsidRPr="00276B3F" w:rsidRDefault="001B0E0B" w:rsidP="001B0E0B">
      <w:pPr>
        <w:pStyle w:val="NormalHanging12a"/>
      </w:pPr>
      <w:r w:rsidRPr="00276B3F">
        <w:t>–</w:t>
      </w:r>
      <w:r w:rsidRPr="00276B3F">
        <w:tab/>
        <w:t>ņemot vērā Līguma par Eiropas Savienības darbību 319. pantu,</w:t>
      </w:r>
    </w:p>
    <w:p w:rsidR="001B0E0B" w:rsidRPr="00276B3F" w:rsidRDefault="001B0E0B" w:rsidP="001B0E0B">
      <w:pPr>
        <w:pStyle w:val="NormalHanging12a"/>
      </w:pPr>
      <w:r w:rsidRPr="00276B3F">
        <w:t>–</w:t>
      </w:r>
      <w:r w:rsidRPr="00276B3F">
        <w:tab/>
        <w:t xml:space="preserve">ņemot vērā Eiropas Parlamenta un Padomes 2018. gada 18. jūlija Regulu (ES, </w:t>
      </w:r>
      <w:r w:rsidRPr="00276B3F">
        <w:rPr>
          <w:i/>
        </w:rPr>
        <w:t>Euratom</w:t>
      </w:r>
      <w:r w:rsidRPr="00276B3F">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76B3F">
        <w:rPr>
          <w:i/>
        </w:rPr>
        <w:t>Euratom</w:t>
      </w:r>
      <w:r w:rsidRPr="00276B3F">
        <w:t>) Nr. 966/2012</w:t>
      </w:r>
      <w:r w:rsidRPr="00276B3F">
        <w:rPr>
          <w:rStyle w:val="FootnoteReference"/>
        </w:rPr>
        <w:footnoteReference w:id="8"/>
      </w:r>
      <w:r w:rsidRPr="00276B3F">
        <w:t>, un jo īpaši tās 70. pantu,</w:t>
      </w:r>
    </w:p>
    <w:p w:rsidR="001B0E0B" w:rsidRPr="00276B3F" w:rsidRDefault="001B0E0B" w:rsidP="001B0E0B">
      <w:pPr>
        <w:pStyle w:val="NormalHanging12a"/>
      </w:pPr>
      <w:r w:rsidRPr="00276B3F">
        <w:t>–</w:t>
      </w:r>
      <w:r w:rsidRPr="00276B3F">
        <w:tab/>
        <w:t>ņemot vērā Eiropas Parlamenta un Padomes 2019. gada 19. marta Regulu (ES) 2019/473 par Eiropas Zivsaimniecības kontroles aģentūru</w:t>
      </w:r>
      <w:r w:rsidRPr="00276B3F">
        <w:rPr>
          <w:rStyle w:val="FootnoteReference"/>
        </w:rPr>
        <w:footnoteReference w:id="9"/>
      </w:r>
      <w:r w:rsidRPr="00276B3F">
        <w:t xml:space="preserve"> un jo īpaši tās 45. pantu,</w:t>
      </w:r>
    </w:p>
    <w:p w:rsidR="001B0E0B" w:rsidRPr="00276B3F" w:rsidRDefault="001B0E0B" w:rsidP="001B0E0B">
      <w:pPr>
        <w:pStyle w:val="NormalHanging12a"/>
      </w:pPr>
      <w:r w:rsidRPr="00276B3F">
        <w:t>–</w:t>
      </w:r>
      <w:r w:rsidRPr="00276B3F">
        <w:tab/>
        <w:t xml:space="preserve">ņemot vērā Komisijas 2018. gada 18. decembra Deleģēto regulu (ES) 2019/715 par finanšu </w:t>
      </w:r>
      <w:proofErr w:type="spellStart"/>
      <w:r w:rsidRPr="00276B3F">
        <w:t>pamatregulu</w:t>
      </w:r>
      <w:proofErr w:type="spellEnd"/>
      <w:r w:rsidRPr="00276B3F">
        <w:t xml:space="preserve"> struktūrām, kas izveidotas saskaņā ar LESD un </w:t>
      </w:r>
      <w:r w:rsidRPr="00276B3F">
        <w:rPr>
          <w:i/>
        </w:rPr>
        <w:t>Euratom</w:t>
      </w:r>
      <w:r w:rsidRPr="00276B3F">
        <w:t xml:space="preserve"> līgumu un minētas Eiropas Parlamenta un Padomes Regulas (ES, </w:t>
      </w:r>
      <w:r w:rsidRPr="00276B3F">
        <w:rPr>
          <w:i/>
        </w:rPr>
        <w:t>Euratom</w:t>
      </w:r>
      <w:r w:rsidRPr="00276B3F">
        <w:t>) 2018/1046 70. pantā</w:t>
      </w:r>
      <w:r w:rsidRPr="00276B3F">
        <w:rPr>
          <w:rStyle w:val="FootnoteReference"/>
        </w:rPr>
        <w:footnoteReference w:id="10"/>
      </w:r>
      <w:r w:rsidRPr="00276B3F">
        <w:t>, un jo īpaši tās 105. pantu,</w:t>
      </w:r>
    </w:p>
    <w:p w:rsidR="001B0E0B" w:rsidRPr="00276B3F" w:rsidRDefault="001B0E0B" w:rsidP="001B0E0B">
      <w:pPr>
        <w:pStyle w:val="NormalHanging12a"/>
      </w:pPr>
      <w:r w:rsidRPr="00276B3F">
        <w:t>–</w:t>
      </w:r>
      <w:r w:rsidRPr="00276B3F">
        <w:tab/>
        <w:t>ņemot vērā Reglamenta 100. pantu un V pielikumu,</w:t>
      </w:r>
    </w:p>
    <w:p w:rsidR="001B0E0B" w:rsidRPr="00276B3F" w:rsidRDefault="001B0E0B" w:rsidP="001B0E0B">
      <w:pPr>
        <w:pStyle w:val="NormalHanging12a"/>
      </w:pPr>
      <w:r w:rsidRPr="00276B3F">
        <w:t>–</w:t>
      </w:r>
      <w:r w:rsidRPr="00276B3F">
        <w:tab/>
        <w:t>ņemot vērā Zivsaimniecības komitejas atzinumu,</w:t>
      </w:r>
    </w:p>
    <w:p w:rsidR="001B0E0B" w:rsidRPr="00276B3F" w:rsidRDefault="001B0E0B" w:rsidP="001B0E0B">
      <w:pPr>
        <w:pStyle w:val="NormalHanging12a"/>
      </w:pPr>
      <w:r w:rsidRPr="00276B3F">
        <w:t>–</w:t>
      </w:r>
      <w:r w:rsidRPr="00276B3F">
        <w:tab/>
        <w:t>ņemot vērā Budžeta kontroles komitejas ziņojumu (A9</w:t>
      </w:r>
      <w:r w:rsidRPr="00276B3F">
        <w:noBreakHyphen/>
        <w:t>0100/2024),</w:t>
      </w:r>
    </w:p>
    <w:p w:rsidR="001B0E0B" w:rsidRPr="00276B3F" w:rsidRDefault="001B0E0B" w:rsidP="001B0E0B">
      <w:pPr>
        <w:pStyle w:val="NormalHanging12a"/>
        <w:tabs>
          <w:tab w:val="left" w:pos="851"/>
        </w:tabs>
      </w:pPr>
      <w:r w:rsidRPr="00276B3F">
        <w:t>1.</w:t>
      </w:r>
      <w:r w:rsidRPr="00276B3F">
        <w:tab/>
        <w:t>apstiprina Eiropas Zivsaimniecības kontroles aģentūras 2022. finanšu gada pārskatus;</w:t>
      </w:r>
    </w:p>
    <w:p w:rsidR="001B0E0B" w:rsidRPr="00276B3F" w:rsidRDefault="001B0E0B" w:rsidP="001B0E0B">
      <w:pPr>
        <w:pStyle w:val="NormalHanging12a"/>
      </w:pPr>
      <w:r w:rsidRPr="00276B3F">
        <w:t>2.</w:t>
      </w:r>
      <w:r w:rsidRPr="00276B3F">
        <w:tab/>
        <w:t xml:space="preserve">uzdod priekšsēdētājai šo lēmumu nosūtīt Eiropas Zivsaimniecības kontroles aģentūras izpilddirektorei, Padomei, Komisijai un Revīzijas palātai un nodrošināt tā publicēšanu </w:t>
      </w:r>
      <w:r w:rsidRPr="00276B3F">
        <w:rPr>
          <w:i/>
        </w:rPr>
        <w:t>Eiropas Savienības Oficiālajā Vēstnesī</w:t>
      </w:r>
      <w:r w:rsidRPr="00276B3F">
        <w:t xml:space="preserve"> (L sērijā).</w:t>
      </w:r>
    </w:p>
    <w:p w:rsidR="001B0E0B" w:rsidRPr="00276B3F" w:rsidRDefault="001B0E0B" w:rsidP="001B0E0B"/>
    <w:p w:rsidR="001B0E0B" w:rsidRPr="00276B3F" w:rsidRDefault="001B0E0B" w:rsidP="001B0E0B">
      <w:pPr>
        <w:pStyle w:val="PageHeading"/>
        <w:sectPr w:rsidR="001B0E0B" w:rsidRPr="00276B3F" w:rsidSect="00A95BE6">
          <w:footnotePr>
            <w:numRestart w:val="eachPage"/>
          </w:footnotePr>
          <w:endnotePr>
            <w:numFmt w:val="decimal"/>
          </w:endnotePr>
          <w:pgSz w:w="11906" w:h="16838" w:code="9"/>
          <w:pgMar w:top="1134" w:right="1418" w:bottom="1418" w:left="1418" w:header="567" w:footer="567" w:gutter="0"/>
          <w:cols w:space="720"/>
          <w:noEndnote/>
          <w:docGrid w:linePitch="326"/>
        </w:sectPr>
      </w:pPr>
    </w:p>
    <w:p w:rsidR="001B0E0B" w:rsidRPr="00276B3F" w:rsidRDefault="00F933BE" w:rsidP="001B0E0B">
      <w:pPr>
        <w:pStyle w:val="NormalBold"/>
      </w:pPr>
      <w:bookmarkStart w:id="9" w:name="_Toc161658291"/>
      <w:r w:rsidRPr="00276B3F">
        <w:t xml:space="preserve">3. Eiropas Parlamenta 2024. gada 11. aprīļa rezolūcija </w:t>
      </w:r>
      <w:bookmarkEnd w:id="9"/>
      <w:r w:rsidR="001B0E0B" w:rsidRPr="00276B3F">
        <w:t>ar konstatējumiem, kas ir neatņemama daļa no lēmuma par Eiropas Zivsaimniecības kontroles aģentūras 2022. finanšu gada budžeta izpildes apstiprināšanu</w:t>
      </w:r>
      <w:r w:rsidRPr="00276B3F">
        <w:t xml:space="preserve"> </w:t>
      </w:r>
      <w:r w:rsidR="001B0E0B" w:rsidRPr="00276B3F">
        <w:t>(2023/2150(DEC))</w:t>
      </w:r>
    </w:p>
    <w:p w:rsidR="001B0E0B" w:rsidRPr="00276B3F" w:rsidRDefault="001B0E0B" w:rsidP="001B0E0B">
      <w:pPr>
        <w:pStyle w:val="EPComma"/>
      </w:pPr>
      <w:r w:rsidRPr="00276B3F">
        <w:rPr>
          <w:i/>
        </w:rPr>
        <w:t>Eiropas Parlaments</w:t>
      </w:r>
      <w:r w:rsidRPr="00276B3F">
        <w:t>,</w:t>
      </w:r>
    </w:p>
    <w:p w:rsidR="001B0E0B" w:rsidRPr="00276B3F" w:rsidRDefault="001B0E0B" w:rsidP="001B0E0B">
      <w:pPr>
        <w:pStyle w:val="NormalHanging12a"/>
      </w:pPr>
      <w:r w:rsidRPr="00276B3F">
        <w:t>–</w:t>
      </w:r>
      <w:r w:rsidRPr="00276B3F">
        <w:tab/>
        <w:t>ņemot vērā lēmumu par Eiropas Zivsaimniecības kontroles aģentūras 2022. finanšu gada budžeta izpildes apstiprināšanu,</w:t>
      </w:r>
    </w:p>
    <w:p w:rsidR="001B0E0B" w:rsidRPr="00276B3F" w:rsidRDefault="001B0E0B" w:rsidP="001B0E0B">
      <w:pPr>
        <w:pStyle w:val="NormalHanging12a"/>
      </w:pPr>
      <w:r w:rsidRPr="00276B3F">
        <w:t>–</w:t>
      </w:r>
      <w:r w:rsidRPr="00276B3F">
        <w:tab/>
        <w:t>ņemot vērā Reglamenta 100. pantu un V pielikumu,</w:t>
      </w:r>
    </w:p>
    <w:p w:rsidR="001B0E0B" w:rsidRPr="00276B3F" w:rsidRDefault="001B0E0B" w:rsidP="001B0E0B">
      <w:pPr>
        <w:pStyle w:val="NormalHanging12a"/>
      </w:pPr>
      <w:r w:rsidRPr="00276B3F">
        <w:t>–</w:t>
      </w:r>
      <w:r w:rsidRPr="00276B3F">
        <w:tab/>
        <w:t>ņemot vērā Zivsaimniecības komitejas atzinumu,</w:t>
      </w:r>
    </w:p>
    <w:p w:rsidR="001B0E0B" w:rsidRPr="00276B3F" w:rsidRDefault="001B0E0B" w:rsidP="001B0E0B">
      <w:pPr>
        <w:pStyle w:val="NormalHanging12a"/>
      </w:pPr>
      <w:r w:rsidRPr="00276B3F">
        <w:t>–</w:t>
      </w:r>
      <w:r w:rsidRPr="00276B3F">
        <w:tab/>
        <w:t>ņemot vērā Budžeta kontroles komitejas ziņojumu (A9</w:t>
      </w:r>
      <w:r w:rsidRPr="00276B3F">
        <w:noBreakHyphen/>
        <w:t>0100/2024),</w:t>
      </w:r>
    </w:p>
    <w:p w:rsidR="001B0E0B" w:rsidRPr="00276B3F" w:rsidRDefault="001B0E0B" w:rsidP="001B0E0B">
      <w:pPr>
        <w:widowControl/>
        <w:spacing w:after="240"/>
        <w:ind w:left="567" w:hanging="567"/>
        <w:rPr>
          <w:szCs w:val="24"/>
        </w:rPr>
      </w:pPr>
      <w:r w:rsidRPr="00276B3F">
        <w:t>A.</w:t>
      </w:r>
      <w:r w:rsidRPr="00276B3F">
        <w:tab/>
        <w:t>tā kā saskaņā ar Eiropas Zivsaimniecības kontroles aģentūras (“Aģentūra”) ieņēmumu un izdevumu pārskatu</w:t>
      </w:r>
      <w:r w:rsidRPr="00276B3F">
        <w:rPr>
          <w:szCs w:val="24"/>
          <w:vertAlign w:val="superscript"/>
        </w:rPr>
        <w:footnoteReference w:id="11"/>
      </w:r>
      <w:r w:rsidRPr="00276B3F">
        <w:t xml:space="preserve"> tās 2022. finanšu gada galīgais budžets bija 34 967 797 EUR, t. i., par 61,73 % lielāks nekā 2021. gadā, proti, ES vispārējās dotācijas tika palielinātas par 41 % un būtiski palielinājās piešķirtie ieņēmumi no daudzgadu iemaksu nolīgumiem un dotācijām; tā kā no 2021. gada </w:t>
      </w:r>
      <w:r w:rsidRPr="00276B3F">
        <w:rPr>
          <w:i/>
        </w:rPr>
        <w:t>EFCA</w:t>
      </w:r>
      <w:r w:rsidRPr="00276B3F">
        <w:t xml:space="preserve"> piešķirtā ES papildu subsīdija bija saistīta ar tiesību akta finanšu pārskatu, kurā ņemtas vērā pastiprinātās monitoringa prasības ES ūdeņos, kas robežojas ar Apvienoto Karalisti; tā kā aptuveni 84 % Aģentūras budžeta tiek finansēti no Savienības budžeta un aptuveni 16 % — no piešķirtajiem ieņēmumiem;</w:t>
      </w:r>
    </w:p>
    <w:p w:rsidR="001B0E0B" w:rsidRPr="00276B3F" w:rsidRDefault="001B0E0B" w:rsidP="001B0E0B">
      <w:pPr>
        <w:widowControl/>
        <w:spacing w:after="240"/>
        <w:ind w:left="567" w:hanging="567"/>
        <w:rPr>
          <w:szCs w:val="24"/>
        </w:rPr>
      </w:pPr>
      <w:r w:rsidRPr="00276B3F">
        <w:t>B.</w:t>
      </w:r>
      <w:r w:rsidRPr="00276B3F">
        <w:tab/>
        <w:t>tā kā Revīzijas palāta ziņojumā par Aģentūras 2022. finanšu gada pārskatiem (“Revīzijas palātas ziņojums”) norāda, ka tā ir guvusi pamatotu pārliecību par to, ka Aģentūras gada pārskati ir ticami un pakārtotie darījumi ir likumīgi un pareizi,</w:t>
      </w:r>
    </w:p>
    <w:p w:rsidR="001B0E0B" w:rsidRPr="00276B3F" w:rsidRDefault="001B0E0B" w:rsidP="001B0E0B">
      <w:pPr>
        <w:widowControl/>
        <w:spacing w:after="240"/>
        <w:ind w:left="567" w:hanging="567"/>
        <w:rPr>
          <w:b/>
          <w:i/>
          <w:szCs w:val="24"/>
        </w:rPr>
      </w:pPr>
      <w:r w:rsidRPr="00276B3F">
        <w:rPr>
          <w:b/>
          <w:i/>
        </w:rPr>
        <w:t>Budžeta un finanšu pārvaldība</w:t>
      </w:r>
    </w:p>
    <w:p w:rsidR="001B0E0B" w:rsidRPr="00276B3F" w:rsidRDefault="001B0E0B" w:rsidP="001B0E0B">
      <w:pPr>
        <w:widowControl/>
        <w:spacing w:after="240"/>
        <w:ind w:left="567" w:hanging="567"/>
        <w:rPr>
          <w:szCs w:val="24"/>
        </w:rPr>
      </w:pPr>
      <w:r w:rsidRPr="00276B3F">
        <w:t>1.</w:t>
      </w:r>
      <w:r w:rsidRPr="00276B3F">
        <w:tab/>
        <w:t>ar gandarījumu norāda, ka 2022. finanšu gadā veiktās budžeta uzraudzības rezultātā budžeta izpildes līmenis attiecībā uz kārtējā gada saistību apropriācijām bija 99,41 %, t. i., nedaudz (par 0,34 %) augstāks nekā 2021. gadā; norāda, ka kārtējā gada maksājumu apropriāciju izpildes līmenis bija 57,78 %, t. i., par 16,70 % zemāks nekā 2021. gadā;</w:t>
      </w:r>
    </w:p>
    <w:p w:rsidR="001B0E0B" w:rsidRPr="00276B3F" w:rsidRDefault="001B0E0B" w:rsidP="001B0E0B">
      <w:pPr>
        <w:widowControl/>
        <w:spacing w:after="240"/>
        <w:ind w:left="567" w:hanging="567"/>
        <w:rPr>
          <w:szCs w:val="24"/>
        </w:rPr>
      </w:pPr>
      <w:r w:rsidRPr="00276B3F">
        <w:t>2.</w:t>
      </w:r>
      <w:r w:rsidRPr="00276B3F">
        <w:tab/>
        <w:t>ar bažām norāda, ka saskaņā ar Revīzijas palātas sniegto informāciju Aģentūra uz 2023. gadu pārnesa 11,9 miljonus EUR (41 %) no pieejamajām 2022. gada saistību apropriācijām; norāda, ka tas ietvēra 1,6 miljonus EUR (jeb 53 %) no II sadaļas apropriācijām administratīvajām darbībām (2021. gadā – 34 %) un 10,1 miljonu EUR (jeb 63 %) no III sadaļas apropriācijām pamatdarbībām (2021. gadā – 42 %); uzsver, ka augstais pārnesumu līmenis ir pretrunā budžeta gada pārskata principam un norāda uz strukturālām problēmām budžeta procesā un izpildes ciklā; pieņem zināšanai Aģentūras atbildi uz šo jautājumu, kurā uzsvērts, ka lielais pārnesums 2022. gadā ir noticis ļoti īpašu apstākļu dēļ, kurus nav paredzēts atkārtot;</w:t>
      </w:r>
    </w:p>
    <w:p w:rsidR="001B0E0B" w:rsidRPr="00276B3F" w:rsidRDefault="001B0E0B" w:rsidP="001B0E0B">
      <w:pPr>
        <w:pStyle w:val="NormalHanging12a"/>
      </w:pPr>
      <w:r w:rsidRPr="00276B3F">
        <w:t>3.</w:t>
      </w:r>
      <w:r w:rsidRPr="00276B3F">
        <w:tab/>
        <w:t xml:space="preserve">norāda, ka 2022. finanšu gadu iezīmēja atgūšanās no Covid-19 pandēmijas ietekmes iepriekšējos divos finanšu gados, savukārt </w:t>
      </w:r>
      <w:r w:rsidRPr="00276B3F">
        <w:rPr>
          <w:i/>
          <w:iCs/>
        </w:rPr>
        <w:t>EFCA</w:t>
      </w:r>
      <w:r w:rsidRPr="00276B3F">
        <w:t xml:space="preserve"> budžets un resursi turpināja pieaugt un bija paredzēti papildu uzdevumiem un projektiem, kā noteikts tās 2022. gada vienotajā programmdokumentā; norāda, ka karš Ukrainā varētu ietekmēt ne tikai dažu aktīvu un saistību atzīšanu un novērtēšanu bilancē, bet arī dažus ieņēmumus un izdevumus, kas iekļauti finanšu darbības rezultātu pārskatā turpmākajos pārskata periodos;</w:t>
      </w:r>
    </w:p>
    <w:p w:rsidR="001B0E0B" w:rsidRPr="00276B3F" w:rsidRDefault="001B0E0B" w:rsidP="001B0E0B">
      <w:pPr>
        <w:pStyle w:val="NormalHanging12a"/>
      </w:pPr>
      <w:r w:rsidRPr="00276B3F">
        <w:t>4.</w:t>
      </w:r>
      <w:r w:rsidRPr="00276B3F">
        <w:tab/>
        <w:t>uzsver, ka par zvejas darbību kontroli galvenokārt atbild dalībvalstis, savukārt Aģentūras uzdevumi pēc būtības ir atbalstoši; uzsver, ka Savienības zivsaimniecības kontroles sistēmas nesenās pārskatīšanas rezultātā tiks palielināts Aģentūras atbalstošā darba apjoms; uzsver, ka ir svarīgi apzināties — būtu neloģiski paplašināt pienākumus, nepiešķirot pietiekamus resursus to veikšanai; tāpēc uzsver, ka ir jānodrošina, lai turpmākajos gados Aģentūrai būtu pieejami pietiekami finanšu resursi un cilvēkresursi;</w:t>
      </w:r>
    </w:p>
    <w:p w:rsidR="001B0E0B" w:rsidRPr="00276B3F" w:rsidRDefault="001B0E0B" w:rsidP="001B0E0B">
      <w:pPr>
        <w:widowControl/>
        <w:spacing w:after="240"/>
        <w:ind w:left="567" w:hanging="567"/>
        <w:rPr>
          <w:b/>
          <w:i/>
          <w:szCs w:val="24"/>
        </w:rPr>
      </w:pPr>
      <w:r w:rsidRPr="00276B3F">
        <w:rPr>
          <w:b/>
          <w:i/>
        </w:rPr>
        <w:t>Sniegums</w:t>
      </w:r>
    </w:p>
    <w:p w:rsidR="001B0E0B" w:rsidRPr="00276B3F" w:rsidRDefault="001B0E0B" w:rsidP="001B0E0B">
      <w:pPr>
        <w:pStyle w:val="NormalHanging12a"/>
        <w:widowControl/>
      </w:pPr>
      <w:r w:rsidRPr="00276B3F">
        <w:t>5.</w:t>
      </w:r>
      <w:r w:rsidRPr="00276B3F">
        <w:tab/>
        <w:t>atzinīgi vērtē to, ka 2022. gadā Aģentūra īstenoja 95,4 % no gada darba programmas, ko valde pieņēma vienotā programmdokumenta ietvaros;</w:t>
      </w:r>
    </w:p>
    <w:p w:rsidR="001B0E0B" w:rsidRPr="00276B3F" w:rsidRDefault="001B0E0B" w:rsidP="001B0E0B">
      <w:pPr>
        <w:pStyle w:val="NormalHanging12a"/>
        <w:widowControl/>
      </w:pPr>
      <w:r w:rsidRPr="00276B3F">
        <w:t>6.</w:t>
      </w:r>
      <w:r w:rsidRPr="00276B3F">
        <w:tab/>
        <w:t>ar gandarījumu norāda, ka Aģentūra izmanto galvenos snieguma rādītājus, lai novērtētu savu darbību rezultātus divās galvenajās jomās: operatīvās darbības un horizontālās darbības; turklāt atzīst, ka operatīvās darbības aptver tādas svarīgas jomas kā operatīvā sadarbība, palīdzība sadarbībai, starptautiskā dimensija un Savienības sadarbība krasta apsardzes funkciju jomā; pieņem zināšanai, ka horizontālās darbības ietver saziņu un pārstāvību, informācijas un komunikācijas tehnoloģijas un informācijas drošību, kā arī administratīvos un pārvaldības procesus;</w:t>
      </w:r>
    </w:p>
    <w:p w:rsidR="001B0E0B" w:rsidRPr="00276B3F" w:rsidRDefault="001B0E0B" w:rsidP="001B0E0B">
      <w:pPr>
        <w:pStyle w:val="NormalHanging12a"/>
        <w:widowControl/>
      </w:pPr>
      <w:r w:rsidRPr="00276B3F">
        <w:t>7.</w:t>
      </w:r>
      <w:r w:rsidRPr="00276B3F">
        <w:tab/>
        <w:t>konstatē, ka 2022. gadā Aģentūrai tika piešķirti papildu resursi, nodrošinot tai operatīvās spējas, kas vajadzīgas, lai palīdzētu dalībvalstīm un Eiropas Komisijai īstenot uzraudzības, kontroles un pārraudzības režīmu, ko izmanto kopējā zivsaimniecības politikā (KZP), tostarp pasākumos, kas paredzēti ar Apvienoto Karalisti noslēgtajā Tirdzniecības un sadarbības nolīgumā (TSN); turklāt norāda, ka 2022. gadā tika iekļauti trīs jauni projekti, kurus subsidēja ar dotācijām gaidāmā Eiropas Jūrlietu, zivsaimniecības un akvakultūras fonda (EJZAF) ietvaros; konstatē, ka šie projekti ietvēra pētījumu par zvejas produktu svēršanas procesu visā Savienībā, virtuālu reģionālu mācību akadēmiju Vidusjūras rietumu daļā zivsaimniecības kontroles un inspekcijas jomā un rokasgrāmatas un nozaru kvalifikācijas tiešsaistes sistēmas (</w:t>
      </w:r>
      <w:r w:rsidRPr="00276B3F">
        <w:rPr>
          <w:i/>
          <w:iCs/>
        </w:rPr>
        <w:t>SQF</w:t>
      </w:r>
      <w:r w:rsidRPr="00276B3F">
        <w:t>) uzturēšanu attiecībā uz Savienības sadarbību krasta apsardzes funkciju jomā;</w:t>
      </w:r>
    </w:p>
    <w:p w:rsidR="001B0E0B" w:rsidRPr="00276B3F" w:rsidRDefault="001B0E0B" w:rsidP="001B0E0B">
      <w:pPr>
        <w:pStyle w:val="NormalHanging12a"/>
        <w:widowControl/>
      </w:pPr>
      <w:r w:rsidRPr="00276B3F">
        <w:t>8.</w:t>
      </w:r>
      <w:r w:rsidRPr="00276B3F">
        <w:tab/>
        <w:t xml:space="preserve">atgādina, ka Aģentūrai reizi piecos gados ir jāveic neatkarīgs </w:t>
      </w:r>
      <w:proofErr w:type="spellStart"/>
      <w:r w:rsidRPr="00276B3F">
        <w:t>izvērtējums</w:t>
      </w:r>
      <w:proofErr w:type="spellEnd"/>
      <w:r w:rsidRPr="00276B3F">
        <w:t>, ievērojot Eiropas Parlamenta un Padomes Regulas (ES) 2019/473</w:t>
      </w:r>
      <w:r w:rsidRPr="00276B3F">
        <w:rPr>
          <w:rStyle w:val="FootnoteReference"/>
        </w:rPr>
        <w:footnoteReference w:id="12"/>
      </w:r>
      <w:r w:rsidRPr="00276B3F">
        <w:t xml:space="preserve"> 48. pantā noteikto juridisko pienākumu; konstatē, ka par laikposmu no 2017. līdz 2021. gadam ārējais vērtētājs 2022. gada jūlijā nāca klajā ar galīgā ziņojuma projektu, kas tika iesniegts Administratīvās padomes locekļiem komentāru sniegšanai; norāda, ka </w:t>
      </w:r>
      <w:proofErr w:type="spellStart"/>
      <w:r w:rsidRPr="00276B3F">
        <w:t>izvērtējumā</w:t>
      </w:r>
      <w:proofErr w:type="spellEnd"/>
      <w:r w:rsidRPr="00276B3F">
        <w:t xml:space="preserve"> Aģentūras sniegums tika novērtēts pēc pieciem kritērijiem — efektivitātes, lietderības, atbilstības, saskaņotības un Savienības pievienotās vērtības — saskaņā ar Komisijas Labāka regulējuma pamatnostādnēm; uzsver, ka </w:t>
      </w:r>
      <w:proofErr w:type="spellStart"/>
      <w:r w:rsidRPr="00276B3F">
        <w:t>izvērtējumā</w:t>
      </w:r>
      <w:proofErr w:type="spellEnd"/>
      <w:r w:rsidRPr="00276B3F">
        <w:t xml:space="preserve"> ir izklāstīti desmit ieteikumi, kas vērsti uz dažādiem aspektiem, galvenokārt organizatoriska rakstura jautājumiem, lai Aģentūras loma un darbības joprojām būtu piemērotas Regulā (ES) 2019/473 noteikto mērķu sasniegšanai, kā arī konkrētām Aģentūras darbībām;</w:t>
      </w:r>
    </w:p>
    <w:p w:rsidR="001B0E0B" w:rsidRPr="00276B3F" w:rsidRDefault="001B0E0B" w:rsidP="001B0E0B">
      <w:pPr>
        <w:pStyle w:val="NormalHanging12a"/>
      </w:pPr>
      <w:r w:rsidRPr="00276B3F">
        <w:t>9.</w:t>
      </w:r>
      <w:r w:rsidRPr="00276B3F">
        <w:tab/>
        <w:t xml:space="preserve">atgādina par Aģentūras būtisko ieguldījumu KZP īstenošanā, jo īpaši attiecībā uz zivsaimniecības kontroli un cīņu pret nelegālu, nereģistrētu un neregulētu zveju; atzinīgi vērtē Aģentūras fraktēto </w:t>
      </w:r>
      <w:proofErr w:type="spellStart"/>
      <w:r w:rsidRPr="00276B3F">
        <w:t>atkrastes</w:t>
      </w:r>
      <w:proofErr w:type="spellEnd"/>
      <w:r w:rsidRPr="00276B3F">
        <w:t xml:space="preserve"> patruļkuģu stiprināšanu nolūkā veikt zivsaimniecības kontroli un inspekcijas Savienības un starptautiskajos ūdeņos un atbalstīt valstu iestādes; uzsver Aģentūras dalību nozīmīgās starptautiskās koalīcijās pret nelegālu zveju, piemēram, programmas “Labāka reģionālā zivsaimniecības pārvaldība Rietumāfrikā” (</w:t>
      </w:r>
      <w:r w:rsidRPr="00276B3F">
        <w:rPr>
          <w:i/>
          <w:iCs/>
        </w:rPr>
        <w:t>PESCAO</w:t>
      </w:r>
      <w:r w:rsidRPr="00276B3F">
        <w:t>) operācijā;</w:t>
      </w:r>
    </w:p>
    <w:p w:rsidR="001B0E0B" w:rsidRPr="00276B3F" w:rsidRDefault="001B0E0B" w:rsidP="001B0E0B">
      <w:pPr>
        <w:spacing w:after="240"/>
        <w:ind w:left="567" w:hanging="567"/>
      </w:pPr>
      <w:r w:rsidRPr="00276B3F">
        <w:t>10.</w:t>
      </w:r>
      <w:r w:rsidRPr="00276B3F">
        <w:tab/>
        <w:t>norāda, ka 2022. gadā Aģentūra ziņoja par 47 592 inspekcijām (jūrā un krastā), kuru rezultātā tika konstatēti 5 167 iespējami pārkāpumi, proti, tika veikts attiecīgi par 11 % mazāk inspekciju un atklāts par 28 % vairāk iespējamu pārkāpumu nekā 2021. gadā; norāda, ka konstatētais samazinājums ne vienmēr ir saistīts ar dalībvalstu kontroles centienu samazināšanos; aicina Aģentūru sniegt sīkāku informāciju par šo izmaiņu iemesliem; norāda, ka inspekcijām un citiem ar tām saistītiem turpmākiem pasākumiem ir būtiska nozīme ne tikai zivju krājumu pareizā pārvaldībā, bet arī vienlīdzīgu konkurences apstākļu nodrošināšanā Savienības zvejniekiem;</w:t>
      </w:r>
    </w:p>
    <w:p w:rsidR="001B0E0B" w:rsidRPr="00276B3F" w:rsidRDefault="001B0E0B" w:rsidP="001B0E0B">
      <w:pPr>
        <w:pStyle w:val="NormalHanging12a"/>
      </w:pPr>
      <w:r w:rsidRPr="00276B3F">
        <w:t>11.</w:t>
      </w:r>
      <w:r w:rsidRPr="00276B3F">
        <w:tab/>
        <w:t xml:space="preserve">uzsver Aģentūras lomu spēju veidošanas un apmācības piedāvāšanā </w:t>
      </w:r>
      <w:proofErr w:type="spellStart"/>
      <w:r w:rsidRPr="00276B3F">
        <w:t>trešām</w:t>
      </w:r>
      <w:proofErr w:type="spellEnd"/>
      <w:r w:rsidRPr="00276B3F">
        <w:t xml:space="preserve"> valstīm un to, ka Aģentūra pilda ļoti svarīgu uzdevumu, nodrošinot vienlīdzīgus konkurences apstākļus ar visām piekrastes valstīm;</w:t>
      </w:r>
    </w:p>
    <w:p w:rsidR="001B0E0B" w:rsidRPr="00276B3F" w:rsidRDefault="001B0E0B" w:rsidP="001B0E0B">
      <w:pPr>
        <w:widowControl/>
        <w:spacing w:after="240"/>
        <w:ind w:left="567" w:hanging="567"/>
        <w:rPr>
          <w:b/>
          <w:i/>
        </w:rPr>
      </w:pPr>
      <w:r w:rsidRPr="00276B3F">
        <w:rPr>
          <w:b/>
          <w:i/>
        </w:rPr>
        <w:t>Efektivitāte un ieguvumi</w:t>
      </w:r>
    </w:p>
    <w:p w:rsidR="001B0E0B" w:rsidRPr="00276B3F" w:rsidRDefault="001B0E0B" w:rsidP="001B0E0B">
      <w:pPr>
        <w:widowControl/>
        <w:spacing w:after="240"/>
        <w:ind w:left="567" w:hanging="567"/>
      </w:pPr>
      <w:r w:rsidRPr="00276B3F">
        <w:t>12.</w:t>
      </w:r>
      <w:r w:rsidRPr="00276B3F">
        <w:tab/>
        <w:t>uzsver, ka Aģentūra joprojām gūst labumu no efektivitātes uzlabojumiem, kas gūti, ievērojot Komisijas ceļvedi attiecībā uz pašreizējo korporatīvo IT sistēmu izmantošanu (</w:t>
      </w:r>
      <w:r w:rsidRPr="00276B3F">
        <w:rPr>
          <w:i/>
          <w:iCs/>
        </w:rPr>
        <w:t>SUMMA</w:t>
      </w:r>
      <w:r w:rsidRPr="00276B3F">
        <w:t xml:space="preserve">, e-iepirkuma moduļi pirms un pēc līguma slēgšanas tiesību piešķiršanas, </w:t>
      </w:r>
      <w:r w:rsidRPr="00276B3F">
        <w:rPr>
          <w:i/>
          <w:iCs/>
        </w:rPr>
        <w:t>MIPS</w:t>
      </w:r>
      <w:r w:rsidRPr="00276B3F">
        <w:t xml:space="preserve">, </w:t>
      </w:r>
      <w:r w:rsidRPr="00276B3F">
        <w:rPr>
          <w:i/>
          <w:iCs/>
        </w:rPr>
        <w:t>AGM</w:t>
      </w:r>
      <w:r w:rsidRPr="00276B3F">
        <w:t xml:space="preserve">, </w:t>
      </w:r>
      <w:proofErr w:type="spellStart"/>
      <w:r w:rsidRPr="00276B3F">
        <w:rPr>
          <w:i/>
          <w:iCs/>
        </w:rPr>
        <w:t>Sysper</w:t>
      </w:r>
      <w:proofErr w:type="spellEnd"/>
      <w:r w:rsidRPr="00276B3F">
        <w:t xml:space="preserve"> moduļi, </w:t>
      </w:r>
      <w:r w:rsidRPr="00276B3F">
        <w:rPr>
          <w:i/>
          <w:iCs/>
        </w:rPr>
        <w:t>PPMT</w:t>
      </w:r>
      <w:r w:rsidRPr="00276B3F">
        <w:t xml:space="preserve"> u. c.); norāda, ka papildus priekšrocībām, kas konstatētas saistībā ar visu šo sistēmu integrācijas aspektiem, pastāv skaidri ieguvumi, proti, samazinās uzturēšanas izmaksas saistībā ar grozījumu un atjauninājumu atbalstīšanu;</w:t>
      </w:r>
    </w:p>
    <w:p w:rsidR="001B0E0B" w:rsidRPr="00276B3F" w:rsidRDefault="001B0E0B" w:rsidP="001B0E0B">
      <w:pPr>
        <w:widowControl/>
        <w:spacing w:after="240"/>
        <w:ind w:left="567" w:hanging="567"/>
      </w:pPr>
      <w:r w:rsidRPr="00276B3F">
        <w:t>13.</w:t>
      </w:r>
      <w:r w:rsidRPr="00276B3F">
        <w:tab/>
        <w:t xml:space="preserve">atzinīgi vērtē to, ka Aģentūra pieņem uzaicinājumus uz </w:t>
      </w:r>
      <w:proofErr w:type="spellStart"/>
      <w:r w:rsidRPr="00276B3F">
        <w:t>starpiestāžu</w:t>
      </w:r>
      <w:proofErr w:type="spellEnd"/>
      <w:r w:rsidRPr="00276B3F">
        <w:t xml:space="preserve"> konkursiem, kas saņemti no Komisijas un citām aģentūrām; norāda, ka pašlaik Aģentūra izmanto vairāk nekā 45 pamatlīgumus, ko parakstījušas citas struktūras; norāda, ka tādejādi tiek panākts, ka aģentūru vadošā loma tiek rotēta, kas kopumā palielina aģentūru iepirkuma centienu efektivitāti;</w:t>
      </w:r>
    </w:p>
    <w:p w:rsidR="001B0E0B" w:rsidRPr="00276B3F" w:rsidRDefault="001B0E0B" w:rsidP="001B0E0B">
      <w:pPr>
        <w:widowControl/>
        <w:spacing w:after="240"/>
        <w:ind w:left="567" w:hanging="567"/>
      </w:pPr>
      <w:r w:rsidRPr="00276B3F">
        <w:t>14.</w:t>
      </w:r>
      <w:r w:rsidRPr="00276B3F">
        <w:tab/>
        <w:t>vērš uzmanību uz kopīgo administratīvo uzdevumu centralizāciju, kas arī ir veiksmīgi palīdzējusi panākt efektivitāti; pieņem zināšanai, ka finanšu iniciēšana un pārbaude joprojām ir centralizēta, kas ļauj labāk kontrolēt darījumus, vienādojot metodiku un nodrošinot zināšanas šajās jomās;</w:t>
      </w:r>
    </w:p>
    <w:p w:rsidR="001B0E0B" w:rsidRPr="00276B3F" w:rsidRDefault="001B0E0B" w:rsidP="001B0E0B">
      <w:pPr>
        <w:widowControl/>
        <w:spacing w:after="240"/>
        <w:ind w:left="567" w:hanging="567"/>
      </w:pPr>
      <w:r w:rsidRPr="00276B3F">
        <w:t>15.</w:t>
      </w:r>
      <w:r w:rsidRPr="00276B3F">
        <w:tab/>
        <w:t>norāda, ka vēl viens efektivitātes uzlabojums cilvēkresursu jomā ir panākts, kopīgi ar citām aģentūrām izmantojot esošos darbā pieņemšanas procedūru rezerves sarakstus, ja rezerves saraksta profils atbilst pieprasījuma iesniedzējas aģentūras vajadzībām; norāda, ka šāda prakse ļauj izmantot citas aģentūras rezerves sarakstu bez nepieciešamības organizēt jaunu darbā pieņemšanas procedūru, kas prasa lielus resursus;</w:t>
      </w:r>
    </w:p>
    <w:p w:rsidR="001B0E0B" w:rsidRPr="00276B3F" w:rsidRDefault="001B0E0B" w:rsidP="001B0E0B">
      <w:pPr>
        <w:pStyle w:val="NormalHanging12a"/>
      </w:pPr>
      <w:r w:rsidRPr="00276B3F">
        <w:t>16.</w:t>
      </w:r>
      <w:r w:rsidRPr="00276B3F">
        <w:tab/>
        <w:t>pieņem zināšanai, ka Aģentūra turpina sadarboties ar Eiropas Robežu un krasta apsardzes aģentūru (</w:t>
      </w:r>
      <w:proofErr w:type="spellStart"/>
      <w:r w:rsidRPr="00276B3F">
        <w:rPr>
          <w:i/>
          <w:iCs/>
        </w:rPr>
        <w:t>Frontex</w:t>
      </w:r>
      <w:proofErr w:type="spellEnd"/>
      <w:r w:rsidRPr="00276B3F">
        <w:t>) un Eiropas Jūras drošības aģentūru (</w:t>
      </w:r>
      <w:r w:rsidRPr="00276B3F">
        <w:rPr>
          <w:i/>
          <w:iCs/>
        </w:rPr>
        <w:t>EMSA</w:t>
      </w:r>
      <w:r w:rsidRPr="00276B3F">
        <w:t>), atbalstot valsts iestādes, kas pilda krasta apsardzes funkcijas atbilstīgi Regulas (ES) 2019/473 8. pantam; uzskata, ka šī sadarbība ir veiksmīgs paraugs Savienības aģentūru darba sinerģijai, kam būtu jākalpo par iedvesmas avotu aģentūrām citās jomās; aicina Aģentūru turpināt centienus šajā jomā un uzskata, ka būtu lietderīgi pastiprināt arī Aģentūras un Eiropas Vides aģentūras sadarbību;</w:t>
      </w:r>
    </w:p>
    <w:p w:rsidR="001B0E0B" w:rsidRPr="00276B3F" w:rsidRDefault="001B0E0B" w:rsidP="001B0E0B">
      <w:pPr>
        <w:widowControl/>
        <w:spacing w:after="240"/>
        <w:ind w:left="567" w:hanging="567"/>
        <w:rPr>
          <w:b/>
          <w:i/>
          <w:szCs w:val="24"/>
        </w:rPr>
      </w:pPr>
      <w:r w:rsidRPr="00276B3F">
        <w:rPr>
          <w:b/>
          <w:i/>
        </w:rPr>
        <w:t>Personāla politika</w:t>
      </w:r>
    </w:p>
    <w:p w:rsidR="001B0E0B" w:rsidRPr="00276B3F" w:rsidRDefault="001B0E0B" w:rsidP="001B0E0B">
      <w:pPr>
        <w:widowControl/>
        <w:spacing w:after="240"/>
        <w:ind w:left="567" w:hanging="567"/>
        <w:rPr>
          <w:szCs w:val="24"/>
        </w:rPr>
      </w:pPr>
      <w:r w:rsidRPr="00276B3F">
        <w:t>17.</w:t>
      </w:r>
      <w:r w:rsidRPr="00276B3F">
        <w:tab/>
        <w:t xml:space="preserve">norāda, ka 2022. gada 31. decembrī bija aizpildīti 96,10 % no štatu sarakstā paredzētajām štata vietām un darbā bija pieņemti 74 pagaidu darbinieki no Savienības budžetā apstiprinātā 77 pagaidu darbinieka skaita (salīdzinājumā ar 65 apstiprinātajām štata vietām 2021. gadā); norāda, ka 2022. gadā Aģentūrā strādāja arī 11 līgumdarbinieki, seši norīkotie valsts eksperti (NVE) un 16 pagaidu darba aģentūru darbinieki un konsultanti; turklāt norāda, ka vēl kopumā 13 līgumdarbinieki dažādos projektos tika finansēti ar </w:t>
      </w:r>
      <w:proofErr w:type="spellStart"/>
      <w:r w:rsidRPr="00276B3F">
        <w:rPr>
          <w:i/>
          <w:iCs/>
        </w:rPr>
        <w:t>ad</w:t>
      </w:r>
      <w:proofErr w:type="spellEnd"/>
      <w:r w:rsidRPr="00276B3F">
        <w:rPr>
          <w:i/>
          <w:iCs/>
        </w:rPr>
        <w:t xml:space="preserve"> </w:t>
      </w:r>
      <w:proofErr w:type="spellStart"/>
      <w:r w:rsidRPr="00276B3F">
        <w:rPr>
          <w:i/>
          <w:iCs/>
        </w:rPr>
        <w:t>hoc</w:t>
      </w:r>
      <w:proofErr w:type="spellEnd"/>
      <w:r w:rsidRPr="00276B3F">
        <w:t xml:space="preserve"> dotācijām un iemaksu nolīgumiem;</w:t>
      </w:r>
    </w:p>
    <w:p w:rsidR="001B0E0B" w:rsidRPr="00276B3F" w:rsidRDefault="001B0E0B" w:rsidP="001B0E0B">
      <w:pPr>
        <w:widowControl/>
        <w:spacing w:after="240"/>
        <w:ind w:left="567" w:hanging="567"/>
        <w:rPr>
          <w:szCs w:val="24"/>
        </w:rPr>
      </w:pPr>
      <w:r w:rsidRPr="00276B3F">
        <w:t>18.</w:t>
      </w:r>
      <w:r w:rsidRPr="00276B3F">
        <w:tab/>
        <w:t>pieņem zināšanai, ka 2022. gada februārī notika reorganizācija, lai pielāgotu organizāciju papildu uzdevumiem un resursiem, kas Aģentūrai piešķirti tādu operatīvo spēju uzlabošanai, kas vajadzīgas, lai palīdzētu zvejniecību uzraudzības, kontroles un pārraudzības operācijās, kā to paredz KZP, tostarp pasākumos, kas paredzēti ar Apvienoto Karalisti noslēgtajā TSN, un vairākos jaunos projektos saskaņā ar iemaksu nolīgumiem; uzsver, ka darbinieku, tostarp pagaidu darbinieku, līgumdarbinieku un NVE, skaits palielinājās gandrīz par 50 % salīdzinājumā ar situāciju 2021. gada sākumā;</w:t>
      </w:r>
    </w:p>
    <w:p w:rsidR="001B0E0B" w:rsidRPr="00276B3F" w:rsidRDefault="001B0E0B" w:rsidP="001B0E0B">
      <w:pPr>
        <w:pStyle w:val="NormalHanging12a"/>
      </w:pPr>
      <w:r w:rsidRPr="00276B3F">
        <w:t>19.</w:t>
      </w:r>
      <w:r w:rsidRPr="00276B3F">
        <w:tab/>
        <w:t>pieņem zināšanai Aģentūras politiku vienlīdzīgas attieksmes pret personālu veicināšanai un mērķi panākt dzimumu līdzsvaru gan darbinieku skaita, gan amata pakāpes un atbildības līmeņa ziņā; pieņem zināšanai dzimumu sadalījumu Aģentūras kopējā darbinieku skaitā, proti, to, ka 54 no 106 darbiniekiem (51 %) bija sievietes; pauž nožēlu, ka 38 % no AD 8 pakāpes (administratora funkciju grupa, 8. pakāpe) un augstākas pakāpes darbiniekiem bija sievietes (tāpat kā 2021. gadā); atgādina, ka ir svarīgi nodrošināt dzimumu līdzsvaru, un aicina Aģentūru ņemt vērā šo aspektu, ieceļot amatā augstākā un vidējā līmeņa vadītājus; norāda, ka, lai gan Aģentūra 2022. gadā nav pieņēmusi Daudzveidības un iekļaušanas hartu, tā veica darbības, lai sasniegtu ilgtspējīgas attīstības 5. mērķi “Dzimumu līdztiesība”, kā norādīts Aģentūras mērķos;</w:t>
      </w:r>
    </w:p>
    <w:p w:rsidR="001B0E0B" w:rsidRPr="00276B3F" w:rsidRDefault="001B0E0B" w:rsidP="001B0E0B">
      <w:pPr>
        <w:pStyle w:val="NormalHanging12a"/>
      </w:pPr>
      <w:r w:rsidRPr="00276B3F">
        <w:t>20.</w:t>
      </w:r>
      <w:r w:rsidRPr="00276B3F">
        <w:tab/>
        <w:t xml:space="preserve">norāda, ka 2022. gada 31. decembrī Aģentūrā bija nodarbināti darbinieki no 18 dalībvalstīm; norāda, ka 33 % Aģentūras darbinieku ir tās dalībvalsts </w:t>
      </w:r>
      <w:proofErr w:type="spellStart"/>
      <w:r w:rsidRPr="00276B3F">
        <w:t>valstspiederīgie</w:t>
      </w:r>
      <w:proofErr w:type="spellEnd"/>
      <w:r w:rsidRPr="00276B3F">
        <w:t>, kurā tā atrodas; atgādina, cik svarīgs ir ģeogrāfiskais līdzsvars, un mudina Aģentūru turpināt veikt nepieciešamos pasākumus, lai nodrošinātu līdzsvarotu un taisnīgu ģeogrāfisko pārstāvību;</w:t>
      </w:r>
    </w:p>
    <w:p w:rsidR="001B0E0B" w:rsidRPr="00276B3F" w:rsidRDefault="001B0E0B" w:rsidP="001B0E0B">
      <w:pPr>
        <w:pStyle w:val="NormalHanging12a"/>
        <w:widowControl/>
      </w:pPr>
      <w:r w:rsidRPr="00276B3F">
        <w:t>21.</w:t>
      </w:r>
      <w:r w:rsidRPr="00276B3F">
        <w:tab/>
        <w:t xml:space="preserve">pieņem zināšanai, ka kopš 2022. gada 1. oktobra Aģentūra pēc analoģijas piemēro Komisijas noteikumus par darba laiku un </w:t>
      </w:r>
      <w:proofErr w:type="spellStart"/>
      <w:r w:rsidRPr="00276B3F">
        <w:t>hibrīddarbu</w:t>
      </w:r>
      <w:proofErr w:type="spellEnd"/>
      <w:r w:rsidRPr="00276B3F">
        <w:t>;</w:t>
      </w:r>
    </w:p>
    <w:p w:rsidR="001B0E0B" w:rsidRPr="00276B3F" w:rsidRDefault="001B0E0B" w:rsidP="001B0E0B">
      <w:pPr>
        <w:pStyle w:val="NormalHanging12a"/>
        <w:widowControl/>
      </w:pPr>
      <w:r w:rsidRPr="00276B3F">
        <w:t>22.</w:t>
      </w:r>
      <w:r w:rsidRPr="00276B3F">
        <w:tab/>
        <w:t xml:space="preserve">konstatē, ka 2022. gadā </w:t>
      </w:r>
      <w:proofErr w:type="spellStart"/>
      <w:r w:rsidRPr="00276B3F">
        <w:rPr>
          <w:i/>
        </w:rPr>
        <w:t>Sysper</w:t>
      </w:r>
      <w:proofErr w:type="spellEnd"/>
      <w:r w:rsidRPr="00276B3F">
        <w:t xml:space="preserve"> moduļu īstenošana ietvēra </w:t>
      </w:r>
      <w:r w:rsidRPr="00276B3F">
        <w:rPr>
          <w:i/>
        </w:rPr>
        <w:t>CCP</w:t>
      </w:r>
      <w:r w:rsidRPr="00276B3F">
        <w:t xml:space="preserve"> funkcijas “Atvaļinājums personisku iemeslu dēļ” ieviešanu, “NDP </w:t>
      </w:r>
      <w:proofErr w:type="spellStart"/>
      <w:r w:rsidRPr="00276B3F">
        <w:t>Payslips</w:t>
      </w:r>
      <w:proofErr w:type="spellEnd"/>
      <w:r w:rsidRPr="00276B3F">
        <w:t xml:space="preserve">” pievienošanu pagaidu darbiniekiem un līgumdarbiniekiem, tādas jaunas funkcijas ieviešanu, kas ļauj pieprasīt tāldarbu no ārvalstīm (epizodisks tāldarbs) pagaidu darbiniekiem un līgumdarbiniekiem, kā arī </w:t>
      </w:r>
      <w:r w:rsidRPr="00276B3F">
        <w:rPr>
          <w:i/>
        </w:rPr>
        <w:t>ADI</w:t>
      </w:r>
      <w:r w:rsidRPr="00276B3F">
        <w:t xml:space="preserve"> pagaidu darbplūsmu; turklāt tika ieviestas tādas </w:t>
      </w:r>
      <w:proofErr w:type="spellStart"/>
      <w:r w:rsidRPr="00276B3F">
        <w:rPr>
          <w:i/>
        </w:rPr>
        <w:t>Sysper</w:t>
      </w:r>
      <w:proofErr w:type="spellEnd"/>
      <w:r w:rsidRPr="00276B3F">
        <w:t xml:space="preserve"> funkcijas, kas saistītas ar jaunu noteikumu īstenošanu par darba laiku un </w:t>
      </w:r>
      <w:proofErr w:type="spellStart"/>
      <w:r w:rsidRPr="00276B3F">
        <w:t>hibrīddarbu</w:t>
      </w:r>
      <w:proofErr w:type="spellEnd"/>
      <w:r w:rsidRPr="00276B3F">
        <w:t xml:space="preserve">, tika ieviests </w:t>
      </w:r>
      <w:r w:rsidRPr="00276B3F">
        <w:rPr>
          <w:i/>
        </w:rPr>
        <w:t>STAGE</w:t>
      </w:r>
      <w:r w:rsidRPr="00276B3F">
        <w:t xml:space="preserve"> modulis un veikts sagatavošanās darbs </w:t>
      </w:r>
      <w:r w:rsidRPr="00276B3F">
        <w:rPr>
          <w:i/>
        </w:rPr>
        <w:t>EVAL</w:t>
      </w:r>
      <w:r w:rsidRPr="00276B3F">
        <w:t xml:space="preserve"> un </w:t>
      </w:r>
      <w:r w:rsidRPr="00276B3F">
        <w:rPr>
          <w:i/>
        </w:rPr>
        <w:t>OBJ</w:t>
      </w:r>
      <w:r w:rsidRPr="00276B3F">
        <w:t xml:space="preserve"> moduļiem;</w:t>
      </w:r>
    </w:p>
    <w:p w:rsidR="001B0E0B" w:rsidRPr="00276B3F" w:rsidRDefault="001B0E0B" w:rsidP="001B0E0B">
      <w:pPr>
        <w:pStyle w:val="NormalHanging12a"/>
        <w:rPr>
          <w:b/>
          <w:i/>
          <w:szCs w:val="24"/>
        </w:rPr>
      </w:pPr>
      <w:proofErr w:type="spellStart"/>
      <w:r w:rsidRPr="00276B3F">
        <w:rPr>
          <w:b/>
          <w:i/>
        </w:rPr>
        <w:t>Pārredzamība</w:t>
      </w:r>
      <w:proofErr w:type="spellEnd"/>
      <w:r w:rsidRPr="00276B3F">
        <w:rPr>
          <w:b/>
          <w:i/>
        </w:rPr>
        <w:t xml:space="preserve"> un interešu konfliktu novēršana un pārvaldība</w:t>
      </w:r>
    </w:p>
    <w:p w:rsidR="001B0E0B" w:rsidRPr="00276B3F" w:rsidRDefault="001B0E0B" w:rsidP="001B0E0B">
      <w:pPr>
        <w:pStyle w:val="NormalHanging12a"/>
        <w:rPr>
          <w:szCs w:val="24"/>
        </w:rPr>
      </w:pPr>
      <w:r w:rsidRPr="00276B3F">
        <w:t>23.</w:t>
      </w:r>
      <w:r w:rsidRPr="00276B3F">
        <w:tab/>
        <w:t xml:space="preserve">ir informēta, ka Aģentūra savā tīmekļa vietnē publicē valdes locekļu un augstākā līmeņa vadītāju interešu deklarācijas un dzīves aprakstus (CV); turklāt norāda, ka Aģentūra regulāri atjaunina tabulu, kurā sniegta informācija par visām Aģentūras izpilddirektores un darbinieku sanāksmēm ar organizācijām vai </w:t>
      </w:r>
      <w:proofErr w:type="spellStart"/>
      <w:r w:rsidRPr="00276B3F">
        <w:t>pašnodarbinātām</w:t>
      </w:r>
      <w:proofErr w:type="spellEnd"/>
      <w:r w:rsidRPr="00276B3F">
        <w:t xml:space="preserve"> personām, kas iesaistītas Savienības politikas veidošanā un īstenošanā, lai tādējādi nodrošinātu pilnīgu </w:t>
      </w:r>
      <w:proofErr w:type="spellStart"/>
      <w:r w:rsidRPr="00276B3F">
        <w:t>pārredzamību</w:t>
      </w:r>
      <w:proofErr w:type="spellEnd"/>
      <w:r w:rsidRPr="00276B3F">
        <w:t xml:space="preserve"> un uzticēšanos Aģentūras darbībai, un minētā tabula ir pieejama Aģentūras tīmekļa vietnē;</w:t>
      </w:r>
    </w:p>
    <w:p w:rsidR="001B0E0B" w:rsidRPr="00276B3F" w:rsidRDefault="001B0E0B" w:rsidP="001B0E0B">
      <w:pPr>
        <w:pStyle w:val="NormalHanging12a"/>
      </w:pPr>
      <w:r w:rsidRPr="00276B3F">
        <w:t>24.</w:t>
      </w:r>
      <w:r w:rsidRPr="00276B3F">
        <w:tab/>
        <w:t xml:space="preserve">aicina Aģentūru arī turpmāk regulāri atjaunināt un publiskot informāciju par attiecīgajām izpilddirektores un darbinieku sanāksmēm ar organizācijām vai </w:t>
      </w:r>
      <w:proofErr w:type="spellStart"/>
      <w:r w:rsidRPr="00276B3F">
        <w:t>pašnodarbinātām</w:t>
      </w:r>
      <w:proofErr w:type="spellEnd"/>
      <w:r w:rsidRPr="00276B3F">
        <w:t xml:space="preserve"> personām, kas iesaistītas ES politikas izstrādē un īstenošanā, lai tādējādi nodrošinātu pilnīgu </w:t>
      </w:r>
      <w:proofErr w:type="spellStart"/>
      <w:r w:rsidRPr="00276B3F">
        <w:t>pārredzamību</w:t>
      </w:r>
      <w:proofErr w:type="spellEnd"/>
      <w:r w:rsidRPr="00276B3F">
        <w:t xml:space="preserve"> un uzticēšanos Aģentūras darbībai;</w:t>
      </w:r>
    </w:p>
    <w:p w:rsidR="001B0E0B" w:rsidRPr="00276B3F" w:rsidRDefault="001B0E0B" w:rsidP="001B0E0B">
      <w:pPr>
        <w:pStyle w:val="NormalHanging12a"/>
        <w:rPr>
          <w:szCs w:val="24"/>
        </w:rPr>
      </w:pPr>
      <w:r w:rsidRPr="00276B3F">
        <w:t>25.</w:t>
      </w:r>
      <w:r w:rsidRPr="00276B3F">
        <w:tab/>
        <w:t>pieņem zināšanai, ka Aģentūra piemēro interešu konfliktu novēršanas politiku saviem darbiniekiem, NVE, atalgotiem ārējiem ekspertiem, praktikantiem un Administratīvās un Konsultatīvās padomes locekļiem; norāda, ka darbinieki par to tiek informēti, izmantojot iekštīklu un mācības, un ka darbinieki un eksperti apņemas to ievērot, parakstot deklarācijas un apņemšanās ievērot konfidencialitāti; turklāt norāda, ka Aģentūras līgumu vispārīgajos nosacījumos ir paredzēti īpaši noteikumi par Aģentūras līgumslēdzēju, tostarp pagaidu darba aģentūras darbinieku, kas sniedz pakalpojumus, interešu konfliktu;</w:t>
      </w:r>
    </w:p>
    <w:p w:rsidR="001B0E0B" w:rsidRPr="00276B3F" w:rsidRDefault="001B0E0B" w:rsidP="001B0E0B">
      <w:pPr>
        <w:pStyle w:val="NormalHanging12a"/>
        <w:rPr>
          <w:szCs w:val="24"/>
        </w:rPr>
      </w:pPr>
      <w:r w:rsidRPr="00276B3F">
        <w:t>26.</w:t>
      </w:r>
      <w:r w:rsidRPr="00276B3F">
        <w:tab/>
        <w:t>pieņem zināšanai, ka Aģentūra kopš 2014. gada ir ieviesusi krāpšanas apkarošanas stratēģiju, kuru regulāri atjaunina un kurā pašlaik galvenā uzmanība pievērsta pasākumu īstenošanai ar mērķi mazināt riska novērtējumos konstatētos krāpšanas riskus; norāda, ka Administratīvās padomes apstiprinātajā jaunākajā atjauninājumā 2022. gadā ir uzsvērti pastāvīgie centieni palielināt informētību par ētiku un godprātību;</w:t>
      </w:r>
    </w:p>
    <w:p w:rsidR="001B0E0B" w:rsidRPr="00276B3F" w:rsidRDefault="001B0E0B" w:rsidP="001B0E0B">
      <w:pPr>
        <w:widowControl/>
        <w:spacing w:after="240"/>
        <w:ind w:left="567" w:hanging="567"/>
        <w:rPr>
          <w:szCs w:val="24"/>
        </w:rPr>
      </w:pPr>
      <w:r w:rsidRPr="00276B3F">
        <w:rPr>
          <w:b/>
          <w:i/>
        </w:rPr>
        <w:t>Iepirkums</w:t>
      </w:r>
    </w:p>
    <w:p w:rsidR="001B0E0B" w:rsidRPr="00276B3F" w:rsidRDefault="001B0E0B" w:rsidP="001B0E0B">
      <w:pPr>
        <w:widowControl/>
        <w:spacing w:after="240"/>
        <w:ind w:left="567" w:hanging="567"/>
        <w:rPr>
          <w:szCs w:val="24"/>
        </w:rPr>
      </w:pPr>
      <w:r w:rsidRPr="00276B3F">
        <w:t>27.</w:t>
      </w:r>
      <w:r w:rsidRPr="00276B3F">
        <w:tab/>
        <w:t xml:space="preserve">pieņem zināšanai, ka saskaņā ar Revīzijas palātas ziņojumu Aģentūra 2022. gadā parakstīja 90 miljonu EUR vērtu pamatlīgumu par trīs </w:t>
      </w:r>
      <w:proofErr w:type="spellStart"/>
      <w:r w:rsidRPr="00276B3F">
        <w:t>atkrastes</w:t>
      </w:r>
      <w:proofErr w:type="spellEnd"/>
      <w:r w:rsidRPr="00276B3F">
        <w:t xml:space="preserve"> patruļkuģu fraktēšanu, kura sākotnējais termiņš bija 24 mēneši un kuru bija paredzēts automātiski atjaunot četras reizes – katru reizi vēl uz 12 mēnešiem, kopā līdz sešiem gadiem; atgādina, ka Eiropas Parlamenta un Padomes Regulas (ES,</w:t>
      </w:r>
      <w:r w:rsidRPr="00276B3F">
        <w:rPr>
          <w:i/>
          <w:iCs/>
        </w:rPr>
        <w:t xml:space="preserve"> Euratom</w:t>
      </w:r>
      <w:r w:rsidRPr="00276B3F">
        <w:t>) 2018/1046</w:t>
      </w:r>
      <w:r w:rsidRPr="00276B3F">
        <w:rPr>
          <w:rStyle w:val="FootnoteReference"/>
          <w:szCs w:val="24"/>
        </w:rPr>
        <w:footnoteReference w:id="13"/>
      </w:r>
      <w:r w:rsidRPr="00276B3F">
        <w:t xml:space="preserve"> (Finanšu regula) 1. pielikuma 1.1. punktā ir atļauti pamatlīgumi, kuru termiņš pārsniedz četrus gadus, bet tikai pienācīgi pamatotos izņēmuma gadījumos; norāda, ka Aģentūra pamatoja ilgāko līgumu ar nepieciešamību nodrošināt pienācīgu peļņu no kapitāla ieguldījuma darbuzņēmējiem, kuriem kuģi bija aprīko ar stingra korpusa piepūšamām laivām; turklāt norāda, ka Revīzijas palāta šo pamatojumu neuzskatīja par pietiekamu, jo pielāgošanas izmaksas tika lēstas tikai aptuveni 1 % apmērā no līguma kopējās vērtības un turklāt Aģentūra saglabāja iespēju vienpusēji izbeigt līgumu pēc pirmajiem diviem gadiem un pēc katra nākamā gada, kas apgāž argumentu, ka darbuzņēmējam bija vajadzīgs garantēts sešu gadu līguma termiņš, lai nodrošinātu peļņu no kapitāla ieguldījuma; uzsver, ka Revīzijas palāta uzskatīs turpmākos saistītos maksājumus par nepareiziem, ja līgums tiks pagarināts, pārsniedzot četru gadu termiņu; konstatē, ka pēc Aģentūras sniegtās informācijas Aģentūra, gatavojot procedūru, uzskatīja, ka parasto četru gadu līguma termiņu tirgū varētu neuzskatīt par tādu, kas nodrošina peļņu no kapitāla ieguldījuma un ka attiecīgajā pamatlīgumā paredzētā pakalpojumu sniegšana un nepārtrauktība ir ļoti svarīga tās pamatdarbībām;</w:t>
      </w:r>
    </w:p>
    <w:p w:rsidR="001B0E0B" w:rsidRPr="00276B3F" w:rsidRDefault="001B0E0B" w:rsidP="001B0E0B">
      <w:pPr>
        <w:widowControl/>
        <w:spacing w:after="240"/>
        <w:ind w:left="567" w:hanging="567"/>
        <w:rPr>
          <w:szCs w:val="24"/>
        </w:rPr>
      </w:pPr>
      <w:r w:rsidRPr="00276B3F">
        <w:t>28.</w:t>
      </w:r>
      <w:r w:rsidRPr="00276B3F">
        <w:tab/>
        <w:t xml:space="preserve">atgādina, ka ir svarīgi visās publiskā iepirkuma procedūrās nodrošināt godīgu konkurenci starp pretendentiem un iepirkt preces un pakalpojumus par vislabāko cenu, ievērojot </w:t>
      </w:r>
      <w:proofErr w:type="spellStart"/>
      <w:r w:rsidRPr="00276B3F">
        <w:t>pārredzamības</w:t>
      </w:r>
      <w:proofErr w:type="spellEnd"/>
      <w:r w:rsidRPr="00276B3F">
        <w:t>, proporcionalitātes, vienlīdzīgas attieksmes un nediskriminēšanas principu; aicina Aģentūru uzlabot savas publiskā iepirkuma procedūras, nodrošinot pilnīgu atbilstību piemērojamajiem noteikumiem, lai panāktu optimālu ieguldīto publisko resursu atdevi;</w:t>
      </w:r>
    </w:p>
    <w:p w:rsidR="001B0E0B" w:rsidRPr="00276B3F" w:rsidRDefault="001B0E0B" w:rsidP="001B0E0B">
      <w:pPr>
        <w:widowControl/>
        <w:spacing w:after="240"/>
        <w:ind w:left="567" w:hanging="567"/>
        <w:rPr>
          <w:b/>
          <w:i/>
          <w:szCs w:val="24"/>
        </w:rPr>
      </w:pPr>
      <w:r w:rsidRPr="00276B3F">
        <w:rPr>
          <w:b/>
          <w:i/>
        </w:rPr>
        <w:t>Iekšējā kontrole</w:t>
      </w:r>
    </w:p>
    <w:p w:rsidR="001B0E0B" w:rsidRPr="00276B3F" w:rsidRDefault="001B0E0B" w:rsidP="001B0E0B">
      <w:pPr>
        <w:widowControl/>
        <w:spacing w:after="240"/>
        <w:ind w:left="567" w:hanging="567"/>
        <w:rPr>
          <w:szCs w:val="24"/>
        </w:rPr>
      </w:pPr>
      <w:r w:rsidRPr="00276B3F">
        <w:t>29.</w:t>
      </w:r>
      <w:r w:rsidRPr="00276B3F">
        <w:tab/>
        <w:t xml:space="preserve">pauž bažas par Revīzijas palātas konstatējumu, ka procedūrās, ko izmanto ārējo ekspertu atlasei un līgumu slēgšanai, sistemātiski netiek nodrošināta pietiekama revīzijas izsekojamība, kas prasīta Finanšu regulas 36. panta 3. punktā; norāda, ka, konkrēti, nevarēja iegūt pietiekamus pierādījumus tam, ka eksperti tika norīkoti veikt uzdevumus, pamatojoties uz iepriekš noteiktiem atlases kritērijiem, kas saistīti ar viņu relatīvajiem nopelniem, un ka bija ievēroti Finanšu regulas 237. pantā izklāstītie nediskriminēšanas un vienlīdzīgas attieksmes principi; aicina Aģentūru stiprināt iekšējos procesus ārējo ekspertu atlasei un līgumu slēgšanai un ziņot budžeta izpildes </w:t>
      </w:r>
      <w:proofErr w:type="spellStart"/>
      <w:r w:rsidRPr="00276B3F">
        <w:t>apstiprinātājiestādei</w:t>
      </w:r>
      <w:proofErr w:type="spellEnd"/>
      <w:r w:rsidRPr="00276B3F">
        <w:t xml:space="preserve"> par visiem šajā sakarā veiktajiem pasākumiem;</w:t>
      </w:r>
    </w:p>
    <w:p w:rsidR="001B0E0B" w:rsidRPr="00276B3F" w:rsidRDefault="001B0E0B" w:rsidP="001B0E0B">
      <w:pPr>
        <w:widowControl/>
        <w:spacing w:after="240"/>
        <w:ind w:left="567" w:hanging="567"/>
        <w:rPr>
          <w:szCs w:val="24"/>
        </w:rPr>
      </w:pPr>
      <w:r w:rsidRPr="00276B3F">
        <w:t>30.</w:t>
      </w:r>
      <w:r w:rsidRPr="00276B3F">
        <w:tab/>
        <w:t xml:space="preserve">ar bažām norāda, ka saskaņā ar Revīzijas palātas sniegto informāciju Aģentūra 2022. gada maijā sāka sarunu procedūru, iepriekš nepublicējot paziņojumu par līgumu attiecībā uz tā </w:t>
      </w:r>
      <w:proofErr w:type="spellStart"/>
      <w:r w:rsidRPr="00276B3F">
        <w:t>atkrastes</w:t>
      </w:r>
      <w:proofErr w:type="spellEnd"/>
      <w:r w:rsidRPr="00276B3F">
        <w:t xml:space="preserve"> patruļkuģa nomu, ko paredzēts izmantot ūdeņos starp Savienību un Apvienoto Karalisti, un 2022. gada jūnijā parakstīja līgumu, lai nodrošinātu pāreju starp iepriekšējiem un gaidāmajiem līgumiem saskaņā ar notiekošo atklāto procedūru, kas bija ilgāka, nekā sākotnēji paredzēts; pieņem zināšanai, ka Aģentūra pamatoja steidzamību ar Finanšu regulā paredzētu izņēmumu, atsaucoties uz neparedzētiem notikumiem, kas ir Finanšu regulas I pielikuma 11.1. punkta c) apakšpunktā atļautais izņēmums; norāda uz Revīzijas palātas secinājumu, ka daži no faktoriem, kas izraisīja šo steidzamību, varēja nebūt paredzami, tomēr daži citi faktori bija paredzami, un tas, ka tie netika pienācīgi ņemti vērā, liecina par nepilnībām Aģentūras plānošanā un šo trīs kuģu fraktēšanas iepirkuma pārvaldībā; aicina Aģentūru risināt un novērst nepilnības tās plānošanā un iepirkuma pārvaldībā, kuras norādījusi Revīzijas palāta, un pēc iespējas ātrāk ziņot budžeta izpildes </w:t>
      </w:r>
      <w:proofErr w:type="spellStart"/>
      <w:r w:rsidRPr="00276B3F">
        <w:t>apstiprinātājiestādei</w:t>
      </w:r>
      <w:proofErr w:type="spellEnd"/>
      <w:r w:rsidRPr="00276B3F">
        <w:t xml:space="preserve"> par šajā sakarā veiktajiem pasākumiem;</w:t>
      </w:r>
    </w:p>
    <w:p w:rsidR="001B0E0B" w:rsidRPr="00276B3F" w:rsidRDefault="001B0E0B" w:rsidP="001B0E0B">
      <w:pPr>
        <w:widowControl/>
        <w:spacing w:after="240"/>
        <w:ind w:left="567" w:hanging="567"/>
        <w:rPr>
          <w:b/>
          <w:i/>
          <w:szCs w:val="24"/>
        </w:rPr>
      </w:pPr>
      <w:r w:rsidRPr="00276B3F">
        <w:rPr>
          <w:b/>
          <w:i/>
        </w:rPr>
        <w:t>Citi komentāri</w:t>
      </w:r>
    </w:p>
    <w:p w:rsidR="001B0E0B" w:rsidRPr="00276B3F" w:rsidRDefault="001B0E0B" w:rsidP="001B0E0B">
      <w:pPr>
        <w:pStyle w:val="NormalHanging12a"/>
      </w:pPr>
      <w:r w:rsidRPr="00276B3F">
        <w:t>31.</w:t>
      </w:r>
      <w:r w:rsidRPr="00276B3F">
        <w:tab/>
        <w:t>pieņem zināšanai, ka Aģentūra nav īstenojusi vides vadības un audita sistēmas (</w:t>
      </w:r>
      <w:r w:rsidRPr="00276B3F">
        <w:rPr>
          <w:i/>
        </w:rPr>
        <w:t>EMAS</w:t>
      </w:r>
      <w:r w:rsidRPr="00276B3F">
        <w:t>) sertifikāciju, jo tās centieni ir vērsti uz citu projektu atbalstīšanu;</w:t>
      </w:r>
      <w:r w:rsidRPr="00276B3F">
        <w:rPr>
          <w:rFonts w:ascii="Segoe UI" w:hAnsi="Segoe UI"/>
          <w:color w:val="374151"/>
        </w:rPr>
        <w:t xml:space="preserve"> </w:t>
      </w:r>
      <w:r w:rsidRPr="00276B3F">
        <w:t xml:space="preserve">atgādina, ka šīs sistēmas mērķis ir veicināt pastāvīgus uzlabojumus organizāciju </w:t>
      </w:r>
      <w:proofErr w:type="spellStart"/>
      <w:r w:rsidRPr="00276B3F">
        <w:t>vidiskajā</w:t>
      </w:r>
      <w:proofErr w:type="spellEnd"/>
      <w:r w:rsidRPr="00276B3F">
        <w:t xml:space="preserve"> sniegumā; mudina Aģentūru veikt pasākumus </w:t>
      </w:r>
      <w:r w:rsidRPr="00276B3F">
        <w:rPr>
          <w:i/>
        </w:rPr>
        <w:t>EMAS</w:t>
      </w:r>
      <w:r w:rsidRPr="00276B3F">
        <w:t xml:space="preserve"> īstenošanai;</w:t>
      </w:r>
    </w:p>
    <w:p w:rsidR="001B0E0B" w:rsidRPr="00276B3F" w:rsidRDefault="001B0E0B" w:rsidP="001B0E0B">
      <w:pPr>
        <w:pStyle w:val="NormalCenter12a"/>
      </w:pPr>
      <w:r w:rsidRPr="00276B3F">
        <w:t>°</w:t>
      </w:r>
    </w:p>
    <w:p w:rsidR="001B0E0B" w:rsidRPr="00276B3F" w:rsidRDefault="001B0E0B" w:rsidP="001B0E0B">
      <w:pPr>
        <w:pStyle w:val="NormalCenter12a"/>
      </w:pPr>
      <w:r w:rsidRPr="00276B3F">
        <w:t>°</w:t>
      </w:r>
      <w:r w:rsidRPr="00276B3F">
        <w:tab/>
        <w:t>°</w:t>
      </w:r>
    </w:p>
    <w:p w:rsidR="00E365E1" w:rsidRPr="00276B3F" w:rsidRDefault="001B0E0B" w:rsidP="00276B3F">
      <w:pPr>
        <w:ind w:left="567" w:hanging="567"/>
      </w:pPr>
      <w:r w:rsidRPr="00276B3F">
        <w:t>32.</w:t>
      </w:r>
      <w:r w:rsidRPr="00276B3F">
        <w:tab/>
        <w:t xml:space="preserve">attiecībā uz pārējiem horizontāla rakstura konstatējumiem, kas pievienoti lēmumam par budžeta izpildes apstiprināšanu, atsaucas uz </w:t>
      </w:r>
      <w:r w:rsidR="00F933BE" w:rsidRPr="00276B3F">
        <w:t xml:space="preserve">2024. gada 11. aprīļa </w:t>
      </w:r>
      <w:r w:rsidRPr="00276B3F">
        <w:t>rezolūciju par aģentūru sniegumu, finanšu pārvaldību un kontroli</w:t>
      </w:r>
      <w:r w:rsidRPr="00276B3F">
        <w:rPr>
          <w:rStyle w:val="FootnoteReference"/>
        </w:rPr>
        <w:footnoteReference w:id="14"/>
      </w:r>
      <w:r w:rsidRPr="00276B3F">
        <w:t>.</w:t>
      </w:r>
      <w:bookmarkStart w:id="11" w:name="TextBodyEnd"/>
      <w:bookmarkEnd w:id="11"/>
    </w:p>
    <w:sectPr w:rsidR="00E365E1" w:rsidRPr="00276B3F" w:rsidSect="00A95BE6">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4E58" w:rsidRPr="00A95BE6" w:rsidRDefault="00C44E58">
      <w:r w:rsidRPr="00A95BE6">
        <w:separator/>
      </w:r>
    </w:p>
  </w:endnote>
  <w:endnote w:type="continuationSeparator" w:id="0">
    <w:p w:rsidR="00C44E58" w:rsidRPr="00A95BE6" w:rsidRDefault="00C44E58">
      <w:r w:rsidRPr="00A95B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E0B" w:rsidRPr="00A95BE6" w:rsidRDefault="001B0E0B" w:rsidP="00CF6884">
    <w:pPr>
      <w:pStyle w:val="EPFooter"/>
    </w:pPr>
    <w:r w:rsidRPr="00A95BE6">
      <w:t>PE</w:t>
    </w:r>
    <w:r w:rsidRPr="00A95BE6">
      <w:rPr>
        <w:rStyle w:val="HideTWBExt"/>
      </w:rPr>
      <w:t>&lt;NoPE&gt;</w:t>
    </w:r>
    <w:r w:rsidRPr="00A95BE6">
      <w:t>753.518</w:t>
    </w:r>
    <w:r w:rsidRPr="00A95BE6">
      <w:rPr>
        <w:rStyle w:val="HideTWBExt"/>
      </w:rPr>
      <w:t>&lt;/NoPE&gt;&lt;Version&gt;</w:t>
    </w:r>
    <w:r w:rsidRPr="00A95BE6">
      <w:t>v02-00</w:t>
    </w:r>
    <w:r w:rsidRPr="00A95BE6">
      <w:rPr>
        <w:rStyle w:val="HideTWBExt"/>
      </w:rPr>
      <w:t>&lt;/Version&gt;</w:t>
    </w:r>
    <w:r w:rsidRPr="00A95BE6">
      <w:tab/>
    </w:r>
    <w:r w:rsidRPr="00A95BE6">
      <w:fldChar w:fldCharType="begin"/>
    </w:r>
    <w:r w:rsidRPr="00A95BE6">
      <w:instrText xml:space="preserve"> PAGE  \* MERGEFORMAT </w:instrText>
    </w:r>
    <w:r w:rsidRPr="00A95BE6">
      <w:fldChar w:fldCharType="separate"/>
    </w:r>
    <w:r w:rsidRPr="00A95BE6">
      <w:rPr>
        <w:noProof/>
      </w:rPr>
      <w:t>4</w:t>
    </w:r>
    <w:r w:rsidRPr="00A95BE6">
      <w:fldChar w:fldCharType="end"/>
    </w:r>
    <w:r w:rsidRPr="00A95BE6">
      <w:t>/</w:t>
    </w:r>
    <w:r w:rsidR="007F0087">
      <w:fldChar w:fldCharType="begin"/>
    </w:r>
    <w:r w:rsidR="007F0087">
      <w:instrText xml:space="preserve"> NUMPAGES  \* MERGEFORMAT </w:instrText>
    </w:r>
    <w:r w:rsidR="007F0087">
      <w:fldChar w:fldCharType="separate"/>
    </w:r>
    <w:r w:rsidRPr="00A95BE6">
      <w:rPr>
        <w:noProof/>
      </w:rPr>
      <w:t>4</w:t>
    </w:r>
    <w:r w:rsidR="007F0087">
      <w:rPr>
        <w:noProof/>
      </w:rPr>
      <w:fldChar w:fldCharType="end"/>
    </w:r>
    <w:r w:rsidRPr="00A95BE6">
      <w:tab/>
    </w:r>
    <w:r w:rsidRPr="00A95BE6">
      <w:rPr>
        <w:rStyle w:val="HideTWBExt"/>
      </w:rPr>
      <w:t>&lt;PathFdR&gt;</w:t>
    </w:r>
    <w:r w:rsidRPr="00A95BE6">
      <w:t>RR\1298773LV.docx</w:t>
    </w:r>
    <w:r w:rsidRPr="00A95BE6">
      <w:rPr>
        <w:rStyle w:val="HideTWBExt"/>
      </w:rPr>
      <w:t>&lt;/PathFdR&gt;</w:t>
    </w:r>
  </w:p>
  <w:p w:rsidR="001B0E0B" w:rsidRPr="00A95BE6" w:rsidRDefault="001B0E0B" w:rsidP="00CF6884">
    <w:pPr>
      <w:pStyle w:val="EPFooter2"/>
    </w:pPr>
    <w:r w:rsidRPr="00A95BE6">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E0B" w:rsidRPr="00A95BE6" w:rsidRDefault="001B0E0B" w:rsidP="00CF688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E0B" w:rsidRPr="00A95BE6" w:rsidRDefault="001B0E0B" w:rsidP="00CF6884">
    <w:pPr>
      <w:pStyle w:val="EPFooter"/>
    </w:pPr>
    <w:r w:rsidRPr="00A95BE6">
      <w:rPr>
        <w:rStyle w:val="HideTWBExt"/>
      </w:rPr>
      <w:t>&lt;PathFdR&gt;</w:t>
    </w:r>
    <w:r w:rsidRPr="00A95BE6">
      <w:t>RR\1298773LV.docx</w:t>
    </w:r>
    <w:r w:rsidRPr="00A95BE6">
      <w:rPr>
        <w:rStyle w:val="HideTWBExt"/>
      </w:rPr>
      <w:t>&lt;/PathFdR&gt;</w:t>
    </w:r>
    <w:r w:rsidRPr="00A95BE6">
      <w:tab/>
    </w:r>
    <w:r w:rsidRPr="00A95BE6">
      <w:tab/>
      <w:t>PE</w:t>
    </w:r>
    <w:r w:rsidRPr="00A95BE6">
      <w:rPr>
        <w:rStyle w:val="HideTWBExt"/>
      </w:rPr>
      <w:t>&lt;NoPE&gt;</w:t>
    </w:r>
    <w:r w:rsidRPr="00A95BE6">
      <w:t>753.518</w:t>
    </w:r>
    <w:r w:rsidRPr="00A95BE6">
      <w:rPr>
        <w:rStyle w:val="HideTWBExt"/>
      </w:rPr>
      <w:t>&lt;/NoPE&gt;&lt;Version&gt;</w:t>
    </w:r>
    <w:r w:rsidRPr="00A95BE6">
      <w:t>v02-00</w:t>
    </w:r>
    <w:r w:rsidRPr="00A95BE6">
      <w:rPr>
        <w:rStyle w:val="HideTWBExt"/>
      </w:rPr>
      <w:t>&lt;/Version&gt;</w:t>
    </w:r>
  </w:p>
  <w:p w:rsidR="001B0E0B" w:rsidRPr="00A95BE6" w:rsidRDefault="001B0E0B" w:rsidP="00CF6884">
    <w:pPr>
      <w:pStyle w:val="EPFooter2"/>
    </w:pPr>
    <w:r w:rsidRPr="00A95BE6">
      <w:t>LV</w:t>
    </w:r>
    <w:r w:rsidRPr="00A95BE6">
      <w:tab/>
    </w:r>
    <w:r w:rsidRPr="00A95BE6">
      <w:rPr>
        <w:b w:val="0"/>
        <w:i/>
        <w:color w:val="C0C0C0"/>
        <w:sz w:val="22"/>
      </w:rPr>
      <w:t>Vienoti daudzveidībā</w:t>
    </w:r>
    <w:r w:rsidRPr="00A95BE6">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BE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BE6"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B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4E58" w:rsidRPr="00A95BE6" w:rsidRDefault="00C44E58">
      <w:r w:rsidRPr="00A95BE6">
        <w:separator/>
      </w:r>
    </w:p>
  </w:footnote>
  <w:footnote w:type="continuationSeparator" w:id="0">
    <w:p w:rsidR="00C44E58" w:rsidRPr="00A95BE6" w:rsidRDefault="00C44E58">
      <w:r w:rsidRPr="00A95BE6">
        <w:continuationSeparator/>
      </w:r>
    </w:p>
  </w:footnote>
  <w:footnote w:id="1">
    <w:p w:rsidR="001B0E0B" w:rsidRPr="00A95BE6" w:rsidRDefault="001B0E0B" w:rsidP="00A95BE6">
      <w:pPr>
        <w:pStyle w:val="FootnoteText"/>
        <w:ind w:left="567" w:hanging="567"/>
        <w:rPr>
          <w:sz w:val="24"/>
          <w:lang w:val="lv-LV"/>
        </w:rPr>
      </w:pPr>
      <w:r w:rsidRPr="00A95BE6">
        <w:rPr>
          <w:rStyle w:val="FootnoteReference"/>
          <w:sz w:val="24"/>
          <w:lang w:val="lv-LV"/>
        </w:rPr>
        <w:footnoteRef/>
      </w:r>
      <w:r w:rsidR="00A95BE6" w:rsidRPr="00A95BE6">
        <w:rPr>
          <w:sz w:val="24"/>
          <w:lang w:val="lv-LV"/>
        </w:rPr>
        <w:t xml:space="preserve"> </w:t>
      </w:r>
      <w:r w:rsidR="00A95BE6" w:rsidRPr="00A95BE6">
        <w:rPr>
          <w:sz w:val="24"/>
          <w:lang w:val="lv-LV"/>
        </w:rPr>
        <w:tab/>
      </w:r>
      <w:r w:rsidRPr="00A95BE6">
        <w:rPr>
          <w:sz w:val="24"/>
          <w:lang w:val="lv-LV"/>
        </w:rPr>
        <w:t>OV C, C/2023/594, 27.10.2023.</w:t>
      </w:r>
    </w:p>
  </w:footnote>
  <w:footnote w:id="2">
    <w:p w:rsidR="001B0E0B" w:rsidRPr="00A95BE6" w:rsidRDefault="001B0E0B" w:rsidP="00A95BE6">
      <w:pPr>
        <w:pStyle w:val="FootnoteText"/>
        <w:ind w:left="567" w:hanging="567"/>
        <w:rPr>
          <w:sz w:val="24"/>
          <w:lang w:val="lv-LV"/>
        </w:rPr>
      </w:pPr>
      <w:r w:rsidRPr="00A95BE6">
        <w:rPr>
          <w:rStyle w:val="FootnoteReference"/>
          <w:sz w:val="24"/>
          <w:lang w:val="lv-LV"/>
        </w:rPr>
        <w:footnoteRef/>
      </w:r>
      <w:r w:rsidR="00A95BE6" w:rsidRPr="00A95BE6">
        <w:rPr>
          <w:sz w:val="24"/>
          <w:lang w:val="lv-LV"/>
        </w:rPr>
        <w:t xml:space="preserve"> </w:t>
      </w:r>
      <w:r w:rsidR="00A95BE6" w:rsidRPr="00A95BE6">
        <w:rPr>
          <w:sz w:val="24"/>
          <w:lang w:val="lv-LV"/>
        </w:rPr>
        <w:tab/>
      </w:r>
      <w:r w:rsidRPr="00A95BE6">
        <w:rPr>
          <w:sz w:val="24"/>
          <w:lang w:val="lv-LV"/>
        </w:rPr>
        <w:t>OV C, C/2023/112, 12.10.2023.</w:t>
      </w:r>
    </w:p>
  </w:footnote>
  <w:footnote w:id="3">
    <w:p w:rsidR="001B0E0B" w:rsidRPr="00A95BE6" w:rsidRDefault="001B0E0B" w:rsidP="00A95BE6">
      <w:pPr>
        <w:pStyle w:val="FootnoteText"/>
        <w:ind w:left="567" w:hanging="567"/>
        <w:rPr>
          <w:sz w:val="24"/>
          <w:lang w:val="lv-LV"/>
        </w:rPr>
      </w:pPr>
      <w:r w:rsidRPr="00A95BE6">
        <w:rPr>
          <w:rStyle w:val="FootnoteReference"/>
          <w:sz w:val="24"/>
          <w:lang w:val="lv-LV"/>
        </w:rPr>
        <w:footnoteRef/>
      </w:r>
      <w:r w:rsidR="00A95BE6" w:rsidRPr="00A95BE6">
        <w:rPr>
          <w:sz w:val="24"/>
          <w:lang w:val="lv-LV"/>
        </w:rPr>
        <w:t xml:space="preserve"> </w:t>
      </w:r>
      <w:r w:rsidR="00A95BE6" w:rsidRPr="00A95BE6">
        <w:rPr>
          <w:sz w:val="24"/>
          <w:lang w:val="lv-LV"/>
        </w:rPr>
        <w:tab/>
      </w:r>
      <w:r w:rsidRPr="00A95BE6">
        <w:rPr>
          <w:sz w:val="24"/>
          <w:lang w:val="lv-LV"/>
        </w:rPr>
        <w:t>OV L 193, 30.7.2018., 1. lpp.</w:t>
      </w:r>
    </w:p>
  </w:footnote>
  <w:footnote w:id="4">
    <w:p w:rsidR="001B0E0B" w:rsidRPr="00A95BE6" w:rsidRDefault="001B0E0B" w:rsidP="00A95BE6">
      <w:pPr>
        <w:pStyle w:val="FootnoteText"/>
        <w:ind w:left="567" w:hanging="567"/>
        <w:rPr>
          <w:sz w:val="24"/>
          <w:lang w:val="lv-LV"/>
        </w:rPr>
      </w:pPr>
      <w:r w:rsidRPr="00A95BE6">
        <w:rPr>
          <w:rStyle w:val="FootnoteReference"/>
          <w:sz w:val="24"/>
          <w:lang w:val="lv-LV"/>
        </w:rPr>
        <w:footnoteRef/>
      </w:r>
      <w:r w:rsidR="00A95BE6" w:rsidRPr="00A95BE6">
        <w:rPr>
          <w:sz w:val="24"/>
          <w:lang w:val="lv-LV"/>
        </w:rPr>
        <w:t xml:space="preserve"> </w:t>
      </w:r>
      <w:r w:rsidR="00A95BE6" w:rsidRPr="00A95BE6">
        <w:rPr>
          <w:sz w:val="24"/>
          <w:lang w:val="lv-LV"/>
        </w:rPr>
        <w:tab/>
      </w:r>
      <w:r w:rsidRPr="00A95BE6">
        <w:rPr>
          <w:sz w:val="24"/>
          <w:lang w:val="lv-LV"/>
        </w:rPr>
        <w:t>OV L 83, 25.3.2019., 18. lpp.</w:t>
      </w:r>
    </w:p>
  </w:footnote>
  <w:footnote w:id="5">
    <w:p w:rsidR="001B0E0B" w:rsidRPr="00A95BE6" w:rsidRDefault="001B0E0B" w:rsidP="00A95BE6">
      <w:pPr>
        <w:pStyle w:val="FootnoteText"/>
        <w:ind w:left="567" w:hanging="567"/>
        <w:rPr>
          <w:sz w:val="24"/>
          <w:lang w:val="lv-LV"/>
        </w:rPr>
      </w:pPr>
      <w:r w:rsidRPr="00A95BE6">
        <w:rPr>
          <w:rStyle w:val="FootnoteReference"/>
          <w:sz w:val="24"/>
          <w:lang w:val="lv-LV"/>
        </w:rPr>
        <w:footnoteRef/>
      </w:r>
      <w:r w:rsidR="00A95BE6" w:rsidRPr="00A95BE6">
        <w:rPr>
          <w:sz w:val="24"/>
          <w:lang w:val="lv-LV"/>
        </w:rPr>
        <w:t xml:space="preserve"> </w:t>
      </w:r>
      <w:r w:rsidR="00A95BE6" w:rsidRPr="00A95BE6">
        <w:rPr>
          <w:sz w:val="24"/>
          <w:lang w:val="lv-LV"/>
        </w:rPr>
        <w:tab/>
      </w:r>
      <w:r w:rsidRPr="00A95BE6">
        <w:rPr>
          <w:sz w:val="24"/>
          <w:lang w:val="lv-LV"/>
        </w:rPr>
        <w:t>OV L 122, 10.5.2019., 1. lpp.</w:t>
      </w:r>
    </w:p>
  </w:footnote>
  <w:footnote w:id="6">
    <w:p w:rsidR="001B0E0B" w:rsidRPr="00A95BE6" w:rsidRDefault="001B0E0B" w:rsidP="00A95BE6">
      <w:pPr>
        <w:pStyle w:val="FootnoteText"/>
        <w:ind w:left="567" w:hanging="567"/>
        <w:rPr>
          <w:sz w:val="24"/>
          <w:lang w:val="lv-LV"/>
        </w:rPr>
      </w:pPr>
      <w:r w:rsidRPr="00A95BE6">
        <w:rPr>
          <w:rStyle w:val="FootnoteReference"/>
          <w:sz w:val="24"/>
          <w:lang w:val="lv-LV"/>
        </w:rPr>
        <w:footnoteRef/>
      </w:r>
      <w:r w:rsidR="00A95BE6" w:rsidRPr="00A95BE6">
        <w:rPr>
          <w:sz w:val="24"/>
          <w:lang w:val="lv-LV"/>
        </w:rPr>
        <w:t xml:space="preserve"> </w:t>
      </w:r>
      <w:r w:rsidR="00A95BE6" w:rsidRPr="00A95BE6">
        <w:rPr>
          <w:sz w:val="24"/>
          <w:lang w:val="lv-LV"/>
        </w:rPr>
        <w:tab/>
      </w:r>
      <w:r w:rsidRPr="00A95BE6">
        <w:rPr>
          <w:sz w:val="24"/>
          <w:lang w:val="lv-LV"/>
        </w:rPr>
        <w:t>OV C, C/2023/594, 27.10.2023.</w:t>
      </w:r>
    </w:p>
  </w:footnote>
  <w:footnote w:id="7">
    <w:p w:rsidR="001B0E0B" w:rsidRPr="00A95BE6" w:rsidRDefault="001B0E0B" w:rsidP="00A95BE6">
      <w:pPr>
        <w:pStyle w:val="FootnoteText"/>
        <w:ind w:left="567" w:hanging="567"/>
        <w:rPr>
          <w:sz w:val="24"/>
          <w:lang w:val="lv-LV"/>
        </w:rPr>
      </w:pPr>
      <w:r w:rsidRPr="00A95BE6">
        <w:rPr>
          <w:rStyle w:val="FootnoteReference"/>
          <w:sz w:val="24"/>
          <w:lang w:val="lv-LV"/>
        </w:rPr>
        <w:footnoteRef/>
      </w:r>
      <w:r w:rsidR="00A95BE6" w:rsidRPr="00A95BE6">
        <w:rPr>
          <w:sz w:val="24"/>
          <w:lang w:val="lv-LV"/>
        </w:rPr>
        <w:t xml:space="preserve"> </w:t>
      </w:r>
      <w:r w:rsidR="00A95BE6" w:rsidRPr="00A95BE6">
        <w:rPr>
          <w:sz w:val="24"/>
          <w:lang w:val="lv-LV"/>
        </w:rPr>
        <w:tab/>
      </w:r>
      <w:r w:rsidRPr="00A95BE6">
        <w:rPr>
          <w:sz w:val="24"/>
          <w:lang w:val="lv-LV"/>
        </w:rPr>
        <w:t>OV C, C/2023/112, 12.10.2023.</w:t>
      </w:r>
    </w:p>
  </w:footnote>
  <w:footnote w:id="8">
    <w:p w:rsidR="001B0E0B" w:rsidRPr="00A95BE6" w:rsidRDefault="001B0E0B" w:rsidP="00A95BE6">
      <w:pPr>
        <w:pStyle w:val="FootnoteText"/>
        <w:ind w:left="567" w:hanging="567"/>
        <w:rPr>
          <w:sz w:val="24"/>
          <w:lang w:val="lv-LV"/>
        </w:rPr>
      </w:pPr>
      <w:r w:rsidRPr="00A95BE6">
        <w:rPr>
          <w:rStyle w:val="FootnoteReference"/>
          <w:sz w:val="24"/>
          <w:lang w:val="lv-LV"/>
        </w:rPr>
        <w:footnoteRef/>
      </w:r>
      <w:r w:rsidR="00A95BE6" w:rsidRPr="00A95BE6">
        <w:rPr>
          <w:sz w:val="24"/>
          <w:lang w:val="lv-LV"/>
        </w:rPr>
        <w:t xml:space="preserve"> </w:t>
      </w:r>
      <w:r w:rsidR="00A95BE6" w:rsidRPr="00A95BE6">
        <w:rPr>
          <w:sz w:val="24"/>
          <w:lang w:val="lv-LV"/>
        </w:rPr>
        <w:tab/>
      </w:r>
      <w:r w:rsidRPr="00A95BE6">
        <w:rPr>
          <w:sz w:val="24"/>
          <w:lang w:val="lv-LV"/>
        </w:rPr>
        <w:t>OV L 193, 30.7.2018., 1. lpp.</w:t>
      </w:r>
    </w:p>
  </w:footnote>
  <w:footnote w:id="9">
    <w:p w:rsidR="001B0E0B" w:rsidRPr="00A95BE6" w:rsidRDefault="001B0E0B" w:rsidP="00A95BE6">
      <w:pPr>
        <w:pStyle w:val="FootnoteText"/>
        <w:ind w:left="567" w:hanging="567"/>
        <w:rPr>
          <w:sz w:val="24"/>
          <w:lang w:val="lv-LV"/>
        </w:rPr>
      </w:pPr>
      <w:r w:rsidRPr="00A95BE6">
        <w:rPr>
          <w:rStyle w:val="FootnoteReference"/>
          <w:sz w:val="24"/>
          <w:lang w:val="lv-LV"/>
        </w:rPr>
        <w:footnoteRef/>
      </w:r>
      <w:r w:rsidR="00A95BE6" w:rsidRPr="00A95BE6">
        <w:rPr>
          <w:sz w:val="24"/>
          <w:lang w:val="lv-LV"/>
        </w:rPr>
        <w:t xml:space="preserve"> </w:t>
      </w:r>
      <w:r w:rsidR="00A95BE6" w:rsidRPr="00A95BE6">
        <w:rPr>
          <w:sz w:val="24"/>
          <w:lang w:val="lv-LV"/>
        </w:rPr>
        <w:tab/>
      </w:r>
      <w:r w:rsidRPr="00A95BE6">
        <w:rPr>
          <w:sz w:val="24"/>
          <w:lang w:val="lv-LV"/>
        </w:rPr>
        <w:t>OV L 83, 25.3.2019., 18. lpp.</w:t>
      </w:r>
    </w:p>
  </w:footnote>
  <w:footnote w:id="10">
    <w:p w:rsidR="001B0E0B" w:rsidRPr="00A95BE6" w:rsidRDefault="001B0E0B" w:rsidP="00A95BE6">
      <w:pPr>
        <w:pStyle w:val="FootnoteText"/>
        <w:ind w:left="567" w:hanging="567"/>
        <w:rPr>
          <w:sz w:val="24"/>
          <w:lang w:val="lv-LV"/>
        </w:rPr>
      </w:pPr>
      <w:r w:rsidRPr="00A95BE6">
        <w:rPr>
          <w:rStyle w:val="FootnoteReference"/>
          <w:sz w:val="24"/>
          <w:lang w:val="lv-LV"/>
        </w:rPr>
        <w:footnoteRef/>
      </w:r>
      <w:r w:rsidR="00A95BE6" w:rsidRPr="00A95BE6">
        <w:rPr>
          <w:sz w:val="24"/>
          <w:lang w:val="lv-LV"/>
        </w:rPr>
        <w:t xml:space="preserve"> </w:t>
      </w:r>
      <w:r w:rsidR="00A95BE6" w:rsidRPr="00A95BE6">
        <w:rPr>
          <w:sz w:val="24"/>
          <w:lang w:val="lv-LV"/>
        </w:rPr>
        <w:tab/>
      </w:r>
      <w:r w:rsidRPr="00A95BE6">
        <w:rPr>
          <w:sz w:val="24"/>
          <w:lang w:val="lv-LV"/>
        </w:rPr>
        <w:t>OV L 122, 10.5.2019., 1. lpp.</w:t>
      </w:r>
    </w:p>
  </w:footnote>
  <w:footnote w:id="11">
    <w:p w:rsidR="001B0E0B" w:rsidRPr="00A95BE6" w:rsidRDefault="001B0E0B" w:rsidP="00A95BE6">
      <w:pPr>
        <w:pStyle w:val="FootnoteText"/>
        <w:ind w:left="567" w:hanging="567"/>
        <w:rPr>
          <w:sz w:val="24"/>
          <w:lang w:val="lv-LV"/>
        </w:rPr>
      </w:pPr>
      <w:r w:rsidRPr="00A95BE6">
        <w:rPr>
          <w:rStyle w:val="FootnoteReference"/>
          <w:sz w:val="24"/>
          <w:lang w:val="lv-LV"/>
        </w:rPr>
        <w:footnoteRef/>
      </w:r>
      <w:r w:rsidR="00A95BE6" w:rsidRPr="00A95BE6">
        <w:rPr>
          <w:sz w:val="24"/>
          <w:lang w:val="lv-LV"/>
        </w:rPr>
        <w:t xml:space="preserve"> </w:t>
      </w:r>
      <w:r w:rsidR="00A95BE6" w:rsidRPr="00A95BE6">
        <w:rPr>
          <w:sz w:val="24"/>
          <w:lang w:val="lv-LV"/>
        </w:rPr>
        <w:tab/>
      </w:r>
      <w:r w:rsidRPr="00A95BE6">
        <w:rPr>
          <w:sz w:val="24"/>
          <w:lang w:val="lv-LV"/>
        </w:rPr>
        <w:t>OV C 38, 31.1.2023., 65. lpp.</w:t>
      </w:r>
    </w:p>
  </w:footnote>
  <w:footnote w:id="12">
    <w:p w:rsidR="001B0E0B" w:rsidRPr="00A95BE6" w:rsidRDefault="001B0E0B" w:rsidP="00A95BE6">
      <w:pPr>
        <w:pStyle w:val="FootnoteText"/>
        <w:ind w:left="567" w:hanging="567"/>
        <w:rPr>
          <w:sz w:val="24"/>
          <w:lang w:val="lv-LV"/>
        </w:rPr>
      </w:pPr>
      <w:r w:rsidRPr="00A95BE6">
        <w:rPr>
          <w:rStyle w:val="FootnoteReference"/>
          <w:sz w:val="24"/>
          <w:lang w:val="lv-LV"/>
        </w:rPr>
        <w:footnoteRef/>
      </w:r>
      <w:r w:rsidR="00A95BE6" w:rsidRPr="00A95BE6">
        <w:rPr>
          <w:sz w:val="24"/>
          <w:lang w:val="lv-LV"/>
        </w:rPr>
        <w:t xml:space="preserve"> </w:t>
      </w:r>
      <w:r w:rsidR="00A95BE6" w:rsidRPr="00A95BE6">
        <w:rPr>
          <w:sz w:val="24"/>
          <w:lang w:val="lv-LV"/>
        </w:rPr>
        <w:tab/>
      </w:r>
      <w:r w:rsidRPr="00A95BE6">
        <w:rPr>
          <w:sz w:val="24"/>
          <w:lang w:val="lv-LV"/>
        </w:rPr>
        <w:t>Eiropas Parlamenta un Padomes Regula (ES) 2019/473 (2019. gada 19. marts) par Eiropas Zivsaimniecības kontroles aģentūru (OV L 83, 25.3.2019., 18. lpp.).</w:t>
      </w:r>
    </w:p>
  </w:footnote>
  <w:footnote w:id="13">
    <w:p w:rsidR="001B0E0B" w:rsidRPr="00A95BE6" w:rsidRDefault="001B0E0B" w:rsidP="00A95BE6">
      <w:pPr>
        <w:pStyle w:val="FootnoteText"/>
        <w:ind w:left="567" w:hanging="567"/>
        <w:rPr>
          <w:sz w:val="24"/>
          <w:lang w:val="lv-LV"/>
        </w:rPr>
      </w:pPr>
      <w:r w:rsidRPr="00A95BE6">
        <w:rPr>
          <w:rStyle w:val="FootnoteReference"/>
          <w:sz w:val="24"/>
          <w:lang w:val="lv-LV"/>
        </w:rPr>
        <w:footnoteRef/>
      </w:r>
      <w:r w:rsidR="00A95BE6" w:rsidRPr="00A95BE6">
        <w:rPr>
          <w:sz w:val="24"/>
          <w:lang w:val="lv-LV"/>
        </w:rPr>
        <w:t xml:space="preserve"> </w:t>
      </w:r>
      <w:r w:rsidR="00A95BE6" w:rsidRPr="00A95BE6">
        <w:rPr>
          <w:sz w:val="24"/>
          <w:lang w:val="lv-LV"/>
        </w:rPr>
        <w:tab/>
      </w:r>
      <w:r w:rsidRPr="00A95BE6">
        <w:rPr>
          <w:sz w:val="24"/>
          <w:lang w:val="lv-LV"/>
        </w:rPr>
        <w:t xml:space="preserve">Eiropas Parlamenta un Padomes Regula (ES, </w:t>
      </w:r>
      <w:r w:rsidRPr="00A95BE6">
        <w:rPr>
          <w:i/>
          <w:iCs/>
          <w:sz w:val="24"/>
          <w:lang w:val="lv-LV"/>
        </w:rPr>
        <w:t>Euratom</w:t>
      </w:r>
      <w:r w:rsidRPr="00A95BE6">
        <w:rPr>
          <w:sz w:val="24"/>
          <w:lang w:val="lv-LV"/>
        </w:rPr>
        <w:t xml:space="preserve">)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w:t>
      </w:r>
      <w:r w:rsidRPr="00A95BE6">
        <w:rPr>
          <w:i/>
          <w:iCs/>
          <w:sz w:val="24"/>
          <w:lang w:val="lv-LV"/>
        </w:rPr>
        <w:t>Euratom</w:t>
      </w:r>
      <w:r w:rsidRPr="00A95BE6">
        <w:rPr>
          <w:sz w:val="24"/>
          <w:lang w:val="lv-LV"/>
        </w:rPr>
        <w:t>) Nr. 966/2012 (OV L 193, 30.7.2018., 1. lpp.).</w:t>
      </w:r>
    </w:p>
  </w:footnote>
  <w:footnote w:id="14">
    <w:p w:rsidR="001B0E0B" w:rsidRPr="00A95BE6" w:rsidRDefault="001B0E0B" w:rsidP="00A95BE6">
      <w:pPr>
        <w:pStyle w:val="FootnoteText"/>
        <w:ind w:left="567" w:hanging="567"/>
        <w:rPr>
          <w:sz w:val="24"/>
          <w:lang w:val="lv-LV"/>
        </w:rPr>
      </w:pPr>
      <w:r w:rsidRPr="00A95BE6">
        <w:rPr>
          <w:rStyle w:val="FootnoteReference"/>
          <w:sz w:val="24"/>
          <w:lang w:val="lv-LV"/>
        </w:rPr>
        <w:footnoteRef/>
      </w:r>
      <w:r w:rsidR="00A95BE6" w:rsidRPr="00A95BE6">
        <w:rPr>
          <w:sz w:val="24"/>
          <w:lang w:val="lv-LV"/>
        </w:rPr>
        <w:t xml:space="preserve"> </w:t>
      </w:r>
      <w:r w:rsidR="00A95BE6" w:rsidRPr="00A95BE6">
        <w:rPr>
          <w:sz w:val="24"/>
          <w:lang w:val="lv-LV"/>
        </w:rPr>
        <w:tab/>
      </w:r>
      <w:r w:rsidRPr="00A95BE6">
        <w:rPr>
          <w:sz w:val="24"/>
          <w:lang w:val="lv-LV"/>
        </w:rPr>
        <w:t xml:space="preserve">Pieņemtie teksti, </w:t>
      </w:r>
      <w:r w:rsidRPr="00A95BE6">
        <w:rPr>
          <w:sz w:val="24"/>
          <w:lang w:val="lv-LV"/>
        </w:rPr>
        <w:t>P9_TA(2024)0</w:t>
      </w:r>
      <w:r w:rsidR="007F0087">
        <w:rPr>
          <w:sz w:val="24"/>
          <w:lang w:val="lv-LV"/>
        </w:rPr>
        <w:t>280</w:t>
      </w:r>
      <w:bookmarkStart w:id="10" w:name="_GoBack"/>
      <w:bookmarkEnd w:id="10"/>
      <w:r w:rsidRPr="00A95BE6">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E0B" w:rsidRPr="00A95BE6" w:rsidRDefault="001B0E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E0B" w:rsidRPr="00A95BE6" w:rsidRDefault="001B0E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E0B" w:rsidRPr="00A95BE6" w:rsidRDefault="001B0E0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BE6"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BE6"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95B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0/2024"/>
    <w:docVar w:name="dvlangue" w:val="LV"/>
    <w:docVar w:name="dvnumam" w:val="0"/>
    <w:docVar w:name="dvpe" w:val="753.518"/>
    <w:docVar w:name="dvrapporteur" w:val="Referents: "/>
    <w:docVar w:name="dvtitre" w:val="Eiropas Parlamenta 2024. gada XX. XXX lēmums par Eiropas Zivsaimniecības kontroles aģentūras 2022. finanšu gada budžeta izpildes apstiprināšanu(2023/2150(DEC))"/>
  </w:docVars>
  <w:rsids>
    <w:rsidRoot w:val="00C44E58"/>
    <w:rsid w:val="00002272"/>
    <w:rsid w:val="00064002"/>
    <w:rsid w:val="000677B9"/>
    <w:rsid w:val="000831BA"/>
    <w:rsid w:val="000A42CC"/>
    <w:rsid w:val="000E7DD9"/>
    <w:rsid w:val="0010095E"/>
    <w:rsid w:val="00125B37"/>
    <w:rsid w:val="00187494"/>
    <w:rsid w:val="001B0E0B"/>
    <w:rsid w:val="001F32AE"/>
    <w:rsid w:val="002767FF"/>
    <w:rsid w:val="00276B3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008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5BE6"/>
    <w:rsid w:val="00AB441E"/>
    <w:rsid w:val="00AB6293"/>
    <w:rsid w:val="00AE0928"/>
    <w:rsid w:val="00AF3B82"/>
    <w:rsid w:val="00B12E95"/>
    <w:rsid w:val="00B22876"/>
    <w:rsid w:val="00B558F0"/>
    <w:rsid w:val="00BD48FE"/>
    <w:rsid w:val="00BD7BD8"/>
    <w:rsid w:val="00BE6ADC"/>
    <w:rsid w:val="00C05BFE"/>
    <w:rsid w:val="00C23CD4"/>
    <w:rsid w:val="00C44E58"/>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33B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331591"/>
  <w15:chartTrackingRefBased/>
  <w15:docId w15:val="{43D25C23-C3FB-4041-BDEB-213E5FA68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B0E0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B0E0B"/>
    <w:pPr>
      <w:spacing w:before="480" w:after="240"/>
    </w:pPr>
  </w:style>
  <w:style w:type="paragraph" w:customStyle="1" w:styleId="PageHeading">
    <w:name w:val="PageHeading"/>
    <w:basedOn w:val="Normal"/>
    <w:rsid w:val="001B0E0B"/>
    <w:pPr>
      <w:keepNext/>
      <w:spacing w:after="480"/>
      <w:jc w:val="center"/>
    </w:pPr>
    <w:rPr>
      <w:rFonts w:ascii="Arial" w:hAnsi="Arial" w:cs="Arial"/>
      <w:b/>
    </w:rPr>
  </w:style>
  <w:style w:type="paragraph" w:customStyle="1" w:styleId="NormalBold">
    <w:name w:val="NormalBold"/>
    <w:basedOn w:val="Normal"/>
    <w:rsid w:val="001B0E0B"/>
    <w:rPr>
      <w:b/>
    </w:rPr>
  </w:style>
  <w:style w:type="paragraph" w:customStyle="1" w:styleId="NormalHanging12a">
    <w:name w:val="NormalHanging12a"/>
    <w:basedOn w:val="Normal"/>
    <w:link w:val="NormalHanging12aChar"/>
    <w:rsid w:val="001B0E0B"/>
    <w:pPr>
      <w:spacing w:after="240"/>
      <w:ind w:left="567" w:hanging="567"/>
    </w:pPr>
  </w:style>
  <w:style w:type="paragraph" w:customStyle="1" w:styleId="NormalCenter12a">
    <w:name w:val="NormalCenter12a"/>
    <w:basedOn w:val="Normal"/>
    <w:rsid w:val="001B0E0B"/>
    <w:pPr>
      <w:spacing w:after="240"/>
      <w:jc w:val="center"/>
    </w:pPr>
  </w:style>
  <w:style w:type="paragraph" w:styleId="Header">
    <w:name w:val="header"/>
    <w:basedOn w:val="Normal"/>
    <w:link w:val="HeaderChar"/>
    <w:rsid w:val="001B0E0B"/>
    <w:pPr>
      <w:tabs>
        <w:tab w:val="center" w:pos="4513"/>
        <w:tab w:val="right" w:pos="9026"/>
      </w:tabs>
    </w:pPr>
  </w:style>
  <w:style w:type="character" w:customStyle="1" w:styleId="HeaderChar">
    <w:name w:val="Header Char"/>
    <w:basedOn w:val="DefaultParagraphFont"/>
    <w:link w:val="Header"/>
    <w:rsid w:val="001B0E0B"/>
    <w:rPr>
      <w:sz w:val="24"/>
      <w:lang w:val="lv-LV"/>
    </w:rPr>
  </w:style>
  <w:style w:type="paragraph" w:customStyle="1" w:styleId="EPFooter">
    <w:name w:val="EPFooter"/>
    <w:basedOn w:val="Normal"/>
    <w:rsid w:val="001B0E0B"/>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B0E0B"/>
    <w:rPr>
      <w:sz w:val="24"/>
      <w:lang w:val="lv-LV"/>
    </w:rPr>
  </w:style>
  <w:style w:type="paragraph" w:styleId="BalloonText">
    <w:name w:val="Balloon Text"/>
    <w:basedOn w:val="Normal"/>
    <w:link w:val="BalloonTextChar"/>
    <w:rsid w:val="00F933BE"/>
    <w:rPr>
      <w:rFonts w:ascii="Segoe UI" w:hAnsi="Segoe UI" w:cs="Segoe UI"/>
      <w:sz w:val="18"/>
      <w:szCs w:val="18"/>
    </w:rPr>
  </w:style>
  <w:style w:type="character" w:customStyle="1" w:styleId="BalloonTextChar">
    <w:name w:val="Balloon Text Char"/>
    <w:basedOn w:val="DefaultParagraphFont"/>
    <w:link w:val="BalloonText"/>
    <w:rsid w:val="00F933BE"/>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89DE9-9167-4DA5-816F-C4B648B7E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3158</Words>
  <Characters>20909</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2024-04-11T15:39:00Z</dcterms:created>
  <dcterms:modified xsi:type="dcterms:W3CDTF">2024-04-11T15:39:00Z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A9-0100/2024</vt:lpwstr>
  </property>
  <property fmtid="{D5CDD505-2E9C-101B-9397-08002B2CF9AE}" pid="4" name="&lt;Type&gt;">
    <vt:lpwstr>RR</vt:lpwstr>
  </property>
</Properties>
</file>