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15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1514" w:rsidRDefault="005D04E9" w:rsidP="0010095E">
            <w:pPr>
              <w:pStyle w:val="EPName"/>
            </w:pPr>
            <w:r w:rsidRPr="00E01514">
              <w:t>Európsky parlament</w:t>
            </w:r>
          </w:p>
          <w:p w:rsidR="00751A4A" w:rsidRPr="00E015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51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01514" w:rsidRDefault="00187494" w:rsidP="0010095E">
            <w:pPr>
              <w:pStyle w:val="EPLogo"/>
            </w:pPr>
            <w:r w:rsidRPr="00E015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1514" w:rsidRDefault="00D058B8" w:rsidP="004C5D52">
      <w:pPr>
        <w:pStyle w:val="LineTop"/>
      </w:pPr>
    </w:p>
    <w:p w:rsidR="00680577" w:rsidRPr="00E01514" w:rsidRDefault="005D04E9" w:rsidP="00680577">
      <w:pPr>
        <w:pStyle w:val="EPBodyTA1"/>
      </w:pPr>
      <w:r w:rsidRPr="00E01514">
        <w:t>PRIJATÉ TEXTY</w:t>
      </w:r>
    </w:p>
    <w:p w:rsidR="00D058B8" w:rsidRPr="00E01514" w:rsidRDefault="00D058B8" w:rsidP="00D058B8">
      <w:pPr>
        <w:pStyle w:val="LineBottom"/>
      </w:pPr>
    </w:p>
    <w:p w:rsidR="005D04E9" w:rsidRPr="00E01514" w:rsidRDefault="005D04E9" w:rsidP="005D04E9">
      <w:pPr>
        <w:pStyle w:val="ATHeading1"/>
      </w:pPr>
      <w:bookmarkStart w:id="0" w:name="TANumber"/>
      <w:r w:rsidRPr="00E01514">
        <w:t>P9_TA(2024)0</w:t>
      </w:r>
      <w:r w:rsidR="00E01514" w:rsidRPr="00E01514">
        <w:t>257</w:t>
      </w:r>
      <w:bookmarkEnd w:id="0"/>
    </w:p>
    <w:p w:rsidR="005D04E9" w:rsidRPr="00E01514" w:rsidRDefault="005D04E9" w:rsidP="005D04E9">
      <w:pPr>
        <w:pStyle w:val="ATHeading2"/>
      </w:pPr>
      <w:bookmarkStart w:id="1" w:name="title"/>
      <w:r w:rsidRPr="00E01514">
        <w:t>Absolutórium za rok 2022: Európska agentúra pre kontrolu rybárstva</w:t>
      </w:r>
      <w:bookmarkEnd w:id="1"/>
    </w:p>
    <w:p w:rsidR="005D04E9" w:rsidRPr="00E01514" w:rsidRDefault="005D04E9" w:rsidP="005D04E9">
      <w:pPr>
        <w:rPr>
          <w:i/>
          <w:vanish/>
        </w:rPr>
      </w:pPr>
      <w:r w:rsidRPr="00E01514">
        <w:rPr>
          <w:i/>
        </w:rPr>
        <w:fldChar w:fldCharType="begin"/>
      </w:r>
      <w:r w:rsidRPr="00E01514">
        <w:rPr>
          <w:i/>
        </w:rPr>
        <w:instrText xml:space="preserve"> TC"(</w:instrText>
      </w:r>
      <w:bookmarkStart w:id="2" w:name="DocNumber"/>
      <w:r w:rsidRPr="00E01514">
        <w:rPr>
          <w:i/>
        </w:rPr>
        <w:instrText>A9-0100/2024</w:instrText>
      </w:r>
      <w:bookmarkEnd w:id="2"/>
      <w:r w:rsidRPr="00E01514">
        <w:rPr>
          <w:i/>
        </w:rPr>
        <w:instrText xml:space="preserve"> - Spravodajca: Petri Sarvamaa)"\l3 \n&gt; \* MERGEFORMAT </w:instrText>
      </w:r>
      <w:r w:rsidRPr="00E01514">
        <w:rPr>
          <w:i/>
        </w:rPr>
        <w:fldChar w:fldCharType="end"/>
      </w:r>
    </w:p>
    <w:p w:rsidR="005D04E9" w:rsidRPr="00E01514" w:rsidRDefault="005D04E9" w:rsidP="005D04E9">
      <w:pPr>
        <w:rPr>
          <w:vanish/>
        </w:rPr>
      </w:pPr>
      <w:bookmarkStart w:id="3" w:name="Commission"/>
      <w:r w:rsidRPr="00E01514">
        <w:rPr>
          <w:vanish/>
        </w:rPr>
        <w:t>Výbor pre kontrolu rozpočtu</w:t>
      </w:r>
      <w:bookmarkEnd w:id="3"/>
    </w:p>
    <w:p w:rsidR="005D04E9" w:rsidRPr="00E01514" w:rsidRDefault="005D04E9" w:rsidP="005D04E9">
      <w:pPr>
        <w:rPr>
          <w:vanish/>
        </w:rPr>
      </w:pPr>
      <w:bookmarkStart w:id="4" w:name="PE"/>
      <w:r w:rsidRPr="00E01514">
        <w:rPr>
          <w:vanish/>
        </w:rPr>
        <w:t>PE753.518</w:t>
      </w:r>
      <w:bookmarkEnd w:id="4"/>
    </w:p>
    <w:p w:rsidR="005D04E9" w:rsidRPr="00E01514" w:rsidRDefault="0044669A" w:rsidP="005D04E9">
      <w:pPr>
        <w:pStyle w:val="ATHeading3"/>
      </w:pPr>
      <w:bookmarkStart w:id="5" w:name="Sujet"/>
      <w:r w:rsidRPr="00E01514">
        <w:t>1. R</w:t>
      </w:r>
      <w:r w:rsidR="005D04E9" w:rsidRPr="00E01514">
        <w:t>ozhodnutie Európskeho parlamentu z</w:t>
      </w:r>
      <w:r w:rsidR="00086D88" w:rsidRPr="00E01514">
        <w:t> 11</w:t>
      </w:r>
      <w:r w:rsidR="005D04E9" w:rsidRPr="00E01514">
        <w:t>. apríla 2024 o absolutóriu za plnenie rozpočtu Európskej agentúry pre kontrolu rybárstva za rozpočtový rok 2022</w:t>
      </w:r>
      <w:bookmarkEnd w:id="5"/>
      <w:r w:rsidR="005D04E9" w:rsidRPr="00E01514">
        <w:t xml:space="preserve"> </w:t>
      </w:r>
      <w:bookmarkStart w:id="6" w:name="References"/>
      <w:r w:rsidR="005D04E9" w:rsidRPr="00E01514">
        <w:t>(2023/2150(DEC))</w:t>
      </w:r>
      <w:bookmarkEnd w:id="6"/>
    </w:p>
    <w:p w:rsidR="007000EA" w:rsidRPr="00E01514" w:rsidRDefault="007000EA" w:rsidP="007000EA">
      <w:pPr>
        <w:pStyle w:val="EPComma"/>
      </w:pPr>
      <w:bookmarkStart w:id="7" w:name="TextBodyBegin"/>
      <w:bookmarkEnd w:id="7"/>
      <w:r w:rsidRPr="00E01514">
        <w:rPr>
          <w:i/>
          <w:iCs/>
        </w:rPr>
        <w:t>Európsky parlament</w:t>
      </w:r>
      <w:r w:rsidRPr="00E01514">
        <w:t>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konečnú ročnú účtovnú závierku Európskej agentúry pre kontrolu rybárstva za rozpočtový rok 2022,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výročnú správu Dvora audítorov o agentúrach EÚ za rozpočtový rok 2022 spolu s odpoveďami agentúr</w:t>
      </w:r>
      <w:r w:rsidRPr="00E01514">
        <w:rPr>
          <w:rStyle w:val="FootnoteReference"/>
        </w:rPr>
        <w:footnoteReference w:id="1"/>
      </w:r>
      <w:r w:rsidRPr="00E01514">
        <w:t>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vyhlásenie o vierohodnosti</w:t>
      </w:r>
      <w:r w:rsidRPr="00E01514">
        <w:rPr>
          <w:rStyle w:val="FootnoteReference"/>
        </w:rPr>
        <w:footnoteReference w:id="2"/>
      </w:r>
      <w:r w:rsidRPr="00E01514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odporúčanie Rady z 22. februára 2024 o udelení absolutória agentúre za plnenie rozpočtu za rozpočtový rok 2022 (</w:t>
      </w:r>
      <w:r w:rsidR="00086D88" w:rsidRPr="00E01514">
        <w:t>06180</w:t>
      </w:r>
      <w:r w:rsidRPr="00E01514">
        <w:t>/2024 – C9</w:t>
      </w:r>
      <w:r w:rsidRPr="00E01514">
        <w:noBreakHyphen/>
      </w:r>
      <w:r w:rsidR="00086D88" w:rsidRPr="00E01514">
        <w:t>0088</w:t>
      </w:r>
      <w:r w:rsidRPr="00E01514">
        <w:t>/2024),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článok 319 Zmluvy o fungovaní Európskej únie,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 xml:space="preserve">so zreteľom na nariadenie Európskeho parlamentu a Rady (EÚ, </w:t>
      </w:r>
      <w:proofErr w:type="spellStart"/>
      <w:r w:rsidRPr="00E01514">
        <w:t>Euratom</w:t>
      </w:r>
      <w:proofErr w:type="spellEnd"/>
      <w:r w:rsidRPr="00E01514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E01514">
        <w:t>Euratom</w:t>
      </w:r>
      <w:proofErr w:type="spellEnd"/>
      <w:r w:rsidRPr="00E01514">
        <w:t>) č. 966/2012</w:t>
      </w:r>
      <w:r w:rsidRPr="00E01514">
        <w:rPr>
          <w:rStyle w:val="FootnoteReference"/>
        </w:rPr>
        <w:footnoteReference w:id="3"/>
      </w:r>
      <w:r w:rsidRPr="00E01514">
        <w:t>, a najmä na jeho článok 70,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nariadenie Európskeho parlamentu a Rady (EÚ) 2019/473 z 19. marca 2019 o Európskej agentúre pre kontrolu rybárstva</w:t>
      </w:r>
      <w:r w:rsidRPr="00E01514">
        <w:rPr>
          <w:rStyle w:val="FootnoteReference"/>
        </w:rPr>
        <w:footnoteReference w:id="4"/>
      </w:r>
      <w:r w:rsidRPr="00E01514">
        <w:t>, a najmä na jeho článok 45,</w:t>
      </w:r>
    </w:p>
    <w:p w:rsidR="007000EA" w:rsidRPr="00E01514" w:rsidRDefault="007000EA" w:rsidP="007000EA">
      <w:pPr>
        <w:pStyle w:val="NormalHanging12a"/>
      </w:pPr>
      <w:r w:rsidRPr="00E01514">
        <w:lastRenderedPageBreak/>
        <w:t>–</w:t>
      </w:r>
      <w:r w:rsidRPr="00E01514"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E01514">
        <w:t>Euratome</w:t>
      </w:r>
      <w:proofErr w:type="spellEnd"/>
      <w:r w:rsidRPr="00E01514">
        <w:t xml:space="preserve"> a uvedené v článku 70 nariadenia Európskeho parlamentu a Rady (EÚ, </w:t>
      </w:r>
      <w:proofErr w:type="spellStart"/>
      <w:r w:rsidRPr="00E01514">
        <w:t>Euratom</w:t>
      </w:r>
      <w:proofErr w:type="spellEnd"/>
      <w:r w:rsidRPr="00E01514">
        <w:t>) 2018/1046</w:t>
      </w:r>
      <w:r w:rsidRPr="00E01514">
        <w:rPr>
          <w:rStyle w:val="FootnoteReference"/>
        </w:rPr>
        <w:footnoteReference w:id="5"/>
      </w:r>
      <w:r w:rsidRPr="00E01514">
        <w:t>, a najmä na jeho článok 105,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článok 100 a prílohu V k rokovaciemu poriadku,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stanovisko Výboru pre rybárstvo,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správu Výboru pre kontrolu rozpočtu (A9-0100/2024),</w:t>
      </w:r>
    </w:p>
    <w:p w:rsidR="007000EA" w:rsidRPr="00E01514" w:rsidRDefault="007000EA" w:rsidP="007000EA">
      <w:pPr>
        <w:pStyle w:val="NormalHanging12a"/>
      </w:pPr>
      <w:r w:rsidRPr="00E01514">
        <w:t>1.</w:t>
      </w:r>
      <w:r w:rsidRPr="00E01514">
        <w:tab/>
        <w:t>udeľuje absolutórium výkonnej riaditeľke Európskej agentúry pre kontrolu rybárstva za plnenie rozpočtu agentúry za rozpočtový rok 2022;</w:t>
      </w:r>
    </w:p>
    <w:p w:rsidR="007000EA" w:rsidRPr="00E01514" w:rsidRDefault="007000EA" w:rsidP="007000EA">
      <w:pPr>
        <w:pStyle w:val="NormalHanging12a"/>
      </w:pPr>
      <w:r w:rsidRPr="00E01514">
        <w:t>2.</w:t>
      </w:r>
      <w:r w:rsidRPr="00E01514">
        <w:tab/>
        <w:t>uvádza svoje poznámky v priloženom uznesení;</w:t>
      </w:r>
    </w:p>
    <w:p w:rsidR="007000EA" w:rsidRPr="00E01514" w:rsidRDefault="007000EA" w:rsidP="007000EA">
      <w:pPr>
        <w:pStyle w:val="NormalHanging12a"/>
      </w:pPr>
      <w:r w:rsidRPr="00E01514">
        <w:t>3.</w:t>
      </w:r>
      <w:r w:rsidRPr="00E01514">
        <w:tab/>
        <w:t>poveruje svoju predsedníčku, aby postúpila toto rozhodnutie a uznesenie, ktoré je jeho neoddeliteľnou súčasťou, výkonnej riaditeľke Európskej agentúry pre kontrolu rybárstva, Rade, Komisii a Dvoru audítorov a aby zabezpečila ich uverejnenie v </w:t>
      </w:r>
      <w:r w:rsidRPr="00E01514">
        <w:rPr>
          <w:i/>
          <w:iCs/>
        </w:rPr>
        <w:t>Úradnom vestníku Európskej únie</w:t>
      </w:r>
      <w:r w:rsidRPr="00E01514">
        <w:t xml:space="preserve"> (v sérii L).</w:t>
      </w:r>
    </w:p>
    <w:p w:rsidR="007000EA" w:rsidRPr="00E01514" w:rsidRDefault="007000EA" w:rsidP="007000EA"/>
    <w:p w:rsidR="007000EA" w:rsidRPr="00E01514" w:rsidRDefault="007000EA" w:rsidP="007000EA">
      <w:pPr>
        <w:widowControl/>
        <w:rPr>
          <w:rFonts w:ascii="Arial" w:hAnsi="Arial" w:cs="Arial"/>
          <w:b/>
        </w:rPr>
        <w:sectPr w:rsidR="007000EA" w:rsidRPr="00E01514" w:rsidSect="00CE0274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000EA" w:rsidRPr="00E01514" w:rsidRDefault="007000EA" w:rsidP="0044669A">
      <w:pPr>
        <w:pStyle w:val="ATHeading3"/>
      </w:pPr>
      <w:bookmarkStart w:id="8" w:name="_Toc146806751"/>
      <w:bookmarkStart w:id="9" w:name="_Toc161756272"/>
      <w:r w:rsidRPr="00E01514">
        <w:lastRenderedPageBreak/>
        <w:t xml:space="preserve">2. </w:t>
      </w:r>
      <w:bookmarkEnd w:id="8"/>
      <w:bookmarkEnd w:id="9"/>
      <w:r w:rsidR="0044669A" w:rsidRPr="00E01514">
        <w:t>Rozhodnutie Európskeho parlamentu z</w:t>
      </w:r>
      <w:r w:rsidR="00086D88" w:rsidRPr="00E01514">
        <w:t> 11</w:t>
      </w:r>
      <w:r w:rsidR="0044669A" w:rsidRPr="00E01514">
        <w:t xml:space="preserve">. apríla 2024 </w:t>
      </w:r>
      <w:r w:rsidRPr="00E01514">
        <w:t>o účtovnej závierke Európskej agentúry pre kontrolu rybárstva za rozpočtový rok 2022</w:t>
      </w:r>
      <w:r w:rsidR="0044669A" w:rsidRPr="00E01514">
        <w:t xml:space="preserve"> </w:t>
      </w:r>
      <w:r w:rsidRPr="00E01514">
        <w:t>(2023/2150(DEC))</w:t>
      </w:r>
    </w:p>
    <w:p w:rsidR="007000EA" w:rsidRPr="00E01514" w:rsidRDefault="007000EA" w:rsidP="007000EA">
      <w:pPr>
        <w:pStyle w:val="EPComma"/>
      </w:pPr>
      <w:r w:rsidRPr="00E01514">
        <w:rPr>
          <w:i/>
          <w:iCs/>
        </w:rPr>
        <w:t>Európsky parlament</w:t>
      </w:r>
      <w:r w:rsidRPr="00E01514">
        <w:t>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konečnú ročnú účtovnú závierku Európskej agentúry pre kontrolu rybárstva za rozpočtový rok 2022,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výročnú správu Dvora audítorov o agentúrach EÚ za rozpočtový rok 2022 spolu s odpoveďami agentúr</w:t>
      </w:r>
      <w:r w:rsidRPr="00E01514">
        <w:rPr>
          <w:rStyle w:val="FootnoteReference"/>
        </w:rPr>
        <w:footnoteReference w:id="6"/>
      </w:r>
      <w:r w:rsidRPr="00E01514">
        <w:t>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vyhlásenie o vierohodnosti</w:t>
      </w:r>
      <w:r w:rsidRPr="00E01514">
        <w:rPr>
          <w:rStyle w:val="FootnoteReference"/>
        </w:rPr>
        <w:footnoteReference w:id="7"/>
      </w:r>
      <w:r w:rsidRPr="00E01514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odporúčanie Rady z 22. februára 2024 o udelení absolutória agentúre za plnenie rozpočtu za rozpočtový rok 2022 (</w:t>
      </w:r>
      <w:r w:rsidR="00086D88" w:rsidRPr="00E01514">
        <w:t>06180</w:t>
      </w:r>
      <w:r w:rsidRPr="00E01514">
        <w:t>/2024 – C9</w:t>
      </w:r>
      <w:r w:rsidRPr="00E01514">
        <w:noBreakHyphen/>
      </w:r>
      <w:r w:rsidR="00086D88" w:rsidRPr="00E01514">
        <w:t>0088</w:t>
      </w:r>
      <w:r w:rsidRPr="00E01514">
        <w:t>/2024),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článok 319 Zmluvy o fungovaní Európskej únie,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 xml:space="preserve">so zreteľom na nariadenie Európskeho parlamentu a Rady (EÚ, </w:t>
      </w:r>
      <w:proofErr w:type="spellStart"/>
      <w:r w:rsidRPr="00E01514">
        <w:t>Euratom</w:t>
      </w:r>
      <w:proofErr w:type="spellEnd"/>
      <w:r w:rsidRPr="00E01514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E01514">
        <w:t>Euratom</w:t>
      </w:r>
      <w:proofErr w:type="spellEnd"/>
      <w:r w:rsidRPr="00E01514">
        <w:t>) č. 966/2012</w:t>
      </w:r>
      <w:r w:rsidRPr="00E01514">
        <w:rPr>
          <w:rStyle w:val="FootnoteReference"/>
        </w:rPr>
        <w:footnoteReference w:id="8"/>
      </w:r>
      <w:r w:rsidRPr="00E01514">
        <w:t>, a najmä na jeho článok 70,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nariadenie Európskeho parlamentu a Rady (EÚ) 2019/473 z 19. marca 2019 o Európskej agentúre pre kontrolu rybárstva</w:t>
      </w:r>
      <w:r w:rsidRPr="00E01514">
        <w:rPr>
          <w:rStyle w:val="FootnoteReference"/>
        </w:rPr>
        <w:footnoteReference w:id="9"/>
      </w:r>
      <w:r w:rsidRPr="00E01514">
        <w:t>, a najmä na jeho článok 45,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E01514">
        <w:t>Euratome</w:t>
      </w:r>
      <w:proofErr w:type="spellEnd"/>
      <w:r w:rsidRPr="00E01514">
        <w:t xml:space="preserve"> a uvedené v článku 70 nariadenia Európskeho parlamentu a Rady (EÚ, </w:t>
      </w:r>
      <w:proofErr w:type="spellStart"/>
      <w:r w:rsidRPr="00E01514">
        <w:t>Euratom</w:t>
      </w:r>
      <w:proofErr w:type="spellEnd"/>
      <w:r w:rsidRPr="00E01514">
        <w:t>) 2018/1046</w:t>
      </w:r>
      <w:r w:rsidRPr="00E01514">
        <w:rPr>
          <w:rStyle w:val="FootnoteReference"/>
        </w:rPr>
        <w:footnoteReference w:id="10"/>
      </w:r>
      <w:r w:rsidRPr="00E01514">
        <w:t>, a najmä na jeho článok 105,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článok 100 a prílohu V k rokovaciemu poriadku,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stanovisko Výboru pre rybárstvo,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správu Výboru pre kontrolu rozpočtu (A9-0100/2024),</w:t>
      </w:r>
    </w:p>
    <w:p w:rsidR="007000EA" w:rsidRPr="00E01514" w:rsidRDefault="007000EA" w:rsidP="007000EA">
      <w:pPr>
        <w:pStyle w:val="NormalHanging12a"/>
      </w:pPr>
      <w:r w:rsidRPr="00E01514">
        <w:t>1.</w:t>
      </w:r>
      <w:r w:rsidRPr="00E01514">
        <w:tab/>
        <w:t>schvaľuje účtovnú závierku Európskej agentúry pre kontrolu rybárstva za rozpočtový rok 2022;</w:t>
      </w:r>
    </w:p>
    <w:p w:rsidR="007000EA" w:rsidRPr="00E01514" w:rsidRDefault="007000EA" w:rsidP="007000EA">
      <w:pPr>
        <w:pStyle w:val="NormalHanging12a"/>
      </w:pPr>
      <w:r w:rsidRPr="00E01514">
        <w:t>2.</w:t>
      </w:r>
      <w:r w:rsidRPr="00E01514">
        <w:tab/>
        <w:t xml:space="preserve">poveruje svoju predsedníčku, aby postúpila toto rozhodnutie výkonnej riaditeľke Európskej agentúry pre kontrolu rybárstva, Rade, Komisii a Dvoru audítorov a aby zabezpečila jeho uverejnenie v </w:t>
      </w:r>
      <w:r w:rsidRPr="00E01514">
        <w:rPr>
          <w:i/>
          <w:iCs/>
        </w:rPr>
        <w:t>Úradnom vestníku Európskej únie</w:t>
      </w:r>
      <w:r w:rsidRPr="00E01514">
        <w:t xml:space="preserve"> (v sérii L).</w:t>
      </w:r>
    </w:p>
    <w:p w:rsidR="007000EA" w:rsidRPr="00E01514" w:rsidRDefault="007000EA" w:rsidP="007000EA"/>
    <w:p w:rsidR="007000EA" w:rsidRPr="00E01514" w:rsidRDefault="007000EA" w:rsidP="007000EA">
      <w:pPr>
        <w:widowControl/>
        <w:rPr>
          <w:rFonts w:ascii="Arial" w:hAnsi="Arial" w:cs="Arial"/>
          <w:b/>
        </w:rPr>
        <w:sectPr w:rsidR="007000EA" w:rsidRPr="00E01514" w:rsidSect="00CE0274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000EA" w:rsidRPr="00E01514" w:rsidRDefault="007000EA" w:rsidP="0044669A">
      <w:pPr>
        <w:pStyle w:val="ATHeading3"/>
      </w:pPr>
      <w:bookmarkStart w:id="10" w:name="_Toc146806752"/>
      <w:bookmarkStart w:id="11" w:name="_Toc161756273"/>
      <w:r w:rsidRPr="00E01514">
        <w:t xml:space="preserve">3. </w:t>
      </w:r>
      <w:bookmarkEnd w:id="10"/>
      <w:bookmarkEnd w:id="11"/>
      <w:r w:rsidR="0044669A" w:rsidRPr="00E01514">
        <w:t>Uznesenie Európskeho parlamentu z</w:t>
      </w:r>
      <w:r w:rsidR="00086D88" w:rsidRPr="00E01514">
        <w:t> 11</w:t>
      </w:r>
      <w:r w:rsidR="0044669A" w:rsidRPr="00E01514">
        <w:t xml:space="preserve">. apríla 2024 </w:t>
      </w:r>
      <w:r w:rsidRPr="00E01514">
        <w:t xml:space="preserve">s poznámkami, ktoré </w:t>
      </w:r>
      <w:r w:rsidR="00102961" w:rsidRPr="00E01514">
        <w:t xml:space="preserve">je </w:t>
      </w:r>
      <w:r w:rsidRPr="00E01514">
        <w:t>neoddeliteľnou súčasťou rozhodnutia o absolutóriu za plnenie rozpočtu Európskej agentúry pre kontrolu rybárstva za rozpočtový rok 2022</w:t>
      </w:r>
      <w:r w:rsidR="0044669A" w:rsidRPr="00E01514">
        <w:t xml:space="preserve"> </w:t>
      </w:r>
      <w:r w:rsidRPr="00E01514">
        <w:t>(2023/2150(DEC))</w:t>
      </w:r>
    </w:p>
    <w:p w:rsidR="007000EA" w:rsidRPr="00E01514" w:rsidRDefault="007000EA" w:rsidP="007000EA">
      <w:pPr>
        <w:pStyle w:val="EPComma"/>
      </w:pPr>
      <w:r w:rsidRPr="00E01514">
        <w:rPr>
          <w:i/>
          <w:iCs/>
        </w:rPr>
        <w:t>Európsky parlament</w:t>
      </w:r>
      <w:r w:rsidRPr="00E01514">
        <w:t>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svoje rozhodnutie o absolutóriu za plnenie rozpočtu Európskej agentúry pre kontrolu rybárstva za rozpočtový rok 2022,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článok 100 a prílohu V k rokovaciemu poriadku,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stanovisko Výboru pre rybárstvo,</w:t>
      </w:r>
    </w:p>
    <w:p w:rsidR="007000EA" w:rsidRPr="00E01514" w:rsidRDefault="007000EA" w:rsidP="007000EA">
      <w:pPr>
        <w:pStyle w:val="NormalHanging12a"/>
      </w:pPr>
      <w:r w:rsidRPr="00E01514">
        <w:t>–</w:t>
      </w:r>
      <w:r w:rsidRPr="00E01514">
        <w:tab/>
        <w:t>so zreteľom na správu Výboru pre kontrolu rozpočtu (A9-0100/2024),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A.</w:t>
      </w:r>
      <w:r w:rsidRPr="00E01514">
        <w:tab/>
        <w:t>keďže podľa výkazu príjmov a výdavkov</w:t>
      </w:r>
      <w:r w:rsidRPr="00E01514">
        <w:rPr>
          <w:szCs w:val="24"/>
          <w:vertAlign w:val="superscript"/>
        </w:rPr>
        <w:footnoteReference w:id="11"/>
      </w:r>
      <w:r w:rsidRPr="00E01514">
        <w:t xml:space="preserve"> predstavoval konečný rozpočet Európskej agentúry pre kontrolu rybárstva (ďalej len „agentúra“) za rozpočtový rok 2022 sumu 34 967 797 EUR, čo v porovnaní s rokom 2021 predstavuje zvýšenie o 61,73 %, pričom sa o 41 % zvýšila všeobecná dotácia EÚ a značne sa zvýšili pripísané príjmy z viacročných dohôd o príspevkoch a grantov; keďže dodatočná dotácia EÚ poskytnutá EFCA, ktorá bola navrhnutá v roku 2021, súvisela s legislatívnym finančným výkazom, ktorý sa zaoberal stupňujúcimi sa požiadavkami na monitorovanie vo vodách EÚ susediacich so Spojeným kráľovstvom; keďže približne 84 % rozpočtu agentúry pochádza z rozpočtu Únie a približne 16 % z účelovo viazaných príjmov;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B.</w:t>
      </w:r>
      <w:r w:rsidRPr="00E01514">
        <w:tab/>
        <w:t>keďže Dvor audítorov vo svojej správe o overení ročnej účtovnej závierky agentúry za rozpočtový rok 2022 (ďalej len „správa Dvora audítorov“) vyhlásil, že získal primeranú istotu o tom, že ročná účtovná závierka agentúry je spoľahlivá a že príslušné operácie sú zákonné a správne;</w:t>
      </w:r>
    </w:p>
    <w:p w:rsidR="007000EA" w:rsidRPr="00E01514" w:rsidRDefault="007000EA" w:rsidP="007000EA">
      <w:pPr>
        <w:widowControl/>
        <w:spacing w:after="240"/>
        <w:ind w:left="567" w:hanging="567"/>
        <w:rPr>
          <w:b/>
          <w:i/>
          <w:szCs w:val="24"/>
        </w:rPr>
      </w:pPr>
      <w:r w:rsidRPr="00E01514">
        <w:rPr>
          <w:b/>
          <w:i/>
        </w:rPr>
        <w:t>Rozpočtové a finančné riadenie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1.</w:t>
      </w:r>
      <w:r w:rsidRPr="00E01514">
        <w:tab/>
        <w:t>s uznaním konštatuje, že úsilie o monitorovanie rozpočtu v priebehu rozpočtového roka 2022 prinieslo mieru plnenia viazaných rozpočtových prostriedkov v bežnom roku na úrovni 99,41 %, čo v porovnaní s rokom 2021 predstavuje mierne zvýšenie o 0,34 %; poznamenáva, že miera plnenia platobných rozpočtových prostriedkov v bežnom roku bola 57,78 %, čo v porovnaní s rokom 2021 predstavuje zníženie o 16,70 %;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2.</w:t>
      </w:r>
      <w:r w:rsidRPr="00E01514">
        <w:tab/>
        <w:t>so znepokojením konštatuje, že podľa Dvora audítorov agentúra preniesla 11,9 milióna EUR (41 %) dostupných viazaných rozpočtových prostriedkov na rok 2022 do roku 2023; konštatuje, že to zahŕňalo 1,6 milióna EUR (teda 53 %) rozpočtových prostriedkov v hlave II týkajúcich sa administratívnych činností (34 % v roku 2021) a 10,1 milióna EUR (teda 63 %) rozpočtových prostriedkov v hlave III týkajúcich sa operačných činností (42 % v roku 2021); zdôrazňuje, že opakujúca sa vysoká miera prenesených rozpočtových prostriedkov je v rozpore so zásadou ročnej platnosti rozpočtu a svedčí o štrukturálnych problémoch v rozpočtovom procese a cykle plnenia rozpočtu; berie na vedomie odpoveď agentúry na túto tému, v ktorej sa zdôrazňuje, že vysoké prenosy v roku 2022 sú dôsledkom veľmi osobitných okolností, ktorých opakovanie sa neočakáva;</w:t>
      </w:r>
    </w:p>
    <w:p w:rsidR="007000EA" w:rsidRPr="00E01514" w:rsidRDefault="007000EA" w:rsidP="007000EA">
      <w:pPr>
        <w:pStyle w:val="NormalHanging12a"/>
      </w:pPr>
      <w:r w:rsidRPr="00E01514">
        <w:t>3.</w:t>
      </w:r>
      <w:r w:rsidRPr="00E01514">
        <w:tab/>
        <w:t>konštatuje, že rozpočtový rok 2022 bol poznačený zotavovaním z vplyvov pandémie ochorenia COVID-19 na predchádzajúce dva rozpočtové roky, pričom rozpočet a zdroje EFCA zároveň naďalej rástli v súvislosti s dodatočnými úlohami a projektmi, ako sa stanovili v jej jednotnom programovom dokumente na rok 2022; poukazuje na to, že vojna na Ukrajine by mohla mať vplyv na uznávanie a oceňovanie niektorých aktív a pasív v súvahe, ako aj na niektoré príjmy a výdavky uznané vo výkaze finančných výsledkov za nasledujúce vykazované obdobia;</w:t>
      </w:r>
    </w:p>
    <w:p w:rsidR="007000EA" w:rsidRPr="00E01514" w:rsidRDefault="007000EA" w:rsidP="007000EA">
      <w:pPr>
        <w:pStyle w:val="NormalHanging12a"/>
      </w:pPr>
      <w:r w:rsidRPr="00E01514">
        <w:t>4.</w:t>
      </w:r>
      <w:r w:rsidRPr="00E01514">
        <w:tab/>
        <w:t>zdôrazňuje, že za kontrolu rybolovných činností sú v prvom rade zodpovedné členské štáty, zatiaľ čo úlohy agentúry majú podporný charakter; zdôrazňuje, že nedávna revízia systému Únie na kontrolu rybárstva povedie k zvýšeniu pracovného zaťaženia agentúry v oblasti podpory; zdôrazňuje, že je dôležité uvedomiť si, že rastúce záväzky bez dostatočných zdrojov na ich plnenie by boli nekoherentné; zdôrazňuje preto, že agentúra bude v nadchádzajúcich rokoch potrebovať dostatočné finančné a ľudské zdroje;</w:t>
      </w:r>
    </w:p>
    <w:p w:rsidR="007000EA" w:rsidRPr="00E01514" w:rsidRDefault="007000EA" w:rsidP="007000EA">
      <w:pPr>
        <w:widowControl/>
        <w:spacing w:after="240"/>
        <w:ind w:left="567" w:hanging="567"/>
        <w:rPr>
          <w:b/>
          <w:i/>
          <w:szCs w:val="24"/>
        </w:rPr>
      </w:pPr>
      <w:r w:rsidRPr="00E01514">
        <w:rPr>
          <w:b/>
          <w:i/>
        </w:rPr>
        <w:t>Výkonnosť</w:t>
      </w:r>
    </w:p>
    <w:p w:rsidR="007000EA" w:rsidRPr="00E01514" w:rsidRDefault="007000EA" w:rsidP="007000EA">
      <w:pPr>
        <w:pStyle w:val="NormalHanging12a"/>
        <w:widowControl/>
      </w:pPr>
      <w:r w:rsidRPr="00E01514">
        <w:t>5.</w:t>
      </w:r>
      <w:r w:rsidRPr="00E01514">
        <w:tab/>
        <w:t>víta skutočnosť, že v roku 2022 agentúra vykonala 95,4 % ročného pracovného programu prijatého správnou radou v rámci jednotného programového dokumentu;</w:t>
      </w:r>
    </w:p>
    <w:p w:rsidR="007000EA" w:rsidRPr="00E01514" w:rsidRDefault="007000EA" w:rsidP="007000EA">
      <w:pPr>
        <w:pStyle w:val="NormalHanging12a"/>
        <w:widowControl/>
      </w:pPr>
      <w:r w:rsidRPr="00E01514">
        <w:t>6.</w:t>
      </w:r>
      <w:r w:rsidRPr="00E01514">
        <w:tab/>
        <w:t>s uspokojením konštatuje, že agentúra používa kľúčové ukazovatele výkonnosti na hodnotenie výsledkov svojich činností v dvoch primárnych oblastiach: operačné činnosti a horizontálne činnosti; ďalej berie na vedomie, že operačné činnosti zahŕňajú kľúčové oblasti, ako je operačná spolupráca, pomoc pri spolupráci, medzinárodný rozmer a spolupráca Únie pri činnostiach pobrežnej stráže; poznamenáva, že horizontálne činnosti zahŕňajú komunikáciu a zastupovanie, informačné a komunikačné technológie a informačnú bezpečnosť, ako aj administratívne procesy a procesy riadenia;</w:t>
      </w:r>
    </w:p>
    <w:p w:rsidR="007000EA" w:rsidRPr="00E01514" w:rsidRDefault="007000EA" w:rsidP="007000EA">
      <w:pPr>
        <w:pStyle w:val="NormalHanging12a"/>
        <w:widowControl/>
      </w:pPr>
      <w:r w:rsidRPr="00E01514">
        <w:t>7.</w:t>
      </w:r>
      <w:r w:rsidRPr="00E01514">
        <w:tab/>
        <w:t xml:space="preserve">konštatuje, že v roku 2022 sa agentúre poskytli dodatočné zdroje, ktoré jej zabezpečili potrebnú operačnú kapacitu na pomoc členským štátom a Komisii v režime monitorovania, kontroly a dohľadu spojenom so spoločnou rybárskou politikou (SRP) vrátane opatrení vyplývajúcich z dohody o obchode a spolupráci so Spojeným kráľovstvom; konštatuje, že okrem toho boli v roku 2022 zahrnuté tri nové projekty dotované grantmi v rámci nadchádzajúceho Európskeho námorného, rybolovného a </w:t>
      </w:r>
      <w:proofErr w:type="spellStart"/>
      <w:r w:rsidRPr="00E01514">
        <w:t>akvakultúrneho</w:t>
      </w:r>
      <w:proofErr w:type="spellEnd"/>
      <w:r w:rsidRPr="00E01514">
        <w:t xml:space="preserve"> fondu (ENRAF); konštatuje, že uvedené projekty zahŕňali štúdiu o procese váženia produktov rybolovu v celej Únii, virtuálnu regionálnu akadémiu v západnej časti Stredozemného mora pre odbornú prípravu v oblasti kontroly a inšpekcie rybolovu a aktualizáciu príručky a online sektorového rámca kvalifikácií pre spoluprácu Únie pri činnostiach pobrežnej stráže;</w:t>
      </w:r>
    </w:p>
    <w:p w:rsidR="007000EA" w:rsidRPr="00E01514" w:rsidRDefault="007000EA" w:rsidP="007000EA">
      <w:pPr>
        <w:pStyle w:val="NormalHanging12a"/>
        <w:widowControl/>
      </w:pPr>
      <w:r w:rsidRPr="00E01514">
        <w:t>8.</w:t>
      </w:r>
      <w:r w:rsidRPr="00E01514">
        <w:tab/>
        <w:t>pripomína, že agentúra je povinná každých päť rokov vykonávať nezávislé hodnotenie zodpovedajúce právnej povinnosti stanovenej v článku 48 nariadenia Európskeho parlamentu a Rady (EÚ) 2019/473</w:t>
      </w:r>
      <w:r w:rsidRPr="00E01514">
        <w:rPr>
          <w:rStyle w:val="FootnoteReference"/>
        </w:rPr>
        <w:footnoteReference w:id="12"/>
      </w:r>
      <w:r w:rsidRPr="00E01514">
        <w:t>; konštatuje, že za obdobie 2017 – 2021 predložil externý hodnotiteľ v júli 2022 návrh záverečnej správy, ktorý bol predložený členom správnej rady na pripomienkovanie; konštatuje, že v hodnotení sa posudzovala výkonnosť agentúry na základe piatich kritérií účinnosti, efektívnosti, relevantnosti, súdržnosti a pridanej hodnoty Únie v súlade s usmerneniami Komisie pre lepšiu právnu reguláciu; zdôrazňuje, že v hodnotení sa načrtlo desať odporúčaní zameraných na rôzne aspekty, konkrétne na organizačné otázky, či sú úloha a činnosti naďalej vhodné na splnenie cieľov stanovených v nariadení (EÚ) 2019/473, ako aj na konkrétne činnosti agentúry;</w:t>
      </w:r>
    </w:p>
    <w:p w:rsidR="007000EA" w:rsidRPr="00E01514" w:rsidRDefault="007000EA" w:rsidP="007000EA">
      <w:pPr>
        <w:pStyle w:val="NormalHanging12a"/>
      </w:pPr>
      <w:r w:rsidRPr="00E01514">
        <w:t>9.</w:t>
      </w:r>
      <w:r w:rsidRPr="00E01514">
        <w:tab/>
        <w:t>pripomína zásadný prínos agentúry k vykonávaniu SRP, najmä pokiaľ ide o kontrolu rybárstva a boj proti nezákonnému, nenahlásenému a neregulovanému rybolovu; víta posilnenie prenajatého operačných hliadkovacích plavidiel agentúry s cieľom vykonávať kontroly a inšpekcie rybolovu vo vodách Únie a v medzinárodných vodách a podporovať vnútroštátne orgány; zdôrazňuje účasť agentúry na významných medzinárodných koalíciách proti nezákonnému rybolovu, ako je program na zlepšenie regionálneho riadenia rybolovu v západnej Afrike (PESCAO);</w:t>
      </w:r>
    </w:p>
    <w:p w:rsidR="007000EA" w:rsidRPr="00E01514" w:rsidRDefault="007000EA" w:rsidP="007000EA">
      <w:pPr>
        <w:spacing w:after="240"/>
        <w:ind w:left="567" w:hanging="567"/>
      </w:pPr>
      <w:r w:rsidRPr="00E01514">
        <w:t>10.</w:t>
      </w:r>
      <w:r w:rsidRPr="00E01514">
        <w:tab/>
        <w:t>konštatuje, že agentúra v roku 2022 vykázala 47 592 inšpekcií (na mori a na pevnine), ktoré viedli k zisteniu 5 167 podozrení z porušenia predpisov, čo v porovnaní s rokom 2021 predstavuje zníženie počtu inšpekcií o 11 % a zvýšenie počtu podozrení z porušenia predpisov o 28 %; poukazuje na to, že tento pozorovaný pokles nemusí nevyhnutne súvisieť so znížením kontrolného úsilia členských štátov; vyzýva agentúru, aby poskytla podrobnejšie informácie o dôvodoch týchto zmien; poukazuje na to, že inšpekcie a iné následné činnosti zohrávajú kľúčovú úlohu nielen pri riadnom hospodárení s populáciami rýb, ale aj pri zabezpečovaní rovnakých podmienok pre rybárov z Únie;</w:t>
      </w:r>
    </w:p>
    <w:p w:rsidR="007000EA" w:rsidRPr="00E01514" w:rsidRDefault="007000EA" w:rsidP="007000EA">
      <w:pPr>
        <w:pStyle w:val="NormalHanging12a"/>
      </w:pPr>
      <w:r w:rsidRPr="00E01514">
        <w:t>11.</w:t>
      </w:r>
      <w:r w:rsidRPr="00E01514">
        <w:tab/>
        <w:t>vyzdvihuje úlohu agentúry pri poskytovaní budovania kapacít a odbornej prípravy pre tretie krajiny a kľúčovú úlohu agentúry pri zabezpečovaní rovnakých podmienok pre všetky pobrežné štáty;</w:t>
      </w:r>
    </w:p>
    <w:p w:rsidR="007000EA" w:rsidRPr="00E01514" w:rsidRDefault="007000EA" w:rsidP="007000EA">
      <w:pPr>
        <w:widowControl/>
        <w:spacing w:after="240"/>
        <w:ind w:left="567" w:hanging="567"/>
        <w:rPr>
          <w:b/>
          <w:i/>
        </w:rPr>
      </w:pPr>
      <w:r w:rsidRPr="00E01514">
        <w:rPr>
          <w:b/>
          <w:i/>
        </w:rPr>
        <w:t>Účinnosť a zisky</w:t>
      </w:r>
    </w:p>
    <w:p w:rsidR="007000EA" w:rsidRPr="00E01514" w:rsidRDefault="007000EA" w:rsidP="007000EA">
      <w:pPr>
        <w:widowControl/>
        <w:spacing w:after="240"/>
        <w:ind w:left="567" w:hanging="567"/>
      </w:pPr>
      <w:r w:rsidRPr="00E01514">
        <w:t>12.</w:t>
      </w:r>
      <w:r w:rsidRPr="00E01514">
        <w:tab/>
        <w:t xml:space="preserve">zdôrazňuje, že agentúra naďalej profituje z efektívnosti dosiahnutej dodržiavaním plánu Komisie, pokiaľ ide o začlenenie jej existujúcich systémov IT (SUMMA, moduly elektronického obstarávania pred zadaním zákazky a po zadaní zákazky, MIPS, AGM, moduly </w:t>
      </w:r>
      <w:proofErr w:type="spellStart"/>
      <w:r w:rsidRPr="00E01514">
        <w:t>Sysper</w:t>
      </w:r>
      <w:proofErr w:type="spellEnd"/>
      <w:r w:rsidRPr="00E01514">
        <w:t>, PPMT atď.); konštatuje, že okrem výhod, ktoré sa zistili v súvislosti s aspektmi integrácie medzi všetkými uvedenými systémami, existujú jasné výhody pri znižovaní nákladov na údržbu v súvislosti s podporou zmien a aktualizácií;</w:t>
      </w:r>
    </w:p>
    <w:p w:rsidR="007000EA" w:rsidRPr="00E01514" w:rsidRDefault="007000EA" w:rsidP="007000EA">
      <w:pPr>
        <w:widowControl/>
        <w:spacing w:after="240"/>
        <w:ind w:left="567" w:hanging="567"/>
      </w:pPr>
      <w:r w:rsidRPr="00E01514">
        <w:t>13.</w:t>
      </w:r>
      <w:r w:rsidRPr="00E01514">
        <w:tab/>
        <w:t xml:space="preserve">víta, že agentúra prijíma od Komisie a iných agentúr pozvania na </w:t>
      </w:r>
      <w:proofErr w:type="spellStart"/>
      <w:r w:rsidRPr="00E01514">
        <w:t>medziinštitucionálne</w:t>
      </w:r>
      <w:proofErr w:type="spellEnd"/>
      <w:r w:rsidRPr="00E01514">
        <w:t xml:space="preserve"> výzvy na predkladanie ponúk; konštatuje, že agentúra v súčasnosti využíva viac ako 45 rámcových zmlúv podpísaných inými subjektmi; konštatuje, že to vedie k rotácii vedúcej úlohy medzi agentúrami, čím sa celkovo zvyšuje efektívnosť úsilia agentúr v oblasti verejného obstarávania;</w:t>
      </w:r>
    </w:p>
    <w:p w:rsidR="007000EA" w:rsidRPr="00E01514" w:rsidRDefault="007000EA" w:rsidP="007000EA">
      <w:pPr>
        <w:widowControl/>
        <w:spacing w:after="240"/>
        <w:ind w:left="567" w:hanging="567"/>
      </w:pPr>
      <w:r w:rsidRPr="00E01514">
        <w:t>14.</w:t>
      </w:r>
      <w:r w:rsidRPr="00E01514">
        <w:tab/>
        <w:t>upozorňuje na centralizáciu spoločných administratívnych úloh, ktorá bola takisto úspešná pri hľadaní efektívnosti; berie na vedomie, že začatie a overovanie finančných operácií sú naďalej centralizované, čo umožňuje väčšiu kontrolu transakcií, zjednotenie metodiky a udržanie znalostí v uvedených oblastiach;</w:t>
      </w:r>
    </w:p>
    <w:p w:rsidR="007000EA" w:rsidRPr="00E01514" w:rsidRDefault="007000EA" w:rsidP="007000EA">
      <w:pPr>
        <w:widowControl/>
        <w:spacing w:after="240"/>
        <w:ind w:left="567" w:hanging="567"/>
      </w:pPr>
      <w:r w:rsidRPr="00E01514">
        <w:t>15.</w:t>
      </w:r>
      <w:r w:rsidRPr="00E01514">
        <w:tab/>
        <w:t>konštatuje, že ďalší nárast efektívnosti v oblasti ľudských zdrojov sa dosiahne spoločným využívaním existujúcich rezervných zoznamov v rámci postupov prijímania zamestnancov s inými agentúrami, ak profil rezervného zoznamu zodpovedá potrebám žiadajúcej agentúry; konštatuje, že tento postup umožňuje využiť rezervný zoznam inej agentúry bez toho, aby bolo potrebné zorganizovať postup prijímania zamestnancov, ktorý je náročný na zdroje;</w:t>
      </w:r>
    </w:p>
    <w:p w:rsidR="007000EA" w:rsidRPr="00E01514" w:rsidRDefault="007000EA" w:rsidP="007000EA">
      <w:pPr>
        <w:pStyle w:val="NormalHanging12a"/>
      </w:pPr>
      <w:r w:rsidRPr="00E01514">
        <w:t>16.</w:t>
      </w:r>
      <w:r w:rsidRPr="00E01514">
        <w:tab/>
        <w:t>berie na vedomie pretrvávajúcu spoluprácu agentúry aj s Európskou agentúrou pre pohraničnú a pobrežnú stráž (</w:t>
      </w:r>
      <w:proofErr w:type="spellStart"/>
      <w:r w:rsidRPr="00E01514">
        <w:t>Frontex</w:t>
      </w:r>
      <w:proofErr w:type="spellEnd"/>
      <w:r w:rsidRPr="00E01514">
        <w:t>) a Európskou námornou bezpečnostnou agentúrou (EMSA) v záujme podpory vnútroštátnych orgánov vykonávajúcich úlohy pobrežnej stráže v súlade s článkom 8 nariadenia (EÚ) 2019/473; považuje túto spoluprácu za príklad súčinnosti medzi agentúrami Únie, ktorý by mal inšpirovať agentúry v iných oblastiach; vyzýva agentúru, aby v tejto súvislosti pokračovala vo svojom úsilí, a takisto považuje za vhodné zintenzívniť spoluprácu medzi agentúrou a Európskou environmentálnou agentúrou;</w:t>
      </w:r>
    </w:p>
    <w:p w:rsidR="007000EA" w:rsidRPr="00E01514" w:rsidRDefault="007000EA" w:rsidP="007000EA">
      <w:pPr>
        <w:widowControl/>
        <w:spacing w:after="240"/>
        <w:ind w:left="567" w:hanging="567"/>
        <w:rPr>
          <w:b/>
          <w:i/>
          <w:szCs w:val="24"/>
        </w:rPr>
      </w:pPr>
      <w:r w:rsidRPr="00E01514">
        <w:rPr>
          <w:b/>
          <w:i/>
        </w:rPr>
        <w:t>Personálna politika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17.</w:t>
      </w:r>
      <w:r w:rsidRPr="00E01514">
        <w:tab/>
        <w:t>konštatuje, že k 31. decembru 2022 bol plán pracovných miest naplnený na 96,10 %, pričom zo 77 miest pre dočasných zamestnancov schválených v rámci rozpočtu Únie bolo obsadených 74 (65 schválených pracovných miest v roku 2021); poznamenáva, že v roku 2022 agentúra okrem toho zamestnávala 11 zmluvných zamestnancov, 6 vyslaných národných expertov a 16 dočasných agentúrnych zamestnancov a poradcov; ďalej konštatuje, že okrem toho bolo v rámci rôznych projektov podporených celkovo 13 zmluvných zamestnancov prostredníctvom grantov ad hoc a dohôd o príspevku;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18.</w:t>
      </w:r>
      <w:r w:rsidRPr="00E01514">
        <w:tab/>
        <w:t>berie na vedomie reorganizáciu, ktorá sa uskutočnila vo februári 2022 s cieľom prispôsobiť organizáciu dodatočným úlohám a zdrojom prideleným agentúre s cieľom posilniť potrebnú operačnú kapacitu na pomoc pri monitorovaní a kontrole rybárstva a dohľade nad ním, ako sa vyžaduje v spoločnej rybárskej politike (SRP), vrátane opatrení vyplývajúcich z dohody o obchode a spolupráci so Spojeným kráľovstvom a niekoľkých nových projektov v rámci dohôd o príspevku; zdôrazňuje, že nárast počtu zamestnancov predstavoval takmer 50 % v porovnaní so situáciou na začiatku roka 2021, a to vrátane dočasných zamestnancov, zmluvných zamestnancov a vyslaných národných expertov;</w:t>
      </w:r>
    </w:p>
    <w:p w:rsidR="007000EA" w:rsidRPr="00E01514" w:rsidRDefault="007000EA" w:rsidP="007000EA">
      <w:pPr>
        <w:pStyle w:val="NormalHanging12a"/>
      </w:pPr>
      <w:r w:rsidRPr="00E01514">
        <w:t>19.</w:t>
      </w:r>
      <w:r w:rsidRPr="00E01514">
        <w:tab/>
        <w:t>berie na vedomie politiku agentúry zameranú na podporu rovnakého zaobchádzania so zamestnancami a jej cieľ rodovej rovnosti, pokiaľ ide o počty, platové triedy aj úroveň zodpovednosti; berie na vedomie rodovú rovnováhu medzi zamestnancami agentúry celkovo, kde 54 zo 106 zamestnancov (51 %) sú ženy; vyjadruje poľutovanie nad tým, že 38 % zamestnancov v platovej triede AD 8 (funkčná skupina administrátora, trieda 8) a vyšších tvorili ženy (rovnako ako v roku 2021); pripomína, že je dôležité zabezpečiť rodovú rovnováhu, a vyzýva agentúru, aby tento aspekt zohľadnila pri vymenovaniach do vrcholového a stredného manažmentu; konštatuje, že hoci agentúra v roku 2022 neprijala Chartu o rozmanitosti a začlenení, jej opatrenia boli zamerané na splnenie cieľa č. 5 v rámci cieľov udržateľného rozvoja v oblasti rodovej rovnosti, ako sa uvádza v jej cieľoch;</w:t>
      </w:r>
    </w:p>
    <w:p w:rsidR="007000EA" w:rsidRPr="00E01514" w:rsidRDefault="007000EA" w:rsidP="007000EA">
      <w:pPr>
        <w:pStyle w:val="NormalHanging12a"/>
      </w:pPr>
      <w:r w:rsidRPr="00E01514">
        <w:t>20.</w:t>
      </w:r>
      <w:r w:rsidRPr="00E01514">
        <w:tab/>
        <w:t>konštatuje, že k 31. decembru 2022 agentúra zamestnávala personál z 18 členských štátov; konštatuje, že 33 % zamestnancov nadácie sú štátni príslušníci členského štátu, v ktorom má agentúra sídlo; pripomína význam geografickej rovnováhy a nabáda agentúru, aby naďalej prijímala potrebné opatrenia na zaistenie vyváženého a spravodlivého geografického zastúpenia;</w:t>
      </w:r>
    </w:p>
    <w:p w:rsidR="007000EA" w:rsidRPr="00E01514" w:rsidRDefault="007000EA" w:rsidP="007000EA">
      <w:pPr>
        <w:pStyle w:val="NormalHanging12a"/>
        <w:widowControl/>
      </w:pPr>
      <w:r w:rsidRPr="00E01514">
        <w:t>21.</w:t>
      </w:r>
      <w:r w:rsidRPr="00E01514">
        <w:tab/>
        <w:t>berie na vedomie, že od 1. októbra 2022 agentúra analogicky uplatňuje pravidlá Komisie týkajúce sa pracovného času a hybridnej práce;</w:t>
      </w:r>
    </w:p>
    <w:p w:rsidR="007000EA" w:rsidRPr="00E01514" w:rsidRDefault="007000EA" w:rsidP="007000EA">
      <w:pPr>
        <w:pStyle w:val="NormalHanging12a"/>
        <w:widowControl/>
      </w:pPr>
      <w:r w:rsidRPr="00E01514">
        <w:t>22.</w:t>
      </w:r>
      <w:r w:rsidRPr="00E01514">
        <w:tab/>
        <w:t xml:space="preserve">konštatuje, že v roku 2022 zavádzanie modulov </w:t>
      </w:r>
      <w:proofErr w:type="spellStart"/>
      <w:r w:rsidRPr="00E01514">
        <w:t>Sysper</w:t>
      </w:r>
      <w:proofErr w:type="spellEnd"/>
      <w:r w:rsidRPr="00E01514">
        <w:t xml:space="preserve"> zahŕňalo zavedenie funkcie pracovného voľna z osobných dôvodov, pridanie „výplatných pások NDP“ pre dočasných a zmluvných zamestnancov, zavedenie novej funkcie umožňujúcej požiadať o </w:t>
      </w:r>
      <w:proofErr w:type="spellStart"/>
      <w:r w:rsidRPr="00E01514">
        <w:t>teleprácu</w:t>
      </w:r>
      <w:proofErr w:type="spellEnd"/>
      <w:r w:rsidRPr="00E01514">
        <w:t xml:space="preserve"> zo zahraničia (príležitostná </w:t>
      </w:r>
      <w:proofErr w:type="spellStart"/>
      <w:r w:rsidRPr="00E01514">
        <w:t>telepráca</w:t>
      </w:r>
      <w:proofErr w:type="spellEnd"/>
      <w:r w:rsidRPr="00E01514">
        <w:t xml:space="preserve">) pre dočasných a zmluvných zamestnancov, ako aj pracovný postup ADI „ad </w:t>
      </w:r>
      <w:proofErr w:type="spellStart"/>
      <w:r w:rsidRPr="00E01514">
        <w:t>interim</w:t>
      </w:r>
      <w:proofErr w:type="spellEnd"/>
      <w:r w:rsidRPr="00E01514">
        <w:t xml:space="preserve">“; okrem toho sa zaviedli funkcie systému </w:t>
      </w:r>
      <w:proofErr w:type="spellStart"/>
      <w:r w:rsidRPr="00E01514">
        <w:t>Sysper</w:t>
      </w:r>
      <w:proofErr w:type="spellEnd"/>
      <w:r w:rsidRPr="00E01514">
        <w:t xml:space="preserve"> súvisiace s vykonávaním nových pravidiel týkajúcich sa pracovného času a hybridnej práce, ako aj modul STAGE a vykonali sa prípravné práce na moduloch EVAL a OBJ;</w:t>
      </w:r>
    </w:p>
    <w:p w:rsidR="007000EA" w:rsidRPr="00E01514" w:rsidRDefault="007000EA" w:rsidP="007000EA">
      <w:pPr>
        <w:pStyle w:val="NormalHanging12a"/>
        <w:rPr>
          <w:b/>
          <w:i/>
          <w:szCs w:val="24"/>
        </w:rPr>
      </w:pPr>
      <w:r w:rsidRPr="00E01514">
        <w:rPr>
          <w:b/>
          <w:i/>
        </w:rPr>
        <w:t>Prevencia, riešenie konfliktov záujmov a transparentnosť</w:t>
      </w:r>
    </w:p>
    <w:p w:rsidR="007000EA" w:rsidRPr="00E01514" w:rsidRDefault="007000EA" w:rsidP="007000EA">
      <w:pPr>
        <w:pStyle w:val="NormalHanging12a"/>
        <w:rPr>
          <w:szCs w:val="24"/>
        </w:rPr>
      </w:pPr>
      <w:r w:rsidRPr="00E01514">
        <w:t>23.</w:t>
      </w:r>
      <w:r w:rsidRPr="00E01514">
        <w:tab/>
        <w:t>konštatuje, že agentúra na svojom webovom sídle uverejňuje vyhlásenia o záujmoch a životopisy členov správnej rady a vyššieho manažmentu; poznamenáva tiež, že agentúra pravidelne aktualizuje tabuľku s informáciami o všetkých stretnutiach výkonnej riaditeľky a zamestnancov s organizáciami alebo samostatne zárobkovo činnými osobami zapojenými do tvorby a vykonávania politiky Únie, a to s cieľom zabezpečiť úplnú transparentnosť a dôveru v činnosť agentúry, a že tabuľka je k dispozícii na jej webovom sídle;</w:t>
      </w:r>
    </w:p>
    <w:p w:rsidR="007000EA" w:rsidRPr="00E01514" w:rsidRDefault="007000EA" w:rsidP="007000EA">
      <w:pPr>
        <w:pStyle w:val="NormalHanging12a"/>
      </w:pPr>
      <w:r w:rsidRPr="00E01514">
        <w:t>24.</w:t>
      </w:r>
      <w:r w:rsidRPr="00E01514">
        <w:tab/>
        <w:t>vyzýva agentúru, aby naďalej pravidelne aktualizovala a zverejňovala informácie o príslušných stretnutiach výkonnej riaditeľky a zamestnancov s organizáciami alebo so samostatne zárobkovo činnými osobami zapojenými do tvorby a vykonávania politiky Únie, a to s cieľom zabezpečiť úplnú transparentnosť a dôveru v činnosť agentúry;</w:t>
      </w:r>
    </w:p>
    <w:p w:rsidR="007000EA" w:rsidRPr="00E01514" w:rsidRDefault="007000EA" w:rsidP="007000EA">
      <w:pPr>
        <w:pStyle w:val="NormalHanging12a"/>
        <w:rPr>
          <w:szCs w:val="24"/>
        </w:rPr>
      </w:pPr>
      <w:r w:rsidRPr="00E01514">
        <w:t>25.</w:t>
      </w:r>
      <w:r w:rsidRPr="00E01514">
        <w:tab/>
        <w:t>berie na vedomie, že agentúra uplatňuje svoju politiku v oblasti konfliktu záujmov voči svojim zamestnancom, vyslaným národným expertom, plateným externým expertom, stážistom a členom správnej a poradnej rady; konštatuje, že svojim zamestnancom ju oznamuje prostredníctvom intranetu a školení a že ostatní zamestnanci a experti sa zaväzujú k jej dodržiavaniu podpísaním vyhlásení a záväzkov zachovávať dôvernosť; ďalej konštatuje, že osobitné ustanovenia o konflikte záujmov zmluvných partnerov agentúry vrátane dočasných agentúrnych zamestnancov poskytujúcich služby sú stanovené vo všeobecných podmienkach zmlúv agentúry;</w:t>
      </w:r>
    </w:p>
    <w:p w:rsidR="007000EA" w:rsidRPr="00E01514" w:rsidRDefault="007000EA" w:rsidP="007000EA">
      <w:pPr>
        <w:pStyle w:val="NormalHanging12a"/>
        <w:rPr>
          <w:szCs w:val="24"/>
        </w:rPr>
      </w:pPr>
      <w:r w:rsidRPr="00E01514">
        <w:t>26.</w:t>
      </w:r>
      <w:r w:rsidRPr="00E01514">
        <w:tab/>
        <w:t>berie na vedomie, že agentúra má od roku 2014 zavedenú stratégiu boja proti podvodom, ktorá sa pravidelne aktualizuje a v súčasnosti sa zameriava na vykonávanie opatrení na zmiernenie rizík podvodov identifikovaných v posúdeniach rizík; konštatuje, že najnovšia aktualizácia z roku 2022, ktorú schválila správna rada, zdôrazňuje pokračujúce úsilie o zvyšovanie informovanosti o etike a integrite;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rPr>
          <w:b/>
          <w:i/>
        </w:rPr>
        <w:t>Verejné obstarávanie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27.</w:t>
      </w:r>
      <w:r w:rsidRPr="00E01514">
        <w:tab/>
        <w:t xml:space="preserve">berie na vedomie, že podľa Dvora audítorov agentúra v roku 2022 podpísala rámcovú zmluvu v hodnote 90 miliónov EUR na prenájom troch operačných hliadkovacích plavidiel s počiatočným trvaním 24 mesiacov, ktorá sa má automaticky predĺžiť štyrikrát, zakaždým na ďalších 12 mesiacov, celkovo najviac šesť rokov; pripomína, že v bode 1.1 prílohy 1 k nariadeniu Európskeho parlamentu a Rady (EÚ, </w:t>
      </w:r>
      <w:proofErr w:type="spellStart"/>
      <w:r w:rsidRPr="00E01514">
        <w:t>Euratom</w:t>
      </w:r>
      <w:proofErr w:type="spellEnd"/>
      <w:r w:rsidRPr="00E01514">
        <w:t>) 2018/1046</w:t>
      </w:r>
      <w:r w:rsidRPr="00E01514">
        <w:rPr>
          <w:rStyle w:val="FootnoteReference"/>
          <w:szCs w:val="24"/>
        </w:rPr>
        <w:footnoteReference w:id="13"/>
      </w:r>
      <w:r w:rsidRPr="00E01514">
        <w:t xml:space="preserve"> (nariadenie o rozpočtových pravidlách) sa povoľujú rámcové zmluvy s trvaním viac ako štyri roky, ale len vo výnimočných, riadne odôvodnených prípadoch; konštatuje, že agentúra odôvodnila dlhšiu zmluvu potrebou zabezpečiť primeranú návratnosť investícií pre dodávateľov, ktorí boli povinní vybaviť plavidlá nafukovacími člnmi s pevným trupom; ďalej konštatuje, že Dvor audítorov považoval toto odôvodnenie za nedostatočné, pretože náklady na úpravy sa odhadovali na len približne 1 % celkovej hodnoty zákazky, a okrem toho si agentúra ponechala možnosť jednostranne vypovedať zmluvu po prvých dvoch rokoch a po každom nasledujúcom roku, čo spochybňuje argument, že dodávateľ potreboval zaručené šesťročné trvanie zmluvy na zabezpečenie návratnosti investícií; zdôrazňuje, že Dvor audítorov bude považovať následné súvisiace platby za neoprávnené, ak sa platnosť zmluvy predĺži nad rámec štvorročného limitu; konštatuje, že podľa agentúry pri príprave postupu agentúra usúdila, že bežné štvorročné trvanie zmluvy by trh nemusel vnímať ako poskytujúce dostatočnú návratnosť investícií, pričom úspešné poskytovanie a kontinuita služieb, ktoré sú predmetom súvisiacej rámcovej zmluvy, majú kritický význam pre jej hlavné operácie;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28.</w:t>
      </w:r>
      <w:r w:rsidRPr="00E01514">
        <w:tab/>
        <w:t>pripomína význam toho, aby sa pri každom postupe verejného obstarávania zabezpečila spravodlivá hospodárska súťaž medzi uchádzačmi a obstaral tovar a služby za najlepšiu cenu pri dodržaní zásad transparentnosti, proporcionality, rovnakého zaobchádzania a nediskriminácie; vyzýva agentúru, aby zlepšila svoje postupy verejného obstarávania a zabezpečila úplný súlad s platnými pravidlami, aby sa tak dosiahol najlepší možný pomer medzi kvalitou a vynaloženými verejnými zdrojmi;</w:t>
      </w:r>
    </w:p>
    <w:p w:rsidR="007000EA" w:rsidRPr="00E01514" w:rsidRDefault="007000EA" w:rsidP="007000EA">
      <w:pPr>
        <w:widowControl/>
        <w:spacing w:after="240"/>
        <w:ind w:left="567" w:hanging="567"/>
        <w:rPr>
          <w:b/>
          <w:i/>
          <w:szCs w:val="24"/>
        </w:rPr>
      </w:pPr>
      <w:r w:rsidRPr="00E01514">
        <w:rPr>
          <w:b/>
          <w:i/>
        </w:rPr>
        <w:t>Vnútorná kontrola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29.</w:t>
      </w:r>
      <w:r w:rsidRPr="00E01514">
        <w:tab/>
        <w:t>vyjadruje znepokojenie nad zistením Dvora audítorov, že v postupoch použitých na výber a najímanie externých expertov systematicky chýbal primeraný audítorský záznam v súlade s článkom 36 ods. 3 nariadenia o rozpočtových pravidlách; konštatuje, že konkrétne nezískal dostatočné dôkazy o tom, že experti boli pridelení na úlohy na základe vopred vymedzených podmienok účasti týkajúcich sa ich relatívnych zásluh a že boli dodržané zásady nediskriminácie a rovnakého zaobchádzania stanovené v článku 237 nariadenia o rozpočtových pravidlách; vyzýva agentúru, aby posilnila svoje vnútorné postupy výberu a najímania externých expertov a aby orgánu udeľujúcemu absolutórium podala správu o všetkých krokoch prijatých v tejto súvislosti;</w:t>
      </w:r>
    </w:p>
    <w:p w:rsidR="007000EA" w:rsidRPr="00E01514" w:rsidRDefault="007000EA" w:rsidP="007000EA">
      <w:pPr>
        <w:widowControl/>
        <w:spacing w:after="240"/>
        <w:ind w:left="567" w:hanging="567"/>
        <w:rPr>
          <w:szCs w:val="24"/>
        </w:rPr>
      </w:pPr>
      <w:r w:rsidRPr="00E01514">
        <w:t>30.</w:t>
      </w:r>
      <w:r w:rsidRPr="00E01514">
        <w:tab/>
        <w:t>so znepokojením konštatuje, že podľa Dvora audítorov agentúra v máji 2022 začala rokovacie konanie bez predchádzajúceho uverejnenia oznámenia o vyhlásení verejného obstarávania na prenájom operačného hliadkovacieho plavidla, ktoré sa má používať vo vodách medzi Úniou a Spojeným kráľovstvom, pričom v júni 2022 podpísala zmluvu s cieľom preklenúť medzeru medzi predchádzajúcimi a nadchádzajúcimi zmluvami v rámci prebiehajúceho otvoreného konania, ktoré trvalo dlhšie, ako sa pôvodne očakávalo; berie na vedomie, že agentúra odôvodnila naliehavosť použitím výnimky v nariadení o rozpočtových pravidlách, pričom sa odvolala na nepredvídateľné udalosti, čo je výnimka povolená v bode 11.1 písm. c) prílohy I k nariadeniu o rozpočtových pravidlách; konštatuje, že Dvor audítorov dospel k záveru, že hoci niektoré faktory, ktoré spôsobili túto naliehavosť, nemuseli byť predvídateľné, iné predvídateľné boli a skutočnosť, že neboli primerane zohľadnené, naznačuje nedostatky v plánovaní agentúry a jej riadení verejného obstarávania na prenájom troch plavidiel; vyzýva agentúru, aby riešila a napravila nedostatky vo svojom plánovaní a riadení verejného obstarávania, ako uviedol Dvor audítorov, a aby čo najskôr informovala orgán udeľujúci absolutórium o opatreniach prijatých v tejto súvislosti;</w:t>
      </w:r>
    </w:p>
    <w:p w:rsidR="007000EA" w:rsidRPr="00E01514" w:rsidRDefault="007000EA" w:rsidP="007000EA">
      <w:pPr>
        <w:widowControl/>
        <w:spacing w:after="240"/>
        <w:ind w:left="567" w:hanging="567"/>
        <w:rPr>
          <w:b/>
          <w:i/>
          <w:szCs w:val="24"/>
        </w:rPr>
      </w:pPr>
      <w:r w:rsidRPr="00E01514">
        <w:rPr>
          <w:b/>
          <w:i/>
        </w:rPr>
        <w:t>Ďalšie pripomienky</w:t>
      </w:r>
    </w:p>
    <w:p w:rsidR="007000EA" w:rsidRPr="00E01514" w:rsidRDefault="007000EA" w:rsidP="007000EA">
      <w:pPr>
        <w:widowControl/>
        <w:spacing w:after="240"/>
        <w:ind w:left="567" w:hanging="567"/>
      </w:pPr>
      <w:r w:rsidRPr="00E01514">
        <w:t>31.</w:t>
      </w:r>
      <w:r w:rsidRPr="00E01514">
        <w:tab/>
        <w:t>berie na vedomie, že agentúra nevykonala certifikáciu schémy pre environmentálne manažérstvo a audit (EMAS), keďže úsilie je zamerané na podporu iných projektov;</w:t>
      </w:r>
      <w:r w:rsidRPr="00E01514">
        <w:rPr>
          <w:rFonts w:ascii="Segoe UI" w:hAnsi="Segoe UI"/>
          <w:color w:val="374151"/>
        </w:rPr>
        <w:t xml:space="preserve"> </w:t>
      </w:r>
      <w:r w:rsidRPr="00E01514">
        <w:t>pripomína, že cieľom schémy je podporovať neustále zlepšovanie environmentálneho správania organizácií; nabáda agentúru, aby podnikla kroky na vykonávanie EMAS;</w:t>
      </w:r>
    </w:p>
    <w:p w:rsidR="0044669A" w:rsidRPr="00E01514" w:rsidRDefault="0044669A" w:rsidP="0044669A">
      <w:pPr>
        <w:widowControl/>
        <w:spacing w:after="240"/>
        <w:jc w:val="center"/>
        <w:rPr>
          <w:szCs w:val="24"/>
        </w:rPr>
      </w:pPr>
      <w:r w:rsidRPr="00E01514">
        <w:rPr>
          <w:szCs w:val="24"/>
        </w:rPr>
        <w:t>°</w:t>
      </w:r>
    </w:p>
    <w:p w:rsidR="0044669A" w:rsidRPr="00E01514" w:rsidRDefault="0044669A" w:rsidP="0044669A">
      <w:pPr>
        <w:widowControl/>
        <w:spacing w:after="240"/>
        <w:jc w:val="center"/>
        <w:rPr>
          <w:szCs w:val="24"/>
        </w:rPr>
      </w:pPr>
      <w:r w:rsidRPr="00E01514">
        <w:rPr>
          <w:szCs w:val="24"/>
        </w:rPr>
        <w:t>°     °</w:t>
      </w:r>
    </w:p>
    <w:p w:rsidR="007000EA" w:rsidRPr="00E01514" w:rsidRDefault="007000EA" w:rsidP="007000EA">
      <w:pPr>
        <w:pStyle w:val="NormalHanging12a"/>
      </w:pPr>
      <w:r w:rsidRPr="00E01514">
        <w:t>32.</w:t>
      </w:r>
      <w:r w:rsidRPr="00E01514">
        <w:tab/>
        <w:t>pokiaľ ide o ďalšie poznámky horizontálnej povahy, ktoré sú súčasťou rozhodnutia o absolutóriu, odvoláva sa na svoje uznesenie z</w:t>
      </w:r>
      <w:r w:rsidR="0044669A" w:rsidRPr="00E01514">
        <w:t> </w:t>
      </w:r>
      <w:r w:rsidR="00086D88" w:rsidRPr="00E01514">
        <w:t>11</w:t>
      </w:r>
      <w:r w:rsidR="0044669A" w:rsidRPr="00E01514">
        <w:t>. apríla 2024</w:t>
      </w:r>
      <w:r w:rsidRPr="00E01514">
        <w:rPr>
          <w:vertAlign w:val="superscript"/>
        </w:rPr>
        <w:footnoteReference w:id="14"/>
      </w:r>
      <w:r w:rsidRPr="00E01514">
        <w:t xml:space="preserve"> o výkonnosti, finančnom riadení a kontrole agentúr.</w:t>
      </w:r>
    </w:p>
    <w:sectPr w:rsidR="007000EA" w:rsidRPr="00E01514" w:rsidSect="00CE02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4E9" w:rsidRPr="00CE0274" w:rsidRDefault="005D04E9">
      <w:r w:rsidRPr="00CE0274">
        <w:separator/>
      </w:r>
    </w:p>
  </w:endnote>
  <w:endnote w:type="continuationSeparator" w:id="0">
    <w:p w:rsidR="005D04E9" w:rsidRPr="00CE0274" w:rsidRDefault="005D04E9">
      <w:r w:rsidRPr="00CE02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EA" w:rsidRPr="00CE0274" w:rsidRDefault="007000EA" w:rsidP="002547A3">
    <w:pPr>
      <w:pStyle w:val="EPFooter"/>
    </w:pPr>
    <w:r w:rsidRPr="00CE0274">
      <w:t>PE</w:t>
    </w:r>
    <w:r w:rsidRPr="00CE0274">
      <w:rPr>
        <w:rStyle w:val="HideTWBExt"/>
      </w:rPr>
      <w:t>&lt;NoPE&gt;</w:t>
    </w:r>
    <w:r w:rsidRPr="00CE0274">
      <w:t>753.518</w:t>
    </w:r>
    <w:r w:rsidRPr="00CE0274">
      <w:rPr>
        <w:rStyle w:val="HideTWBExt"/>
      </w:rPr>
      <w:t>&lt;/NoPE&gt;&lt;Version&gt;</w:t>
    </w:r>
    <w:r w:rsidRPr="00CE0274">
      <w:t>v02-00</w:t>
    </w:r>
    <w:r w:rsidRPr="00CE0274">
      <w:rPr>
        <w:rStyle w:val="HideTWBExt"/>
      </w:rPr>
      <w:t>&lt;/Version&gt;</w:t>
    </w:r>
    <w:r w:rsidRPr="00CE0274">
      <w:tab/>
    </w:r>
    <w:r w:rsidRPr="00CE0274">
      <w:fldChar w:fldCharType="begin"/>
    </w:r>
    <w:r w:rsidRPr="00CE0274">
      <w:instrText xml:space="preserve"> PAGE  \* MERGEFORMAT </w:instrText>
    </w:r>
    <w:r w:rsidRPr="00CE0274">
      <w:fldChar w:fldCharType="separate"/>
    </w:r>
    <w:r w:rsidR="00CE0274" w:rsidRPr="00CE0274">
      <w:rPr>
        <w:noProof/>
      </w:rPr>
      <w:t>2</w:t>
    </w:r>
    <w:r w:rsidRPr="00CE0274">
      <w:fldChar w:fldCharType="end"/>
    </w:r>
    <w:r w:rsidRPr="00CE0274">
      <w:t>/</w:t>
    </w:r>
    <w:r w:rsidR="00B84B30">
      <w:fldChar w:fldCharType="begin"/>
    </w:r>
    <w:r w:rsidR="00B84B30">
      <w:instrText xml:space="preserve"> NUMPAGES  \* MERGEFORMAT </w:instrText>
    </w:r>
    <w:r w:rsidR="00B84B30">
      <w:fldChar w:fldCharType="separate"/>
    </w:r>
    <w:r w:rsidR="00CE0274" w:rsidRPr="00CE0274">
      <w:rPr>
        <w:noProof/>
      </w:rPr>
      <w:t>4</w:t>
    </w:r>
    <w:r w:rsidR="00B84B30">
      <w:rPr>
        <w:noProof/>
      </w:rPr>
      <w:fldChar w:fldCharType="end"/>
    </w:r>
    <w:r w:rsidRPr="00CE0274">
      <w:tab/>
    </w:r>
    <w:r w:rsidRPr="00CE0274">
      <w:rPr>
        <w:rStyle w:val="HideTWBExt"/>
      </w:rPr>
      <w:t>&lt;PathFdR&gt;</w:t>
    </w:r>
    <w:r w:rsidRPr="00CE0274">
      <w:t>RR\1298773SK.docx</w:t>
    </w:r>
    <w:r w:rsidRPr="00CE0274">
      <w:rPr>
        <w:rStyle w:val="HideTWBExt"/>
      </w:rPr>
      <w:t>&lt;/PathFdR&gt;</w:t>
    </w:r>
  </w:p>
  <w:p w:rsidR="007000EA" w:rsidRPr="00CE0274" w:rsidRDefault="007000EA" w:rsidP="002547A3">
    <w:pPr>
      <w:pStyle w:val="EPFooter2"/>
    </w:pPr>
    <w:r w:rsidRPr="00CE0274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EA" w:rsidRPr="00CE0274" w:rsidRDefault="007000EA" w:rsidP="002547A3">
    <w:pPr>
      <w:pStyle w:val="EPFooter"/>
    </w:pPr>
    <w:r w:rsidRPr="00CE0274">
      <w:rPr>
        <w:rStyle w:val="HideTWBExt"/>
      </w:rPr>
      <w:t>&lt;PathFdR&gt;</w:t>
    </w:r>
    <w:r w:rsidRPr="00CE0274">
      <w:t>RR\1298773SK.docx</w:t>
    </w:r>
    <w:r w:rsidRPr="00CE0274">
      <w:rPr>
        <w:rStyle w:val="HideTWBExt"/>
      </w:rPr>
      <w:t>&lt;/PathFdR&gt;</w:t>
    </w:r>
    <w:r w:rsidRPr="00CE0274">
      <w:tab/>
    </w:r>
    <w:r w:rsidRPr="00CE0274">
      <w:tab/>
      <w:t>PE</w:t>
    </w:r>
    <w:r w:rsidRPr="00CE0274">
      <w:rPr>
        <w:rStyle w:val="HideTWBExt"/>
      </w:rPr>
      <w:t>&lt;NoPE&gt;</w:t>
    </w:r>
    <w:r w:rsidRPr="00CE0274">
      <w:t>753.518</w:t>
    </w:r>
    <w:r w:rsidRPr="00CE0274">
      <w:rPr>
        <w:rStyle w:val="HideTWBExt"/>
      </w:rPr>
      <w:t>&lt;/NoPE&gt;&lt;Version&gt;</w:t>
    </w:r>
    <w:r w:rsidRPr="00CE0274">
      <w:t>v02-00</w:t>
    </w:r>
    <w:r w:rsidRPr="00CE0274">
      <w:rPr>
        <w:rStyle w:val="HideTWBExt"/>
      </w:rPr>
      <w:t>&lt;/Version&gt;</w:t>
    </w:r>
  </w:p>
  <w:p w:rsidR="007000EA" w:rsidRPr="00CE0274" w:rsidRDefault="007000EA" w:rsidP="002547A3">
    <w:pPr>
      <w:pStyle w:val="EPFooter2"/>
    </w:pPr>
    <w:r w:rsidRPr="00CE0274">
      <w:t>SK</w:t>
    </w:r>
    <w:r w:rsidRPr="00CE0274">
      <w:tab/>
    </w:r>
    <w:r w:rsidRPr="00CE0274">
      <w:rPr>
        <w:b w:val="0"/>
        <w:i/>
        <w:color w:val="C0C0C0"/>
        <w:sz w:val="22"/>
      </w:rPr>
      <w:t>Zjednotení v rozmanitosti</w:t>
    </w:r>
    <w:r w:rsidRPr="00CE0274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7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7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4E9" w:rsidRPr="00CE0274" w:rsidRDefault="005D04E9">
      <w:r w:rsidRPr="00CE0274">
        <w:separator/>
      </w:r>
    </w:p>
  </w:footnote>
  <w:footnote w:type="continuationSeparator" w:id="0">
    <w:p w:rsidR="005D04E9" w:rsidRPr="00CE0274" w:rsidRDefault="005D04E9">
      <w:r w:rsidRPr="00CE0274">
        <w:continuationSeparator/>
      </w:r>
    </w:p>
  </w:footnote>
  <w:footnote w:id="1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 v. EÚ C, C/2023/594, 27.10.2023.</w:t>
      </w:r>
    </w:p>
  </w:footnote>
  <w:footnote w:id="2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 v. EÚ C, C/2023/112, 12.10.2023.</w:t>
      </w:r>
    </w:p>
  </w:footnote>
  <w:footnote w:id="3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 v. EÚ L 193, 30.7.2018, s. 1.</w:t>
      </w:r>
    </w:p>
  </w:footnote>
  <w:footnote w:id="4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 v. EÚ L 83, 25.3.2019, s. 18.</w:t>
      </w:r>
    </w:p>
  </w:footnote>
  <w:footnote w:id="5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 v. EÚ L 122, 10.5.2019, s. 1.</w:t>
      </w:r>
    </w:p>
  </w:footnote>
  <w:footnote w:id="6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 v. EÚ C, C/2023/594, 27.10.2023.</w:t>
      </w:r>
    </w:p>
  </w:footnote>
  <w:footnote w:id="7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 v. EÚ C, C/2023/112, 12.10.2023.</w:t>
      </w:r>
    </w:p>
  </w:footnote>
  <w:footnote w:id="8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 v. EÚ L 193, 30.7.2018, s. 1.</w:t>
      </w:r>
    </w:p>
  </w:footnote>
  <w:footnote w:id="9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 v. EÚ L 83, 25.3.2019, s. 18.</w:t>
      </w:r>
    </w:p>
  </w:footnote>
  <w:footnote w:id="10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 v. EÚ L 122, 10.5.2019, s. 1.</w:t>
      </w:r>
    </w:p>
  </w:footnote>
  <w:footnote w:id="11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Ú. v. EÚ C 38, 31.1.2023, s. </w:t>
      </w:r>
      <w:r w:rsidR="00B84B30">
        <w:rPr>
          <w:sz w:val="24"/>
          <w:lang w:val="sk-SK"/>
        </w:rPr>
        <w:t>65</w:t>
      </w:r>
      <w:bookmarkStart w:id="12" w:name="_GoBack"/>
      <w:bookmarkEnd w:id="12"/>
      <w:r w:rsidRPr="00CE0274">
        <w:rPr>
          <w:sz w:val="24"/>
          <w:lang w:val="sk-SK"/>
        </w:rPr>
        <w:t>.</w:t>
      </w:r>
    </w:p>
  </w:footnote>
  <w:footnote w:id="12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Nariadenie Európskeho parlamentu a Rady (EÚ) 2019/473 z 19. marca 2019 o Európskej agentúre pre kontrolu rybárstva (Ú. v. EÚ L 83, 25.3.2019, s. 18).</w:t>
      </w:r>
    </w:p>
  </w:footnote>
  <w:footnote w:id="13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 xml:space="preserve">Nariadenie Európskeho parlamentu a Rady (EÚ, </w:t>
      </w:r>
      <w:proofErr w:type="spellStart"/>
      <w:r w:rsidRPr="00CE0274">
        <w:rPr>
          <w:sz w:val="24"/>
          <w:lang w:val="sk-SK"/>
        </w:rPr>
        <w:t>Euratom</w:t>
      </w:r>
      <w:proofErr w:type="spellEnd"/>
      <w:r w:rsidRPr="00CE0274">
        <w:rPr>
          <w:sz w:val="24"/>
          <w:lang w:val="sk-SK"/>
        </w:rPr>
        <w:t xml:space="preserve">) 2018/1046 z 18. júla 2018 o 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CE0274">
        <w:rPr>
          <w:sz w:val="24"/>
          <w:lang w:val="sk-SK"/>
        </w:rPr>
        <w:t>Euratom</w:t>
      </w:r>
      <w:proofErr w:type="spellEnd"/>
      <w:r w:rsidRPr="00CE0274">
        <w:rPr>
          <w:sz w:val="24"/>
          <w:lang w:val="sk-SK"/>
        </w:rPr>
        <w:t>) č. 966/2012 (Ú. v. EÚ L 193, 30.7.2018, s. 1).</w:t>
      </w:r>
    </w:p>
  </w:footnote>
  <w:footnote w:id="14">
    <w:p w:rsidR="007000EA" w:rsidRPr="00CE0274" w:rsidRDefault="007000EA" w:rsidP="00CE0274">
      <w:pPr>
        <w:pStyle w:val="FootnoteText"/>
        <w:ind w:left="567" w:hanging="567"/>
        <w:rPr>
          <w:sz w:val="24"/>
          <w:lang w:val="sk-SK"/>
        </w:rPr>
      </w:pPr>
      <w:r w:rsidRPr="00CE0274">
        <w:rPr>
          <w:rStyle w:val="FootnoteReference"/>
          <w:sz w:val="24"/>
          <w:lang w:val="sk-SK"/>
        </w:rPr>
        <w:footnoteRef/>
      </w:r>
      <w:r w:rsidR="00CE0274" w:rsidRPr="00CE0274">
        <w:rPr>
          <w:sz w:val="24"/>
          <w:lang w:val="sk-SK"/>
        </w:rPr>
        <w:t xml:space="preserve"> </w:t>
      </w:r>
      <w:r w:rsidR="00CE0274" w:rsidRPr="00CE0274">
        <w:rPr>
          <w:sz w:val="24"/>
          <w:lang w:val="sk-SK"/>
        </w:rPr>
        <w:tab/>
      </w:r>
      <w:r w:rsidRPr="00CE0274">
        <w:rPr>
          <w:sz w:val="24"/>
          <w:lang w:val="sk-SK"/>
        </w:rPr>
        <w:t>Prijaté texty, P9_TA(2024)</w:t>
      </w:r>
      <w:r w:rsidR="00E01514">
        <w:rPr>
          <w:sz w:val="24"/>
          <w:lang w:val="sk-SK"/>
        </w:rPr>
        <w:t>0280</w:t>
      </w:r>
      <w:r w:rsidRPr="00CE027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0/2024"/>
    <w:docVar w:name="dvlangue" w:val="SK"/>
    <w:docVar w:name="dvnumam" w:val="0"/>
    <w:docVar w:name="dvpe" w:val="753.518"/>
    <w:docVar w:name="dvrapporteur" w:val="Spravodajca: "/>
    <w:docVar w:name="dvtitre" w:val="Rozhodnutie Európskeho parlamentu z xx. apríla 2024 o absolutóriu za plnenie rozpočtu Európskej agentúry pre kontrolu rybárstva za rozpočtový rok 2022(2023/2150(DEC))"/>
  </w:docVars>
  <w:rsids>
    <w:rsidRoot w:val="005D04E9"/>
    <w:rsid w:val="00002272"/>
    <w:rsid w:val="00064002"/>
    <w:rsid w:val="000677B9"/>
    <w:rsid w:val="000831BA"/>
    <w:rsid w:val="00086D88"/>
    <w:rsid w:val="000A42CC"/>
    <w:rsid w:val="000E7DD9"/>
    <w:rsid w:val="0010095E"/>
    <w:rsid w:val="0010296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6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4E9"/>
    <w:rsid w:val="006037C0"/>
    <w:rsid w:val="006631B6"/>
    <w:rsid w:val="00680577"/>
    <w:rsid w:val="006F74FA"/>
    <w:rsid w:val="007000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1D6"/>
    <w:rsid w:val="00AE0928"/>
    <w:rsid w:val="00AF3B82"/>
    <w:rsid w:val="00B12E95"/>
    <w:rsid w:val="00B22876"/>
    <w:rsid w:val="00B558F0"/>
    <w:rsid w:val="00B84B30"/>
    <w:rsid w:val="00BD48FE"/>
    <w:rsid w:val="00BD7BD8"/>
    <w:rsid w:val="00BE6ADC"/>
    <w:rsid w:val="00C05BFE"/>
    <w:rsid w:val="00C23CD4"/>
    <w:rsid w:val="00C61C0C"/>
    <w:rsid w:val="00C941CB"/>
    <w:rsid w:val="00CC2357"/>
    <w:rsid w:val="00CE0274"/>
    <w:rsid w:val="00CF071A"/>
    <w:rsid w:val="00D058B8"/>
    <w:rsid w:val="00D56C11"/>
    <w:rsid w:val="00D834A0"/>
    <w:rsid w:val="00D872DF"/>
    <w:rsid w:val="00D91E21"/>
    <w:rsid w:val="00DA7FCD"/>
    <w:rsid w:val="00E0151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AF58D"/>
  <w15:chartTrackingRefBased/>
  <w15:docId w15:val="{20258220-2E21-4741-BAB3-A338E64A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000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000EA"/>
    <w:pPr>
      <w:spacing w:before="480" w:after="240"/>
    </w:pPr>
  </w:style>
  <w:style w:type="paragraph" w:customStyle="1" w:styleId="PageHeading">
    <w:name w:val="PageHeading"/>
    <w:basedOn w:val="Normal"/>
    <w:rsid w:val="007000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000EA"/>
    <w:rPr>
      <w:b/>
    </w:rPr>
  </w:style>
  <w:style w:type="paragraph" w:customStyle="1" w:styleId="NormalHanging12a">
    <w:name w:val="NormalHanging12a"/>
    <w:basedOn w:val="Normal"/>
    <w:link w:val="NormalHanging12aChar"/>
    <w:rsid w:val="007000E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000EA"/>
    <w:pPr>
      <w:spacing w:after="240"/>
      <w:jc w:val="center"/>
    </w:pPr>
  </w:style>
  <w:style w:type="paragraph" w:styleId="Header">
    <w:name w:val="header"/>
    <w:basedOn w:val="Normal"/>
    <w:link w:val="HeaderChar"/>
    <w:rsid w:val="007000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00EA"/>
    <w:rPr>
      <w:sz w:val="24"/>
      <w:lang w:val="sk-SK"/>
    </w:rPr>
  </w:style>
  <w:style w:type="paragraph" w:customStyle="1" w:styleId="EPFooter">
    <w:name w:val="EPFooter"/>
    <w:basedOn w:val="Normal"/>
    <w:rsid w:val="007000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7000EA"/>
    <w:rPr>
      <w:sz w:val="24"/>
      <w:lang w:val="sk-SK"/>
    </w:rPr>
  </w:style>
  <w:style w:type="paragraph" w:styleId="Footer">
    <w:name w:val="footer"/>
    <w:basedOn w:val="Normal"/>
    <w:link w:val="FooterChar"/>
    <w:rsid w:val="004466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4669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BB36E-73BE-4301-9BB2-AD30C961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3499</Words>
  <Characters>21288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2024-05-15T13:10:00Z</dcterms:created>
  <dcterms:modified xsi:type="dcterms:W3CDTF">2024-05-15T13:10:00Z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P9_TA(2024)0257_</vt:lpwstr>
  </property>
  <property fmtid="{D5CDD505-2E9C-101B-9397-08002B2CF9AE}" pid="4" name="&lt;Type&gt;">
    <vt:lpwstr>RR</vt:lpwstr>
  </property>
</Properties>
</file>