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7A4D" w:rsidTr="0010095E">
        <w:trPr>
          <w:trHeight w:hRule="exact" w:val="1418"/>
        </w:trPr>
        <w:tc>
          <w:tcPr>
            <w:tcW w:w="6804" w:type="dxa"/>
            <w:shd w:val="clear" w:color="auto" w:fill="auto"/>
            <w:vAlign w:val="center"/>
          </w:tcPr>
          <w:p w:rsidR="00751A4A" w:rsidRPr="00D17A4D" w:rsidRDefault="00A37736" w:rsidP="0010095E">
            <w:pPr>
              <w:pStyle w:val="EPName"/>
            </w:pPr>
            <w:r w:rsidRPr="00D17A4D">
              <w:t>Evropski parlament</w:t>
            </w:r>
          </w:p>
          <w:p w:rsidR="00751A4A" w:rsidRPr="00D17A4D" w:rsidRDefault="00817416" w:rsidP="00756632">
            <w:pPr>
              <w:pStyle w:val="EPTerm"/>
              <w:rPr>
                <w:rStyle w:val="HideTWBExt"/>
                <w:noProof w:val="0"/>
                <w:vanish w:val="0"/>
                <w:color w:val="auto"/>
              </w:rPr>
            </w:pPr>
            <w:r w:rsidRPr="00D17A4D">
              <w:t>2019-2024</w:t>
            </w:r>
          </w:p>
        </w:tc>
        <w:tc>
          <w:tcPr>
            <w:tcW w:w="2268" w:type="dxa"/>
            <w:shd w:val="clear" w:color="auto" w:fill="auto"/>
          </w:tcPr>
          <w:p w:rsidR="00751A4A" w:rsidRPr="00D17A4D" w:rsidRDefault="00187494" w:rsidP="0010095E">
            <w:pPr>
              <w:pStyle w:val="EPLogo"/>
            </w:pPr>
            <w:r w:rsidRPr="00D17A4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17A4D" w:rsidRDefault="00D058B8" w:rsidP="004C5D52">
      <w:pPr>
        <w:pStyle w:val="LineTop"/>
      </w:pPr>
    </w:p>
    <w:p w:rsidR="00680577" w:rsidRPr="00D17A4D" w:rsidRDefault="00A37736" w:rsidP="00680577">
      <w:pPr>
        <w:pStyle w:val="EPBodyTA1"/>
      </w:pPr>
      <w:r w:rsidRPr="00D17A4D">
        <w:t>SPREJETA BESEDILA</w:t>
      </w:r>
    </w:p>
    <w:p w:rsidR="00D058B8" w:rsidRPr="00D17A4D" w:rsidRDefault="00D058B8" w:rsidP="00D058B8">
      <w:pPr>
        <w:pStyle w:val="LineBottom"/>
      </w:pPr>
    </w:p>
    <w:p w:rsidR="00A37736" w:rsidRPr="00D17A4D" w:rsidRDefault="00A37736" w:rsidP="00A37736">
      <w:pPr>
        <w:pStyle w:val="ATHeading1"/>
      </w:pPr>
      <w:bookmarkStart w:id="0" w:name="TANumber"/>
      <w:r w:rsidRPr="00D17A4D">
        <w:t>P9_TA(2024)</w:t>
      </w:r>
      <w:bookmarkEnd w:id="0"/>
      <w:r w:rsidR="00D17A4D" w:rsidRPr="00D17A4D">
        <w:t>0257</w:t>
      </w:r>
    </w:p>
    <w:p w:rsidR="00A37736" w:rsidRPr="00D17A4D" w:rsidRDefault="00A37736" w:rsidP="00A37736">
      <w:pPr>
        <w:pStyle w:val="ATHeading2"/>
      </w:pPr>
      <w:bookmarkStart w:id="1" w:name="title"/>
      <w:r w:rsidRPr="00D17A4D">
        <w:t>Razrešnica za leto 2022: Evropska agencija za nadzor ribištva</w:t>
      </w:r>
      <w:bookmarkEnd w:id="1"/>
    </w:p>
    <w:p w:rsidR="00A37736" w:rsidRPr="00D17A4D" w:rsidRDefault="00A37736" w:rsidP="00A37736">
      <w:pPr>
        <w:rPr>
          <w:i/>
          <w:vanish/>
        </w:rPr>
      </w:pPr>
      <w:r w:rsidRPr="00D17A4D">
        <w:rPr>
          <w:i/>
        </w:rPr>
        <w:fldChar w:fldCharType="begin"/>
      </w:r>
      <w:r w:rsidRPr="00D17A4D">
        <w:rPr>
          <w:i/>
        </w:rPr>
        <w:instrText xml:space="preserve"> TC"(</w:instrText>
      </w:r>
      <w:bookmarkStart w:id="2" w:name="DocNumber"/>
      <w:r w:rsidRPr="00D17A4D">
        <w:rPr>
          <w:i/>
        </w:rPr>
        <w:instrText>A9-0100/2024</w:instrText>
      </w:r>
      <w:bookmarkEnd w:id="2"/>
      <w:r w:rsidRPr="00D17A4D">
        <w:rPr>
          <w:i/>
        </w:rPr>
        <w:instrText xml:space="preserve"> - Poročevalec: Petri </w:instrText>
      </w:r>
      <w:proofErr w:type="spellStart"/>
      <w:r w:rsidRPr="00D17A4D">
        <w:rPr>
          <w:i/>
        </w:rPr>
        <w:instrText>Sarvamaa</w:instrText>
      </w:r>
      <w:proofErr w:type="spellEnd"/>
      <w:r w:rsidRPr="00D17A4D">
        <w:rPr>
          <w:i/>
        </w:rPr>
        <w:instrText xml:space="preserve">)"\l3 \n&gt; \* MERGEFORMAT </w:instrText>
      </w:r>
      <w:r w:rsidRPr="00D17A4D">
        <w:rPr>
          <w:i/>
        </w:rPr>
        <w:fldChar w:fldCharType="end"/>
      </w:r>
    </w:p>
    <w:p w:rsidR="00A37736" w:rsidRPr="00D17A4D" w:rsidRDefault="00A37736" w:rsidP="00A37736">
      <w:pPr>
        <w:rPr>
          <w:vanish/>
        </w:rPr>
      </w:pPr>
      <w:bookmarkStart w:id="3" w:name="Commission"/>
      <w:r w:rsidRPr="00D17A4D">
        <w:rPr>
          <w:vanish/>
        </w:rPr>
        <w:t>Odbor za proračunski nadzor</w:t>
      </w:r>
      <w:bookmarkEnd w:id="3"/>
    </w:p>
    <w:p w:rsidR="00A37736" w:rsidRPr="00D17A4D" w:rsidRDefault="00A37736" w:rsidP="00A37736">
      <w:pPr>
        <w:rPr>
          <w:vanish/>
        </w:rPr>
      </w:pPr>
      <w:bookmarkStart w:id="4" w:name="PE"/>
      <w:r w:rsidRPr="00D17A4D">
        <w:rPr>
          <w:vanish/>
        </w:rPr>
        <w:t>PE753.518</w:t>
      </w:r>
      <w:bookmarkEnd w:id="4"/>
    </w:p>
    <w:p w:rsidR="00A37736" w:rsidRPr="00D17A4D" w:rsidRDefault="00254562" w:rsidP="00A37736">
      <w:pPr>
        <w:pStyle w:val="ATHeading3"/>
      </w:pPr>
      <w:bookmarkStart w:id="5" w:name="Sujet"/>
      <w:r w:rsidRPr="00D17A4D">
        <w:t xml:space="preserve">1. Sklep Evropskega parlamenta z dne 11. aprila 2024 </w:t>
      </w:r>
      <w:r w:rsidR="00A37736" w:rsidRPr="00D17A4D">
        <w:t>o razrešnici glede izvrševanja proračuna Evropske agencije za nadzor ribištva za proračunsko leto 2022</w:t>
      </w:r>
      <w:bookmarkEnd w:id="5"/>
      <w:r w:rsidR="00A37736" w:rsidRPr="00D17A4D">
        <w:t xml:space="preserve"> </w:t>
      </w:r>
      <w:bookmarkStart w:id="6" w:name="References"/>
      <w:r w:rsidR="00A37736" w:rsidRPr="00D17A4D">
        <w:t>(2023/2150(DEC))</w:t>
      </w:r>
      <w:bookmarkEnd w:id="6"/>
    </w:p>
    <w:p w:rsidR="00304FF0" w:rsidRPr="00D17A4D" w:rsidRDefault="00304FF0" w:rsidP="00304FF0">
      <w:pPr>
        <w:pStyle w:val="EPComma"/>
      </w:pPr>
      <w:bookmarkStart w:id="7" w:name="TextBodyBegin"/>
      <w:bookmarkEnd w:id="7"/>
      <w:r w:rsidRPr="00D17A4D">
        <w:rPr>
          <w:i/>
        </w:rPr>
        <w:t>Evropski parlament</w:t>
      </w:r>
      <w:r w:rsidRPr="00D17A4D">
        <w:t>,</w:t>
      </w:r>
    </w:p>
    <w:p w:rsidR="00304FF0" w:rsidRPr="00D17A4D" w:rsidRDefault="00304FF0" w:rsidP="00304FF0">
      <w:pPr>
        <w:pStyle w:val="NormalHanging12a"/>
      </w:pPr>
      <w:r w:rsidRPr="00D17A4D">
        <w:t>–</w:t>
      </w:r>
      <w:r w:rsidRPr="00D17A4D">
        <w:tab/>
        <w:t>ob upoštevanju končnega zaključnega računa Evropske agencije za nadzor ribištva za proračunsko leto 2022,</w:t>
      </w:r>
    </w:p>
    <w:p w:rsidR="00304FF0" w:rsidRPr="00D17A4D" w:rsidRDefault="00304FF0" w:rsidP="00304FF0">
      <w:pPr>
        <w:pStyle w:val="NormalHanging12a"/>
      </w:pPr>
      <w:r w:rsidRPr="00D17A4D">
        <w:t>–</w:t>
      </w:r>
      <w:r w:rsidRPr="00D17A4D">
        <w:tab/>
        <w:t>ob upoštevanju letnega poročila Računskega sodišča o agencijah EU za proračunsko leto 2022 skupaj z odgovori agencij</w:t>
      </w:r>
      <w:r w:rsidRPr="00D17A4D">
        <w:rPr>
          <w:rStyle w:val="FootnoteReference"/>
        </w:rPr>
        <w:footnoteReference w:id="1"/>
      </w:r>
      <w:r w:rsidRPr="00D17A4D">
        <w:t>,</w:t>
      </w:r>
    </w:p>
    <w:p w:rsidR="00304FF0" w:rsidRPr="00D17A4D" w:rsidRDefault="00304FF0" w:rsidP="00304FF0">
      <w:pPr>
        <w:pStyle w:val="NormalHanging12a"/>
      </w:pPr>
      <w:r w:rsidRPr="00D17A4D">
        <w:t>–</w:t>
      </w:r>
      <w:r w:rsidRPr="00D17A4D">
        <w:tab/>
        <w:t>ob upoštevanju izjave o zanesljivosti</w:t>
      </w:r>
      <w:r w:rsidRPr="00D17A4D">
        <w:rPr>
          <w:rStyle w:val="FootnoteReference"/>
        </w:rPr>
        <w:footnoteReference w:id="2"/>
      </w:r>
      <w:r w:rsidRPr="00D17A4D">
        <w:t xml:space="preserve"> računovodskih izkazov ter zakonitosti in pravilnosti z njimi povezanih transakcij, ki jo je za proračunsko leto 2022 v skladu s členom 287 Pogodbe o delovanju Evropske unije pripravilo Računsko sodišče,</w:t>
      </w:r>
    </w:p>
    <w:p w:rsidR="00304FF0" w:rsidRPr="00D17A4D" w:rsidRDefault="00304FF0" w:rsidP="00304FF0">
      <w:pPr>
        <w:pStyle w:val="NormalHanging12a"/>
      </w:pPr>
      <w:r w:rsidRPr="00D17A4D">
        <w:t>–</w:t>
      </w:r>
      <w:r w:rsidRPr="00D17A4D">
        <w:tab/>
        <w:t>ob upoštevanju priporočila Sveta z dne 22. februarja 2024 o podelitvi razrešnice agenciji glede izvrševanja proračuna za proračunsko leto 2022 (</w:t>
      </w:r>
      <w:r w:rsidR="00C66E52" w:rsidRPr="00D17A4D">
        <w:t>06180</w:t>
      </w:r>
      <w:r w:rsidRPr="00D17A4D">
        <w:t>/2024 – C9</w:t>
      </w:r>
      <w:r w:rsidRPr="00D17A4D">
        <w:noBreakHyphen/>
      </w:r>
      <w:r w:rsidR="00C66E52" w:rsidRPr="00D17A4D">
        <w:t>0088</w:t>
      </w:r>
      <w:r w:rsidRPr="00D17A4D">
        <w:t>/2024),</w:t>
      </w:r>
    </w:p>
    <w:p w:rsidR="00304FF0" w:rsidRPr="00D17A4D" w:rsidRDefault="00304FF0" w:rsidP="00304FF0">
      <w:pPr>
        <w:pStyle w:val="NormalHanging12a"/>
      </w:pPr>
      <w:r w:rsidRPr="00D17A4D">
        <w:t>–</w:t>
      </w:r>
      <w:r w:rsidRPr="00D17A4D">
        <w:tab/>
        <w:t>ob upoštevanju člena 319 Pogodbe o delovanju Evropske unije,</w:t>
      </w:r>
    </w:p>
    <w:p w:rsidR="00304FF0" w:rsidRPr="00D17A4D" w:rsidRDefault="00304FF0" w:rsidP="00304FF0">
      <w:pPr>
        <w:pStyle w:val="NormalHanging12a"/>
      </w:pPr>
      <w:r w:rsidRPr="00D17A4D">
        <w:t>–</w:t>
      </w:r>
      <w:r w:rsidRPr="00D17A4D">
        <w:tab/>
        <w:t xml:space="preserve">ob upoštevanju Uredbe (EU, </w:t>
      </w:r>
      <w:proofErr w:type="spellStart"/>
      <w:r w:rsidRPr="00D17A4D">
        <w:t>Euratom</w:t>
      </w:r>
      <w:proofErr w:type="spellEnd"/>
      <w:r w:rsidRPr="00D17A4D">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D17A4D">
        <w:t>Euratom</w:t>
      </w:r>
      <w:proofErr w:type="spellEnd"/>
      <w:r w:rsidRPr="00D17A4D">
        <w:t>) št. 966/2012</w:t>
      </w:r>
      <w:r w:rsidRPr="00D17A4D">
        <w:rPr>
          <w:rStyle w:val="FootnoteReference"/>
        </w:rPr>
        <w:footnoteReference w:id="3"/>
      </w:r>
      <w:r w:rsidRPr="00D17A4D">
        <w:t xml:space="preserve"> in zlasti člena 70,</w:t>
      </w:r>
    </w:p>
    <w:p w:rsidR="00304FF0" w:rsidRPr="00D17A4D" w:rsidRDefault="00304FF0" w:rsidP="00304FF0">
      <w:pPr>
        <w:pStyle w:val="NormalHanging12a"/>
      </w:pPr>
      <w:r w:rsidRPr="00D17A4D">
        <w:t>–</w:t>
      </w:r>
      <w:r w:rsidRPr="00D17A4D">
        <w:tab/>
        <w:t xml:space="preserve">ob upoštevanju Uredbe (EU) 2019/473 Evropskega parlamenta in Sveta z dne 19. marca </w:t>
      </w:r>
      <w:r w:rsidRPr="00D17A4D">
        <w:lastRenderedPageBreak/>
        <w:t>2019 o Evropski agenciji za nadzor ribištva</w:t>
      </w:r>
      <w:r w:rsidRPr="00D17A4D">
        <w:rPr>
          <w:rStyle w:val="FootnoteReference"/>
        </w:rPr>
        <w:footnoteReference w:id="4"/>
      </w:r>
      <w:r w:rsidRPr="00D17A4D">
        <w:t xml:space="preserve"> in zlasti člena 45,</w:t>
      </w:r>
    </w:p>
    <w:p w:rsidR="00304FF0" w:rsidRPr="00D17A4D" w:rsidRDefault="00304FF0" w:rsidP="00304FF0">
      <w:pPr>
        <w:pStyle w:val="NormalHanging12a"/>
      </w:pPr>
      <w:r w:rsidRPr="00D17A4D">
        <w:t>–</w:t>
      </w:r>
      <w:r w:rsidRPr="00D17A4D">
        <w:tab/>
        <w:t xml:space="preserve">ob upoštevanju Delegirane uredbe Komisije (EU) 2019/715 z dne 18. decembra 2018 o okvirni finančni uredbi za organe, ustanovljene na podlagi PDEU in Pogodbe </w:t>
      </w:r>
      <w:proofErr w:type="spellStart"/>
      <w:r w:rsidRPr="00D17A4D">
        <w:t>Euratom</w:t>
      </w:r>
      <w:proofErr w:type="spellEnd"/>
      <w:r w:rsidRPr="00D17A4D">
        <w:t xml:space="preserve">, iz člena 70 Uredbe (EU, </w:t>
      </w:r>
      <w:proofErr w:type="spellStart"/>
      <w:r w:rsidRPr="00D17A4D">
        <w:t>Euratom</w:t>
      </w:r>
      <w:proofErr w:type="spellEnd"/>
      <w:r w:rsidRPr="00D17A4D">
        <w:t>) 2018/1046 Evropskega parlamenta in Sveta</w:t>
      </w:r>
      <w:r w:rsidRPr="00D17A4D">
        <w:rPr>
          <w:rStyle w:val="FootnoteReference"/>
        </w:rPr>
        <w:footnoteReference w:id="5"/>
      </w:r>
      <w:r w:rsidRPr="00D17A4D">
        <w:t xml:space="preserve"> in zlasti člena 105,</w:t>
      </w:r>
    </w:p>
    <w:p w:rsidR="00304FF0" w:rsidRPr="00D17A4D" w:rsidRDefault="00304FF0" w:rsidP="00304FF0">
      <w:pPr>
        <w:pStyle w:val="NormalHanging12a"/>
      </w:pPr>
      <w:r w:rsidRPr="00D17A4D">
        <w:t>–</w:t>
      </w:r>
      <w:r w:rsidRPr="00D17A4D">
        <w:tab/>
        <w:t>ob upoštevanju člena 100 in Priloge V Poslovnika,</w:t>
      </w:r>
    </w:p>
    <w:p w:rsidR="00304FF0" w:rsidRPr="00D17A4D" w:rsidRDefault="00304FF0" w:rsidP="00304FF0">
      <w:pPr>
        <w:pStyle w:val="NormalHanging12a"/>
      </w:pPr>
      <w:r w:rsidRPr="00D17A4D">
        <w:t>–</w:t>
      </w:r>
      <w:r w:rsidRPr="00D17A4D">
        <w:tab/>
        <w:t>ob upoštevanju mnenja Odbora za ribištvo,</w:t>
      </w:r>
    </w:p>
    <w:p w:rsidR="00304FF0" w:rsidRPr="00D17A4D" w:rsidRDefault="00304FF0" w:rsidP="00304FF0">
      <w:pPr>
        <w:pStyle w:val="NormalHanging12a"/>
      </w:pPr>
      <w:r w:rsidRPr="00D17A4D">
        <w:t>–</w:t>
      </w:r>
      <w:r w:rsidRPr="00D17A4D">
        <w:tab/>
        <w:t>ob upoštevanju poročila Odbora za proračunski nadzor (A9</w:t>
      </w:r>
      <w:r w:rsidRPr="00D17A4D">
        <w:noBreakHyphen/>
        <w:t>0100/2024),</w:t>
      </w:r>
    </w:p>
    <w:p w:rsidR="00304FF0" w:rsidRPr="00D17A4D" w:rsidRDefault="00304FF0" w:rsidP="00304FF0">
      <w:pPr>
        <w:pStyle w:val="NormalHanging12a"/>
      </w:pPr>
      <w:r w:rsidRPr="00D17A4D">
        <w:t>1.</w:t>
      </w:r>
      <w:r w:rsidRPr="00D17A4D">
        <w:tab/>
        <w:t>podeli razrešnico izvršni direktorici Evropske agencije za nadzor ribištva glede izvrševanja proračuna agencije za proračunsko leto 2022;</w:t>
      </w:r>
    </w:p>
    <w:p w:rsidR="00304FF0" w:rsidRPr="00D17A4D" w:rsidRDefault="00304FF0" w:rsidP="00304FF0">
      <w:pPr>
        <w:pStyle w:val="NormalHanging12a"/>
      </w:pPr>
      <w:r w:rsidRPr="00D17A4D">
        <w:t>2.</w:t>
      </w:r>
      <w:r w:rsidRPr="00D17A4D">
        <w:tab/>
        <w:t>navaja svoje pripombe v spodnji resoluciji;</w:t>
      </w:r>
    </w:p>
    <w:p w:rsidR="00304FF0" w:rsidRPr="00D17A4D" w:rsidRDefault="00304FF0" w:rsidP="00304FF0">
      <w:pPr>
        <w:pStyle w:val="NormalHanging12a"/>
      </w:pPr>
      <w:r w:rsidRPr="00D17A4D">
        <w:t>3.</w:t>
      </w:r>
      <w:r w:rsidRPr="00D17A4D">
        <w:tab/>
        <w:t xml:space="preserve">naroči svoji predsednici, naj ta sklep in resolucijo, ki je del sklepa, posreduje izvršni direktorici Evropske agencije za nadzor ribištva, Svetu, Komisiji in Računskemu sodišču in poskrbi za objavo v </w:t>
      </w:r>
      <w:r w:rsidRPr="00D17A4D">
        <w:rPr>
          <w:i/>
        </w:rPr>
        <w:t>Uradnem listu Evropske unije</w:t>
      </w:r>
      <w:r w:rsidRPr="00D17A4D">
        <w:t xml:space="preserve"> (serija L).</w:t>
      </w:r>
    </w:p>
    <w:p w:rsidR="00304FF0" w:rsidRPr="00D17A4D" w:rsidRDefault="00304FF0" w:rsidP="00304FF0"/>
    <w:p w:rsidR="00304FF0" w:rsidRPr="00D17A4D" w:rsidRDefault="00304FF0" w:rsidP="00304FF0">
      <w:pPr>
        <w:pStyle w:val="PageHeading"/>
        <w:sectPr w:rsidR="00304FF0" w:rsidRPr="00D17A4D" w:rsidSect="001131C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304FF0" w:rsidRPr="00D17A4D" w:rsidRDefault="00304FF0" w:rsidP="00254562">
      <w:pPr>
        <w:pStyle w:val="ATHeading3"/>
      </w:pPr>
      <w:bookmarkStart w:id="8" w:name="_Toc161840125"/>
      <w:r w:rsidRPr="00D17A4D">
        <w:lastRenderedPageBreak/>
        <w:t xml:space="preserve">2. </w:t>
      </w:r>
      <w:bookmarkEnd w:id="8"/>
      <w:r w:rsidR="00254562" w:rsidRPr="00D17A4D">
        <w:t xml:space="preserve">Sklep Evropskega parlamenta z dne 11. aprila 2024 </w:t>
      </w:r>
      <w:r w:rsidRPr="00D17A4D">
        <w:t>o zaključnem računu Evropske agencije za nadzor ribištva za proračunsko leto 2022</w:t>
      </w:r>
      <w:r w:rsidR="00254562" w:rsidRPr="00D17A4D">
        <w:t xml:space="preserve"> (2023</w:t>
      </w:r>
      <w:r w:rsidRPr="00D17A4D">
        <w:t>/2150(DEC))</w:t>
      </w:r>
    </w:p>
    <w:p w:rsidR="00304FF0" w:rsidRPr="00D17A4D" w:rsidRDefault="00304FF0" w:rsidP="00304FF0">
      <w:pPr>
        <w:pStyle w:val="EPComma"/>
      </w:pPr>
      <w:r w:rsidRPr="00D17A4D">
        <w:rPr>
          <w:i/>
        </w:rPr>
        <w:t>Evropski parlament</w:t>
      </w:r>
      <w:r w:rsidRPr="00D17A4D">
        <w:t>,</w:t>
      </w:r>
    </w:p>
    <w:p w:rsidR="00304FF0" w:rsidRPr="00D17A4D" w:rsidRDefault="00304FF0" w:rsidP="00304FF0">
      <w:pPr>
        <w:pStyle w:val="NormalHanging12a"/>
      </w:pPr>
      <w:r w:rsidRPr="00D17A4D">
        <w:t>–</w:t>
      </w:r>
      <w:r w:rsidRPr="00D17A4D">
        <w:tab/>
        <w:t>ob upoštevanju končnega zaključnega računa Evropske agencije za nadzor ribištva za proračunsko leto 2022,</w:t>
      </w:r>
    </w:p>
    <w:p w:rsidR="00304FF0" w:rsidRPr="00D17A4D" w:rsidRDefault="00304FF0" w:rsidP="00304FF0">
      <w:pPr>
        <w:pStyle w:val="NormalHanging12a"/>
      </w:pPr>
      <w:r w:rsidRPr="00D17A4D">
        <w:t>–</w:t>
      </w:r>
      <w:r w:rsidRPr="00D17A4D">
        <w:tab/>
        <w:t>ob upoštevanju letnega poročila Računskega sodišča o agencijah EU za proračunsko leto 2022 skupaj z odgovori agencij</w:t>
      </w:r>
      <w:r w:rsidRPr="00D17A4D">
        <w:rPr>
          <w:rStyle w:val="FootnoteReference"/>
        </w:rPr>
        <w:footnoteReference w:id="6"/>
      </w:r>
      <w:r w:rsidRPr="00D17A4D">
        <w:t>,</w:t>
      </w:r>
    </w:p>
    <w:p w:rsidR="00304FF0" w:rsidRPr="00D17A4D" w:rsidRDefault="00304FF0" w:rsidP="00304FF0">
      <w:pPr>
        <w:pStyle w:val="NormalHanging12a"/>
      </w:pPr>
      <w:r w:rsidRPr="00D17A4D">
        <w:t>–</w:t>
      </w:r>
      <w:r w:rsidRPr="00D17A4D">
        <w:tab/>
        <w:t>ob upoštevanju izjave o zanesljivosti</w:t>
      </w:r>
      <w:r w:rsidRPr="00D17A4D">
        <w:rPr>
          <w:rStyle w:val="FootnoteReference"/>
        </w:rPr>
        <w:footnoteReference w:id="7"/>
      </w:r>
      <w:r w:rsidRPr="00D17A4D">
        <w:t xml:space="preserve"> računovodskih izkazov ter zakonitosti in pravilnosti z njimi povezanih transakcij, ki jo je za proračunsko leto 2022 v skladu s členom 287 Pogodbe o delovanju Evropske unije pripravilo Računsko sodišče,</w:t>
      </w:r>
    </w:p>
    <w:p w:rsidR="00304FF0" w:rsidRPr="00D17A4D" w:rsidRDefault="00304FF0" w:rsidP="00304FF0">
      <w:pPr>
        <w:pStyle w:val="NormalHanging12a"/>
      </w:pPr>
      <w:r w:rsidRPr="00D17A4D">
        <w:t>–</w:t>
      </w:r>
      <w:r w:rsidRPr="00D17A4D">
        <w:tab/>
        <w:t>ob upoštevanju priporočila Sveta z dne 22. februarja 2024 o podelitvi razrešnice agenciji glede izvrševanja proračuna za proračunsko leto 2022 (</w:t>
      </w:r>
      <w:r w:rsidR="00C66E52" w:rsidRPr="00D17A4D">
        <w:t>06180</w:t>
      </w:r>
      <w:r w:rsidRPr="00D17A4D">
        <w:t>/2024 – C9</w:t>
      </w:r>
      <w:r w:rsidRPr="00D17A4D">
        <w:noBreakHyphen/>
      </w:r>
      <w:r w:rsidR="00C66E52" w:rsidRPr="00D17A4D">
        <w:t>0088</w:t>
      </w:r>
      <w:r w:rsidRPr="00D17A4D">
        <w:t>/2024),</w:t>
      </w:r>
    </w:p>
    <w:p w:rsidR="00304FF0" w:rsidRPr="00D17A4D" w:rsidRDefault="00304FF0" w:rsidP="00304FF0">
      <w:pPr>
        <w:pStyle w:val="NormalHanging12a"/>
      </w:pPr>
      <w:r w:rsidRPr="00D17A4D">
        <w:t>–</w:t>
      </w:r>
      <w:r w:rsidRPr="00D17A4D">
        <w:tab/>
        <w:t>ob upoštevanju člena 319 Pogodbe o delovanju Evropske unije,</w:t>
      </w:r>
    </w:p>
    <w:p w:rsidR="00304FF0" w:rsidRPr="00D17A4D" w:rsidRDefault="00304FF0" w:rsidP="00304FF0">
      <w:pPr>
        <w:pStyle w:val="NormalHanging12a"/>
      </w:pPr>
      <w:r w:rsidRPr="00D17A4D">
        <w:t>–</w:t>
      </w:r>
      <w:r w:rsidRPr="00D17A4D">
        <w:tab/>
        <w:t xml:space="preserve">ob upoštevanju Uredbe (EU, </w:t>
      </w:r>
      <w:proofErr w:type="spellStart"/>
      <w:r w:rsidRPr="00D17A4D">
        <w:t>Euratom</w:t>
      </w:r>
      <w:proofErr w:type="spellEnd"/>
      <w:r w:rsidRPr="00D17A4D">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D17A4D">
        <w:t>Euratom</w:t>
      </w:r>
      <w:proofErr w:type="spellEnd"/>
      <w:r w:rsidRPr="00D17A4D">
        <w:t>) št. 966/2012</w:t>
      </w:r>
      <w:r w:rsidRPr="00D17A4D">
        <w:rPr>
          <w:rStyle w:val="FootnoteReference"/>
        </w:rPr>
        <w:footnoteReference w:id="8"/>
      </w:r>
      <w:r w:rsidRPr="00D17A4D">
        <w:t xml:space="preserve"> in zlasti člena 70,</w:t>
      </w:r>
    </w:p>
    <w:p w:rsidR="00304FF0" w:rsidRPr="00D17A4D" w:rsidRDefault="00304FF0" w:rsidP="00304FF0">
      <w:pPr>
        <w:pStyle w:val="NormalHanging12a"/>
      </w:pPr>
      <w:r w:rsidRPr="00D17A4D">
        <w:t>–</w:t>
      </w:r>
      <w:r w:rsidRPr="00D17A4D">
        <w:tab/>
        <w:t>ob upoštevanju Uredbe (EU) 2019/473 Evropskega parlamenta in Sveta z dne 19. marca 2019 o Evropski agenciji za nadzor ribištva</w:t>
      </w:r>
      <w:r w:rsidRPr="00D17A4D">
        <w:rPr>
          <w:rStyle w:val="FootnoteReference"/>
        </w:rPr>
        <w:footnoteReference w:id="9"/>
      </w:r>
      <w:r w:rsidRPr="00D17A4D">
        <w:t xml:space="preserve"> in zlasti člena 45,</w:t>
      </w:r>
    </w:p>
    <w:p w:rsidR="00304FF0" w:rsidRPr="00D17A4D" w:rsidRDefault="00304FF0" w:rsidP="00304FF0">
      <w:pPr>
        <w:pStyle w:val="NormalHanging12a"/>
      </w:pPr>
      <w:r w:rsidRPr="00D17A4D">
        <w:t>–</w:t>
      </w:r>
      <w:r w:rsidRPr="00D17A4D">
        <w:tab/>
        <w:t xml:space="preserve">ob upoštevanju Delegirane uredbe Komisije (EU) 2019/715 z dne 18. decembra 2018 o okvirni finančni uredbi za organe, ustanovljene na podlagi PDEU in Pogodbe </w:t>
      </w:r>
      <w:proofErr w:type="spellStart"/>
      <w:r w:rsidRPr="00D17A4D">
        <w:t>Euratom</w:t>
      </w:r>
      <w:proofErr w:type="spellEnd"/>
      <w:r w:rsidRPr="00D17A4D">
        <w:t xml:space="preserve">, iz člena 70 Uredbe (EU, </w:t>
      </w:r>
      <w:proofErr w:type="spellStart"/>
      <w:r w:rsidRPr="00D17A4D">
        <w:t>Euratom</w:t>
      </w:r>
      <w:proofErr w:type="spellEnd"/>
      <w:r w:rsidRPr="00D17A4D">
        <w:t>) 2018/1046 Evropskega parlamenta in Sveta</w:t>
      </w:r>
      <w:r w:rsidRPr="00D17A4D">
        <w:rPr>
          <w:rStyle w:val="FootnoteReference"/>
        </w:rPr>
        <w:footnoteReference w:id="10"/>
      </w:r>
      <w:r w:rsidRPr="00D17A4D">
        <w:t xml:space="preserve"> in zlasti člena 105,</w:t>
      </w:r>
    </w:p>
    <w:p w:rsidR="00304FF0" w:rsidRPr="00D17A4D" w:rsidRDefault="00304FF0" w:rsidP="00304FF0">
      <w:pPr>
        <w:pStyle w:val="NormalHanging12a"/>
      </w:pPr>
      <w:r w:rsidRPr="00D17A4D">
        <w:t>–</w:t>
      </w:r>
      <w:r w:rsidRPr="00D17A4D">
        <w:tab/>
        <w:t>ob upoštevanju člena 100 in Priloge V Poslovnika,</w:t>
      </w:r>
    </w:p>
    <w:p w:rsidR="00304FF0" w:rsidRPr="00D17A4D" w:rsidRDefault="00304FF0" w:rsidP="00304FF0">
      <w:pPr>
        <w:pStyle w:val="NormalHanging12a"/>
      </w:pPr>
      <w:r w:rsidRPr="00D17A4D">
        <w:t>–</w:t>
      </w:r>
      <w:r w:rsidRPr="00D17A4D">
        <w:tab/>
        <w:t>ob upoštevanju mnenja Odbora za ribištvo,</w:t>
      </w:r>
    </w:p>
    <w:p w:rsidR="00304FF0" w:rsidRPr="00D17A4D" w:rsidRDefault="00304FF0" w:rsidP="00304FF0">
      <w:pPr>
        <w:pStyle w:val="NormalHanging12a"/>
      </w:pPr>
      <w:r w:rsidRPr="00D17A4D">
        <w:t>–</w:t>
      </w:r>
      <w:r w:rsidRPr="00D17A4D">
        <w:tab/>
        <w:t>ob upoštevanju poročila Odbora za proračunski nadzor (A9</w:t>
      </w:r>
      <w:r w:rsidRPr="00D17A4D">
        <w:noBreakHyphen/>
        <w:t>0100/2024),</w:t>
      </w:r>
    </w:p>
    <w:p w:rsidR="00304FF0" w:rsidRPr="00D17A4D" w:rsidRDefault="00304FF0" w:rsidP="00304FF0">
      <w:pPr>
        <w:pStyle w:val="NormalHanging12a"/>
      </w:pPr>
      <w:r w:rsidRPr="00D17A4D">
        <w:t>1.</w:t>
      </w:r>
      <w:r w:rsidRPr="00D17A4D">
        <w:tab/>
        <w:t>odobri zaključni račun Evropske agencije za nadzor ribištva za proračunsko leto 2022;</w:t>
      </w:r>
    </w:p>
    <w:p w:rsidR="00304FF0" w:rsidRPr="00D17A4D" w:rsidRDefault="00304FF0" w:rsidP="00304FF0">
      <w:pPr>
        <w:pStyle w:val="NormalHanging12a"/>
      </w:pPr>
      <w:r w:rsidRPr="00D17A4D">
        <w:t>2.</w:t>
      </w:r>
      <w:r w:rsidRPr="00D17A4D">
        <w:tab/>
        <w:t xml:space="preserve">naroči svoji predsednici, naj ta sklep posreduje izvršni direktorici Evropske agencije za nadzor ribištva, Svetu, Komisiji in Računskemu sodišču in poskrbi za objavo v </w:t>
      </w:r>
      <w:r w:rsidRPr="00D17A4D">
        <w:rPr>
          <w:i/>
        </w:rPr>
        <w:t>Uradnem listu Evropske unije</w:t>
      </w:r>
      <w:r w:rsidRPr="00D17A4D">
        <w:t xml:space="preserve"> (serija L).</w:t>
      </w:r>
    </w:p>
    <w:p w:rsidR="00304FF0" w:rsidRPr="00D17A4D" w:rsidRDefault="00304FF0" w:rsidP="00304FF0"/>
    <w:p w:rsidR="00304FF0" w:rsidRPr="00D17A4D" w:rsidRDefault="00304FF0" w:rsidP="00304FF0">
      <w:pPr>
        <w:pStyle w:val="PageHeading"/>
        <w:sectPr w:rsidR="00304FF0" w:rsidRPr="00D17A4D" w:rsidSect="001131C6">
          <w:footnotePr>
            <w:numRestart w:val="eachPage"/>
          </w:footnotePr>
          <w:endnotePr>
            <w:numFmt w:val="decimal"/>
          </w:endnotePr>
          <w:pgSz w:w="11906" w:h="16838" w:code="9"/>
          <w:pgMar w:top="1134" w:right="1418" w:bottom="1418" w:left="1418" w:header="567" w:footer="567" w:gutter="0"/>
          <w:cols w:space="720"/>
          <w:noEndnote/>
          <w:docGrid w:linePitch="326"/>
        </w:sectPr>
      </w:pPr>
    </w:p>
    <w:p w:rsidR="00304FF0" w:rsidRPr="00D17A4D" w:rsidRDefault="00304FF0" w:rsidP="00254562">
      <w:pPr>
        <w:pStyle w:val="ATHeading3"/>
      </w:pPr>
      <w:bookmarkStart w:id="9" w:name="_Toc161840126"/>
      <w:r w:rsidRPr="00D17A4D">
        <w:t xml:space="preserve">3. </w:t>
      </w:r>
      <w:bookmarkEnd w:id="9"/>
      <w:r w:rsidR="00254562" w:rsidRPr="00D17A4D">
        <w:t xml:space="preserve">Resolucija Evropskega parlamenta z dne 11. aprila 2024 </w:t>
      </w:r>
      <w:r w:rsidRPr="00D17A4D">
        <w:t>s pripombami, ki so del sklepa o razrešnici glede izvrševanja proračuna Evropske agencije za nadzor ribištva za proračunsko leto 2022</w:t>
      </w:r>
      <w:r w:rsidR="00254562" w:rsidRPr="00D17A4D">
        <w:t xml:space="preserve"> (2023</w:t>
      </w:r>
      <w:r w:rsidRPr="00D17A4D">
        <w:t>/2150(DEC))</w:t>
      </w:r>
    </w:p>
    <w:p w:rsidR="00304FF0" w:rsidRPr="00D17A4D" w:rsidRDefault="00304FF0" w:rsidP="00304FF0">
      <w:pPr>
        <w:pStyle w:val="EPComma"/>
      </w:pPr>
      <w:r w:rsidRPr="00D17A4D">
        <w:rPr>
          <w:i/>
        </w:rPr>
        <w:t>Evropski parlament</w:t>
      </w:r>
      <w:r w:rsidRPr="00D17A4D">
        <w:t>,</w:t>
      </w:r>
    </w:p>
    <w:p w:rsidR="00304FF0" w:rsidRPr="00D17A4D" w:rsidRDefault="00304FF0" w:rsidP="00304FF0">
      <w:pPr>
        <w:pStyle w:val="NormalHanging12a"/>
      </w:pPr>
      <w:r w:rsidRPr="00D17A4D">
        <w:t>–</w:t>
      </w:r>
      <w:r w:rsidRPr="00D17A4D">
        <w:tab/>
        <w:t>ob upoštevanju sklepa o razrešnici glede izvrševanja proračuna Evropske agencije za nadzor ribištva za proračunsko leto 2022,</w:t>
      </w:r>
    </w:p>
    <w:p w:rsidR="00304FF0" w:rsidRPr="00D17A4D" w:rsidRDefault="00304FF0" w:rsidP="00304FF0">
      <w:pPr>
        <w:pStyle w:val="NormalHanging12a"/>
      </w:pPr>
      <w:r w:rsidRPr="00D17A4D">
        <w:t>–</w:t>
      </w:r>
      <w:r w:rsidRPr="00D17A4D">
        <w:tab/>
        <w:t>ob upoštevanju člena 100 in Priloge V Poslovnika,</w:t>
      </w:r>
    </w:p>
    <w:p w:rsidR="00304FF0" w:rsidRPr="00D17A4D" w:rsidRDefault="00304FF0" w:rsidP="00304FF0">
      <w:pPr>
        <w:pStyle w:val="NormalHanging12a"/>
      </w:pPr>
      <w:r w:rsidRPr="00D17A4D">
        <w:t>–</w:t>
      </w:r>
      <w:r w:rsidRPr="00D17A4D">
        <w:tab/>
        <w:t>ob upoštevanju mnenja Odbora za ribištvo,</w:t>
      </w:r>
    </w:p>
    <w:p w:rsidR="00304FF0" w:rsidRPr="00D17A4D" w:rsidRDefault="00304FF0" w:rsidP="00304FF0">
      <w:pPr>
        <w:pStyle w:val="NormalHanging12a"/>
      </w:pPr>
      <w:r w:rsidRPr="00D17A4D">
        <w:t>–</w:t>
      </w:r>
      <w:r w:rsidRPr="00D17A4D">
        <w:tab/>
        <w:t>ob upoštevanju poročila Odbora za proračunski nadzor (A9</w:t>
      </w:r>
      <w:r w:rsidRPr="00D17A4D">
        <w:noBreakHyphen/>
        <w:t>0100/2024),</w:t>
      </w:r>
    </w:p>
    <w:p w:rsidR="00304FF0" w:rsidRPr="00D17A4D" w:rsidRDefault="00304FF0" w:rsidP="00304FF0">
      <w:pPr>
        <w:widowControl/>
        <w:spacing w:after="240"/>
        <w:ind w:left="567" w:hanging="567"/>
        <w:rPr>
          <w:szCs w:val="24"/>
        </w:rPr>
      </w:pPr>
      <w:r w:rsidRPr="00D17A4D">
        <w:t>A.</w:t>
      </w:r>
      <w:r w:rsidRPr="00D17A4D">
        <w:tab/>
        <w:t>ker je iz poročila o prihodkih in odhodkih Evropske agencije za nadzor ribištva</w:t>
      </w:r>
      <w:r w:rsidRPr="00D17A4D">
        <w:rPr>
          <w:szCs w:val="24"/>
          <w:vertAlign w:val="superscript"/>
        </w:rPr>
        <w:footnoteReference w:id="11"/>
      </w:r>
      <w:r w:rsidRPr="00D17A4D">
        <w:t xml:space="preserve"> (v nadaljnjem besedilu: agencija) razvidno, da je njen končni proračun v proračunskem letu 2022 znašal 34.967.797 EUR, kar je 61,73 % več kot leta 2021, pri čemer se je splošna subvencija EU povečala za približno 41 %, znatno pa so se povečali tudi namenski prejemki iz večletnih sporazumov o prispevkih in nepovratnih sredstev; ker je bila dodatna subvencija EU agenciji, ki se je začela izvajati leta 2021, povezana z oceno finančnih posledic zakonodajnega predloga, ki obravnava povečane zahteve po spremljanju v vodah EU, ki mejijo na Združeno kraljestvo; ker približno 84 % proračuna agencije izvira iz proračuna Unije, približno 16 % pa iz namenskih prejemkov;</w:t>
      </w:r>
    </w:p>
    <w:p w:rsidR="00304FF0" w:rsidRPr="00D17A4D" w:rsidRDefault="00304FF0" w:rsidP="00304FF0">
      <w:pPr>
        <w:widowControl/>
        <w:spacing w:after="240"/>
        <w:ind w:left="567" w:hanging="567"/>
        <w:rPr>
          <w:szCs w:val="24"/>
        </w:rPr>
      </w:pPr>
      <w:r w:rsidRPr="00D17A4D">
        <w:t>B.</w:t>
      </w:r>
      <w:r w:rsidRPr="00D17A4D">
        <w:tab/>
        <w:t>ker je Računsko sodišče v poročilu o zaključnem računu agencije za proračunsko leto 2022 (v nadaljnjem besedilu: poročilo Računskega sodišča) navedlo, da je prejelo razumno zagotovilo o zanesljivosti računovodskih izkazov agencije ter o zakonitosti in pravilnosti z njimi povezanih transakcij;</w:t>
      </w:r>
    </w:p>
    <w:p w:rsidR="00304FF0" w:rsidRPr="00D17A4D" w:rsidRDefault="00304FF0" w:rsidP="00304FF0">
      <w:pPr>
        <w:widowControl/>
        <w:spacing w:after="240"/>
        <w:ind w:left="567" w:hanging="567"/>
        <w:rPr>
          <w:b/>
          <w:i/>
          <w:szCs w:val="24"/>
        </w:rPr>
      </w:pPr>
      <w:r w:rsidRPr="00D17A4D">
        <w:rPr>
          <w:b/>
          <w:i/>
        </w:rPr>
        <w:t xml:space="preserve">Upravljanje proračuna in finančno </w:t>
      </w:r>
      <w:proofErr w:type="spellStart"/>
      <w:r w:rsidRPr="00D17A4D">
        <w:rPr>
          <w:b/>
          <w:i/>
        </w:rPr>
        <w:t>poslovodenje</w:t>
      </w:r>
      <w:proofErr w:type="spellEnd"/>
    </w:p>
    <w:p w:rsidR="00304FF0" w:rsidRPr="00D17A4D" w:rsidRDefault="00304FF0" w:rsidP="00304FF0">
      <w:pPr>
        <w:widowControl/>
        <w:spacing w:after="240"/>
        <w:ind w:left="567" w:hanging="567"/>
        <w:rPr>
          <w:szCs w:val="24"/>
        </w:rPr>
      </w:pPr>
      <w:r w:rsidRPr="00D17A4D">
        <w:t>1.</w:t>
      </w:r>
      <w:r w:rsidRPr="00D17A4D">
        <w:tab/>
        <w:t>z zadovoljstvom ugotavlja, da je stopnja izvrševanja odobrenih sredstev za prevzem obveznosti zaradi proračunskega spremljanja v proračunskem letu 2022 znašala 99,41 %, kar je nekoliko več (0,34 %) kot leta 2021; ugotavlja tudi, da je stopnja izvrševanja odobritev plačil v letu 2021 znašala 57,78 %, kar je 16,70 % manj kot leta 2021;</w:t>
      </w:r>
    </w:p>
    <w:p w:rsidR="00304FF0" w:rsidRPr="00D17A4D" w:rsidRDefault="00304FF0" w:rsidP="00304FF0">
      <w:pPr>
        <w:widowControl/>
        <w:spacing w:after="240"/>
        <w:ind w:left="567" w:hanging="567"/>
        <w:rPr>
          <w:szCs w:val="24"/>
        </w:rPr>
      </w:pPr>
      <w:r w:rsidRPr="00D17A4D">
        <w:t>2.</w:t>
      </w:r>
      <w:r w:rsidRPr="00D17A4D">
        <w:tab/>
        <w:t xml:space="preserve">z zaskrbljenostjo ugotavlja, da je agencija po navedbah Računskega sodišča v leto 2023 prenesla 11,9 milijona EUR (41 %) razpoložljivih odobritev za prevzem obveznosti za leto 2022; ugotavlja, da to zajema 1,6 milijona EUR (ali 53 %) odobritev iz naslova II, povezanih z upravnimi odhodki (34 % v letu 2021), in 10,1 milijona EUR (ali 63 %) odobritev iz naslova III, povezanih z operativnimi dejavnostmi (42 % v letu 2021); poudarja, da so visoke stopnje prenosov v nasprotju s proračunskim načelom </w:t>
      </w:r>
      <w:proofErr w:type="spellStart"/>
      <w:r w:rsidRPr="00D17A4D">
        <w:t>enoletnosti</w:t>
      </w:r>
      <w:proofErr w:type="spellEnd"/>
      <w:r w:rsidRPr="00D17A4D">
        <w:t xml:space="preserve"> in kažejo na strukturne probleme v ciklu proračunskega postopka in izvrševanja proračuna; je seznanjen z odgovorom agencije v tej zadevi, v katerem poudarja, da so obsežni prenosi iz leta 2022 posledica zelo posebnih okoliščin, ki se po pričakovanjih ne bodo ponovile;</w:t>
      </w:r>
    </w:p>
    <w:p w:rsidR="00304FF0" w:rsidRPr="00D17A4D" w:rsidRDefault="00304FF0" w:rsidP="00304FF0">
      <w:pPr>
        <w:pStyle w:val="NormalHanging12a"/>
      </w:pPr>
      <w:r w:rsidRPr="00D17A4D">
        <w:t>3.</w:t>
      </w:r>
      <w:r w:rsidRPr="00D17A4D">
        <w:tab/>
        <w:t>ugotavlja, da je proračunsko leto 2022 zaznamovalo okrevanje po posledicah pandemije covida-19 v prejšnjih dveh proračunskih letih, hkrati pa so se proračun in viri agencije EFCA še naprej povečevali za dodatne naloge in projekte, kot je predvideno v njenem enotnem programskem dokumentu za leto 2022; poudarja, da bi vojna v Ukrajini lahko vplivala na priznanje in merjenje nekaterih sredstev ter obveznosti v bilanci stanja in tudi na nekatere prihodke in odhodke, pripoznane v izkazu poslovnega izida v naslednjih poročevalnih obdobjih;</w:t>
      </w:r>
    </w:p>
    <w:p w:rsidR="00304FF0" w:rsidRPr="00D17A4D" w:rsidRDefault="00304FF0" w:rsidP="00304FF0">
      <w:pPr>
        <w:pStyle w:val="NormalHanging12a"/>
      </w:pPr>
      <w:r w:rsidRPr="00D17A4D">
        <w:t>4.</w:t>
      </w:r>
      <w:r w:rsidRPr="00D17A4D">
        <w:tab/>
        <w:t>poudarja, da so za nadzor ribolovnih dejavnosti v prvi vrsti odgovorne države članice, agencija pa izvaja podporne naloge; poudarja, da bo agencija zaradi nedavnega pregleda sistema Unije za nadzor ribištva povečala obseg podpornih nalog; opozarja na pomembno dejstvo, da bi bilo povečanje nalog brez zadostnih sredstev za to nerazumno; zato poudarja, da je treba v prihodnjih letih poskrbeti, da bo imela agencija dovolj finančnih in človeških virov;</w:t>
      </w:r>
    </w:p>
    <w:p w:rsidR="00304FF0" w:rsidRPr="00D17A4D" w:rsidRDefault="00304FF0" w:rsidP="00304FF0">
      <w:pPr>
        <w:widowControl/>
        <w:spacing w:after="240"/>
        <w:ind w:left="567" w:hanging="567"/>
        <w:rPr>
          <w:b/>
          <w:i/>
          <w:szCs w:val="24"/>
        </w:rPr>
      </w:pPr>
      <w:r w:rsidRPr="00D17A4D">
        <w:rPr>
          <w:b/>
          <w:i/>
        </w:rPr>
        <w:t>Uspešnost</w:t>
      </w:r>
    </w:p>
    <w:p w:rsidR="00304FF0" w:rsidRPr="00D17A4D" w:rsidRDefault="00304FF0" w:rsidP="00304FF0">
      <w:pPr>
        <w:pStyle w:val="NormalHanging12a"/>
        <w:widowControl/>
      </w:pPr>
      <w:r w:rsidRPr="00D17A4D">
        <w:t>5.</w:t>
      </w:r>
      <w:r w:rsidRPr="00D17A4D">
        <w:tab/>
        <w:t>pozdravlja, da je agencija leta 2022 izvedla 95,4 % letnega delovnega programa, ki ga je upravni odbor sprejel v okviru enotnega programskega dokumenta;</w:t>
      </w:r>
    </w:p>
    <w:p w:rsidR="00304FF0" w:rsidRPr="00D17A4D" w:rsidRDefault="00304FF0" w:rsidP="00304FF0">
      <w:pPr>
        <w:pStyle w:val="NormalHanging12a"/>
        <w:widowControl/>
      </w:pPr>
      <w:r w:rsidRPr="00D17A4D">
        <w:t>6.</w:t>
      </w:r>
      <w:r w:rsidRPr="00D17A4D">
        <w:tab/>
        <w:t>z zadovoljstvom ugotavlja, da agencija za oceno rezultatov svojih dejavnosti na dveh primarnih področjih, in sicer pri operativnih dejavnostih in horizontalnih dejavnosti, uporablja ključne kazalnike uspešnosti; ugotavlja še, da operativne dejavnosti zajemajo ključna področja, kot so operativno sodelovanje, pomoč za sodelovanje, mednarodna razsežnost in sodelovanje Unije na področju obalne straže; ugotavlja, da horizontalne dejavnosti vključujejo komunikacijo in zastopanje, informacijsko in komunikacijsko tehnologijo in informacijsko varnost ter upravne postopke in postopke upravljanja;</w:t>
      </w:r>
    </w:p>
    <w:p w:rsidR="00304FF0" w:rsidRPr="00D17A4D" w:rsidRDefault="00304FF0" w:rsidP="00304FF0">
      <w:pPr>
        <w:pStyle w:val="NormalHanging12a"/>
        <w:widowControl/>
      </w:pPr>
      <w:r w:rsidRPr="00D17A4D">
        <w:t>7.</w:t>
      </w:r>
      <w:r w:rsidRPr="00D17A4D">
        <w:tab/>
        <w:t>ugotavlja, da so bila v letu 2022 agenciji dodeljena dodatna sredstva, ki so ji omogočila potrebno operativno zmogljivost za pomoč državam članicam in Komisiji pri ureditvi spremljanja, kontrole in nadzora v sklopu skupne ribiške politike, vključno z ukrepi iz sporazuma o trgovini in sodelovanju z Združenim kraljestvom; ugotavlja tudi, da so bili v letu 2022 dodani trije novi projekti, subvencionirani z nepovratnimi sredstvi iz prihodnjega Evropskega sklada za pomorstvo, ribištvo in akvakulturo (ESPRA); ugotavlja, da so ti projekti vključevali študijo o postopku tehtanja ribiških proizvodov po vsej Uniji, virtualno regionalno akademijo za usposabljanje v zahodnem Sredozemskem morju za nadzor in inšpekcijske preglede ribištva ter vzdrževanje priročnika in spletnega sektorskega okvira kvalifikacij za evropsko sodelovanje na področju funkcij obalne straže;</w:t>
      </w:r>
    </w:p>
    <w:p w:rsidR="00304FF0" w:rsidRPr="00D17A4D" w:rsidRDefault="00304FF0" w:rsidP="00304FF0">
      <w:pPr>
        <w:pStyle w:val="NormalHanging12a"/>
        <w:widowControl/>
      </w:pPr>
      <w:r w:rsidRPr="00D17A4D">
        <w:t>8.</w:t>
      </w:r>
      <w:r w:rsidRPr="00D17A4D">
        <w:tab/>
        <w:t>opozarja, da mora agencija vsakih pet let pripraviti neodvisno oceno v skladu s pravno obveznostjo iz člena 48 Uredbe (EU) 2019/473 Evropskega parlamenta in Sveta</w:t>
      </w:r>
      <w:r w:rsidRPr="00D17A4D">
        <w:rPr>
          <w:rStyle w:val="FootnoteReference"/>
        </w:rPr>
        <w:footnoteReference w:id="12"/>
      </w:r>
      <w:r w:rsidRPr="00D17A4D">
        <w:t>; ugotavlja, da je julija 2022 zunanji ocenjevalec predstavil osnutek končnega poročila za obdobje 2017–2021, ki je bil predložen članom upravnega odbora, da nanj podajo pripombe; ugotavlja, da je bila uspešnost agencije ocenjena na podlagi petih meril uspešnosti, učinkovitosti, ustreznosti, skladnosti in dodane vrednosti Unije v skladu s smernicami Komisije za boljše pravno urejanje; poudarja, da je bilo z oceno opredeljenih deset priporočil, osredotočenih na različne vidike, in sicer na organizacijske vidike, na vprašanje, ali so vloga in dejavnosti še naprej primerne za doseganje ciljev iz Uredbe (EU) 2019/473, ter na posebne dejavnosti agencije;</w:t>
      </w:r>
    </w:p>
    <w:p w:rsidR="00304FF0" w:rsidRPr="00D17A4D" w:rsidRDefault="00304FF0" w:rsidP="00304FF0">
      <w:pPr>
        <w:pStyle w:val="NormalHanging12a"/>
      </w:pPr>
      <w:r w:rsidRPr="00D17A4D">
        <w:t>9.</w:t>
      </w:r>
      <w:r w:rsidRPr="00D17A4D">
        <w:tab/>
        <w:t xml:space="preserve">opozarja, da agencija bistveno prispeva k izvajanju skupne ribiške politike, zlasti kar zadeva nadzor ribištva ter boj proti nezakonitemu, neprijavljenemu in </w:t>
      </w:r>
      <w:proofErr w:type="spellStart"/>
      <w:r w:rsidRPr="00D17A4D">
        <w:t>nereguliranemu</w:t>
      </w:r>
      <w:proofErr w:type="spellEnd"/>
      <w:r w:rsidRPr="00D17A4D">
        <w:t xml:space="preserve"> ribolovu; pozdravlja izboljšave zakupljenih patruljnih čolnov agencije, ki lahko izvajajo nadzor ribištva in opravljajo inšpekcijske preglede v vodah Unije in mednarodnih vodah, prav tako pa lahko podpirajo nacionalne organe; poudarja sodelovanje agencije v večjih mednarodnih koalicijah proti nezakonitemu ribolovu, kot je operacija PESCAO (Boljše regionalno upravljanje ribištva v zahodni Afriki);</w:t>
      </w:r>
    </w:p>
    <w:p w:rsidR="00304FF0" w:rsidRPr="00D17A4D" w:rsidRDefault="00304FF0" w:rsidP="00304FF0">
      <w:pPr>
        <w:spacing w:after="240"/>
        <w:ind w:left="567" w:hanging="567"/>
      </w:pPr>
      <w:r w:rsidRPr="00D17A4D">
        <w:t>10.</w:t>
      </w:r>
      <w:r w:rsidRPr="00D17A4D">
        <w:tab/>
        <w:t>ugotavlja, da je agencija v letu 2022 poročala o 47.592 inšpekcijskih pregledih (na morju in na kopnem), na podlagi katerih je bilo odkritih 167 domnevnih kršitev, kar pomeni zmanjšanje inšpekcijskih pregledov za 11 % in povečanje domnevnih kršitev za 28 % glede na leto 2021; poudarja, da ugotovljeno zmanjšanje ni nujno povezano z zmanjšanjem nadzornih prizadevanj držav članic; poziva agencijo, naj priskrbi podrobnejše informacije o razlogih za te spremembe; poudarja, da imajo inšpekcijski pregledi in druge dejavnosti spremljanja ključno vlogo ne le pri ustreznem upravljanju ribjih staležev, temveč tudi pri zagotavljanju enakih konkurenčnih pogojev za ribiče Unije;</w:t>
      </w:r>
    </w:p>
    <w:p w:rsidR="00304FF0" w:rsidRPr="00D17A4D" w:rsidRDefault="00304FF0" w:rsidP="00304FF0">
      <w:pPr>
        <w:pStyle w:val="NormalHanging12a"/>
      </w:pPr>
      <w:r w:rsidRPr="00D17A4D">
        <w:t>11.</w:t>
      </w:r>
      <w:r w:rsidRPr="00D17A4D">
        <w:tab/>
        <w:t>poudarja vlogo agencije pri ponujanju gradnje zmogljivosti in usposabljanja tretjim državam ter njeno ključno vlogo pri zagotavljanju enakih konkurenčnih pogojev z vsemi obalnimi državami;</w:t>
      </w:r>
    </w:p>
    <w:p w:rsidR="00304FF0" w:rsidRPr="00D17A4D" w:rsidRDefault="00304FF0" w:rsidP="00304FF0">
      <w:pPr>
        <w:widowControl/>
        <w:spacing w:after="240"/>
        <w:ind w:left="567" w:hanging="567"/>
        <w:rPr>
          <w:b/>
          <w:i/>
        </w:rPr>
      </w:pPr>
      <w:r w:rsidRPr="00D17A4D">
        <w:rPr>
          <w:b/>
          <w:i/>
        </w:rPr>
        <w:t>Učinkovitost in dosežki</w:t>
      </w:r>
    </w:p>
    <w:p w:rsidR="00304FF0" w:rsidRPr="00D17A4D" w:rsidRDefault="00304FF0" w:rsidP="00304FF0">
      <w:pPr>
        <w:widowControl/>
        <w:spacing w:after="240"/>
        <w:ind w:left="567" w:hanging="567"/>
      </w:pPr>
      <w:r w:rsidRPr="00D17A4D">
        <w:t>12.</w:t>
      </w:r>
      <w:r w:rsidRPr="00D17A4D">
        <w:tab/>
        <w:t xml:space="preserve">poudarja, da ima agencija še naprej koristi od učinkovitosti, ki nastala, ker je sledila časovnemu načrta Komisije za vključevanje informacijskih sistemov institucij (SUMMA, e-javna naročila pred oddajo in po njej, MIPS, AGM, </w:t>
      </w:r>
      <w:proofErr w:type="spellStart"/>
      <w:r w:rsidRPr="00D17A4D">
        <w:t>Sysper</w:t>
      </w:r>
      <w:proofErr w:type="spellEnd"/>
      <w:r w:rsidRPr="00D17A4D">
        <w:t>, PPMT itd.); ugotavlja, da ima poleg koristi, ki jih ima vključevanje teh sistemov, to tudi očitne koristi v obliki zmanjšanja stroškov vzdrževanja podpore pri spremembah in posodobitvah;</w:t>
      </w:r>
    </w:p>
    <w:p w:rsidR="00304FF0" w:rsidRPr="00D17A4D" w:rsidRDefault="00304FF0" w:rsidP="00304FF0">
      <w:pPr>
        <w:widowControl/>
        <w:spacing w:after="240"/>
        <w:ind w:left="567" w:hanging="567"/>
      </w:pPr>
      <w:r w:rsidRPr="00D17A4D">
        <w:t>13.</w:t>
      </w:r>
      <w:r w:rsidRPr="00D17A4D">
        <w:tab/>
        <w:t>pozdravlja, da agencija sprejme povabila k prijavi na medinstitucionalne javne razpise, ki jih prejme od Komisije in drugih agencij; ugotavlja, da agencija trenutno uporablja več kot 45 okvirnih pogodb, ki so jih podpisali drugi subjekti; ugotavlja, da zato prihaja do kroženja vodilne vloge med agencijami, kar povečuje učinkovitost prizadevanj agencij v postopkih javnih naročil na splošno;</w:t>
      </w:r>
    </w:p>
    <w:p w:rsidR="00304FF0" w:rsidRPr="00D17A4D" w:rsidRDefault="00304FF0" w:rsidP="00304FF0">
      <w:pPr>
        <w:widowControl/>
        <w:spacing w:after="240"/>
        <w:ind w:left="567" w:hanging="567"/>
      </w:pPr>
      <w:r w:rsidRPr="00D17A4D">
        <w:t>14.</w:t>
      </w:r>
      <w:r w:rsidRPr="00D17A4D">
        <w:tab/>
        <w:t>opozarja na centralizacijo skupnih upravnih nalog, ki je tudi prispevala k učinkovitosti; ugotavlja, da se nadaljuje centralizacija začetka in preverjanja finančnih postopkov, kar omogoča večji nadzor nad transakcijami, poenotenje metodologij in zbiranje znanja na teh področjih;</w:t>
      </w:r>
    </w:p>
    <w:p w:rsidR="00304FF0" w:rsidRPr="00D17A4D" w:rsidRDefault="00304FF0" w:rsidP="00304FF0">
      <w:pPr>
        <w:widowControl/>
        <w:spacing w:after="240"/>
        <w:ind w:left="567" w:hanging="567"/>
      </w:pPr>
      <w:r w:rsidRPr="00D17A4D">
        <w:t>15.</w:t>
      </w:r>
      <w:r w:rsidRPr="00D17A4D">
        <w:tab/>
        <w:t>ugotavlja, da se je učinkovitost na področju kadrovskih virov še povečala z izmenjavo veljavnih rezervnih seznamov v postopkih zaposlovanja z drugimi agencijami, kadar profil rezervnega seznama ustreza potrebam agencije prosilke; ugotavlja, da ta praksa omogoča uporabo rezervnega seznama druge agencije, ne da bi bilo treba organizirati postopek zaposlovanja, ki zahteva veliko virov;</w:t>
      </w:r>
    </w:p>
    <w:p w:rsidR="00304FF0" w:rsidRPr="00D17A4D" w:rsidRDefault="00304FF0" w:rsidP="00304FF0">
      <w:pPr>
        <w:pStyle w:val="NormalHanging12a"/>
      </w:pPr>
      <w:r w:rsidRPr="00D17A4D">
        <w:t>16.</w:t>
      </w:r>
      <w:r w:rsidRPr="00D17A4D">
        <w:tab/>
        <w:t>je seznanjen, da agencija pri podpori nacionalnim organom pri izvajanju funkcije obalne straže še naprej sodeluje z Evropsko agencijo za mejno in obalno stražo (</w:t>
      </w:r>
      <w:proofErr w:type="spellStart"/>
      <w:r w:rsidRPr="00D17A4D">
        <w:t>Frontex</w:t>
      </w:r>
      <w:proofErr w:type="spellEnd"/>
      <w:r w:rsidRPr="00D17A4D">
        <w:t>) ter Evropsko agencijo za pomorsko varnost (EMSA) v skladu s členom 8 Uredbe (EU) 2019/473, meni, da je to sodelovanje primer sinergije med agencijami Unije, ki bi moral služiti kot vir navdiha za agencije na drugih področjih; poziva agencijo, naj si še naprej prizadeva v zvezi s tem, in meni, da je primerno okrepiti tudi sodelovanje med agencijo in Evropsko agencijo za okolje;</w:t>
      </w:r>
    </w:p>
    <w:p w:rsidR="00304FF0" w:rsidRPr="00D17A4D" w:rsidRDefault="00304FF0" w:rsidP="00304FF0">
      <w:pPr>
        <w:widowControl/>
        <w:spacing w:after="240"/>
        <w:ind w:left="567" w:hanging="567"/>
        <w:rPr>
          <w:b/>
          <w:i/>
          <w:szCs w:val="24"/>
        </w:rPr>
      </w:pPr>
      <w:r w:rsidRPr="00D17A4D">
        <w:rPr>
          <w:b/>
          <w:i/>
        </w:rPr>
        <w:t>Kadrovska politika</w:t>
      </w:r>
    </w:p>
    <w:p w:rsidR="00304FF0" w:rsidRPr="00D17A4D" w:rsidRDefault="00304FF0" w:rsidP="00304FF0">
      <w:pPr>
        <w:widowControl/>
        <w:spacing w:after="240"/>
        <w:ind w:left="567" w:hanging="567"/>
        <w:rPr>
          <w:szCs w:val="24"/>
        </w:rPr>
      </w:pPr>
      <w:r w:rsidRPr="00D17A4D">
        <w:t>17.</w:t>
      </w:r>
      <w:r w:rsidRPr="00D17A4D">
        <w:tab/>
        <w:t>ugotavlja, da je bil kadrovski načrt na dan 31. decembra 2022 uresničen 96,10-odstotno, saj je agencija zaposlovala 74 od 77 začasnih uslužbencev, odobrenih v proračunu Unije (v primerjavi s 65 odobrenimi delovnimi mesti leta 2021); ugotavlja tudi, da je za agencijo v letu 2022 delalo 11 pogodbenih uslužbencev, šest napotenih nacionalnih strokovnjakov ter 16 agencijskih delavcev in svetovalcev; ugotavlja tudi, da je bilo poleg tega 13 pogodbenih uslužbencev podprtih z ad hoc nepovratnimi sredstvi in sporazumi o prispevkih za različne projekte;</w:t>
      </w:r>
    </w:p>
    <w:p w:rsidR="00304FF0" w:rsidRPr="00D17A4D" w:rsidRDefault="00304FF0" w:rsidP="00304FF0">
      <w:pPr>
        <w:widowControl/>
        <w:spacing w:after="240"/>
        <w:ind w:left="567" w:hanging="567"/>
        <w:rPr>
          <w:szCs w:val="24"/>
        </w:rPr>
      </w:pPr>
      <w:r w:rsidRPr="00D17A4D">
        <w:t>18.</w:t>
      </w:r>
      <w:r w:rsidRPr="00D17A4D">
        <w:tab/>
        <w:t>je seznanjen, da je bila februarja 2022 opravljena reorganizacija, da bi organizacijo agencije prilagodili dodatnim dodeljenim nalogam in virom, da bi povečali potrebno njeno operativno zmogljivost za pomoč pri spremljanju, kontroli in nadzoru ribištva, kot to zahteva skupna ribiška politika, skupaj z ukrepi iz sporazuma o trgovini in sodelovanju z Združenim kraljestvom ter več novimi projekti iz sporazumov o prispevkih; poudarja, da se je število zaposlenih povečalo za skoraj 50 % v primerjavi s stanjem v začetku leta 2021, vključno z začasnimi in pogodbenimi uslužbenci ter napotenimi nacionalnimi strokovnjaki;</w:t>
      </w:r>
    </w:p>
    <w:p w:rsidR="00304FF0" w:rsidRPr="00D17A4D" w:rsidRDefault="00304FF0" w:rsidP="00304FF0">
      <w:pPr>
        <w:pStyle w:val="NormalHanging12a"/>
      </w:pPr>
      <w:r w:rsidRPr="00D17A4D">
        <w:t>19.</w:t>
      </w:r>
      <w:r w:rsidRPr="00D17A4D">
        <w:tab/>
        <w:t>je seznanjen s politiko agencije za spodbujanje enake obravnave uslužbencev in z njenim ciljem doseči uravnoteženo zastopanost spolov v smislu števila, razreda in ravni odgovornosti; je seznanjen z uravnoteženo zastopanostjo spolov med vsemi zaposlenimi v agenciji, v kateri je 54 od 106 uslužbencev (51 %) žensk; obžaluje, da je bilo 38 % uslužbencev razreda AD 8 ali višjega (funkcionalna skupina uslužbencev, razred 8) žensk (enako kot leta 2021); opozarja, kako pomembno je zagotoviti uravnoteženo zastopanost spolov, in poziva agencijo, naj ta vidik upošteva pri imenovanjih v višjem in srednjem vodstvu; ugotavlja, da je agencija kljub temu, da leta 2022 ni sprejela listine o raznolikosti in vključevanju, svoje ukrepe usmerila v izpolnjevanje cilja št. 5 ciljev trajnostnega razvoja na področju enakosti spolov, kot je navedeno v njenih ciljih;</w:t>
      </w:r>
    </w:p>
    <w:p w:rsidR="00304FF0" w:rsidRPr="00D17A4D" w:rsidRDefault="00304FF0" w:rsidP="00304FF0">
      <w:pPr>
        <w:pStyle w:val="NormalHanging12a"/>
      </w:pPr>
      <w:r w:rsidRPr="00D17A4D">
        <w:t>20.</w:t>
      </w:r>
      <w:r w:rsidRPr="00D17A4D">
        <w:tab/>
        <w:t>ugotavlja, da je agencija 31. decembra 2022 zaposlovala uslužbence iz 18 držav članic; ugotavlja, da ima 33 % zaposlenih državljanstvo države članice, kjer se agencija nahaja; opozarja na pomen geografske uravnoteženosti in spodbuja agencijo, naj še naprej sprejema potrebne ukrepe za uravnoteženo in pravično geografsko zastopanost;</w:t>
      </w:r>
    </w:p>
    <w:p w:rsidR="00304FF0" w:rsidRPr="00D17A4D" w:rsidRDefault="00304FF0" w:rsidP="00304FF0">
      <w:pPr>
        <w:pStyle w:val="NormalHanging12a"/>
        <w:widowControl/>
      </w:pPr>
      <w:r w:rsidRPr="00D17A4D">
        <w:t>21.</w:t>
      </w:r>
      <w:r w:rsidRPr="00D17A4D">
        <w:tab/>
        <w:t>ugotavlja, da agencija od 1. oktobra 2022 smiselno uporablja pravila Komisije o delovnem času in hibridnem delu;</w:t>
      </w:r>
    </w:p>
    <w:p w:rsidR="00304FF0" w:rsidRPr="00D17A4D" w:rsidRDefault="00304FF0" w:rsidP="00304FF0">
      <w:pPr>
        <w:pStyle w:val="NormalHanging12a"/>
        <w:widowControl/>
      </w:pPr>
      <w:r w:rsidRPr="00D17A4D">
        <w:t>22.</w:t>
      </w:r>
      <w:r w:rsidRPr="00D17A4D">
        <w:tab/>
        <w:t xml:space="preserve">ugotavlja, da je bila z začetkom uporabe modulov sistema </w:t>
      </w:r>
      <w:proofErr w:type="spellStart"/>
      <w:r w:rsidRPr="00D17A4D">
        <w:t>Sysper</w:t>
      </w:r>
      <w:proofErr w:type="spellEnd"/>
      <w:r w:rsidRPr="00D17A4D">
        <w:t xml:space="preserve"> v letu 2022 uvedena možnost „dopusta iz osebnih razlogov“, dodani so bili „plačilni listi NDP“ za začasne in pogodbene uslužbence, uvedena je bila nova funkcija, ki omogoča vlogo prošnjo za delo na daljavo iz tujine (občasno delo na daljavo) za začasne in pogodbene uslužbence, skupaj z začasnim delovnim postopkom ADI; poleg tega so bile uvedene funkcije </w:t>
      </w:r>
      <w:proofErr w:type="spellStart"/>
      <w:r w:rsidRPr="00D17A4D">
        <w:t>Sysper</w:t>
      </w:r>
      <w:proofErr w:type="spellEnd"/>
      <w:r w:rsidRPr="00D17A4D">
        <w:t>, povezane z izvajanjem novih pravil o delovnem času in hibridnem delu, uveden je bil modul STAGE, opravljeno pa je bilo tudi pripravljalno delo za modula EVAL in OBJ;</w:t>
      </w:r>
    </w:p>
    <w:p w:rsidR="00304FF0" w:rsidRPr="00D17A4D" w:rsidRDefault="00304FF0" w:rsidP="00304FF0">
      <w:pPr>
        <w:pStyle w:val="NormalHanging12a"/>
        <w:rPr>
          <w:b/>
          <w:i/>
          <w:szCs w:val="24"/>
        </w:rPr>
      </w:pPr>
      <w:r w:rsidRPr="00D17A4D">
        <w:rPr>
          <w:b/>
          <w:i/>
        </w:rPr>
        <w:t>Preprečevanje in obvladovanje nasprotij interesov ter preglednost</w:t>
      </w:r>
    </w:p>
    <w:p w:rsidR="00304FF0" w:rsidRPr="00D17A4D" w:rsidRDefault="00304FF0" w:rsidP="00304FF0">
      <w:pPr>
        <w:pStyle w:val="NormalHanging12a"/>
        <w:rPr>
          <w:szCs w:val="24"/>
        </w:rPr>
      </w:pPr>
      <w:r w:rsidRPr="00D17A4D">
        <w:t>23.</w:t>
      </w:r>
      <w:r w:rsidRPr="00D17A4D">
        <w:tab/>
        <w:t>se zaveda, da agencija na svojem spletnem mestu objavlja izjave o interesih in življenjepise članov upravnega odbora in višjega vodstva; ugotavlja tudi, da agencija redno posodablja preglednico, ki je na voljo na njenem spletnem mestu, z vsemi sestanki izvršne direktorice in uslužbencev z organizacijami ali samozaposlenimi osebami, ki sodelujejo pri oblikovanju in izvajanju politik Unije, da bi zagotovila popolno preglednost svojih dejavnosti in zaupanje vanje;</w:t>
      </w:r>
    </w:p>
    <w:p w:rsidR="00304FF0" w:rsidRPr="00D17A4D" w:rsidRDefault="00304FF0" w:rsidP="00304FF0">
      <w:pPr>
        <w:pStyle w:val="NormalHanging12a"/>
      </w:pPr>
      <w:r w:rsidRPr="00D17A4D">
        <w:t>24.</w:t>
      </w:r>
      <w:r w:rsidRPr="00D17A4D">
        <w:tab/>
        <w:t>poziva agencijo, naj še naprej redno posodablja in objavlja informacije o ustreznih sestankih izvršnega direktorja in zaposlenih z organizacijami ali samozaposlenimi osebami, ki sodelujejo pri oblikovanju in izvajanju politik Unije, da bi zagotovili popolno preglednost in zaupanje v dejavnosti agencije;</w:t>
      </w:r>
    </w:p>
    <w:p w:rsidR="00304FF0" w:rsidRPr="00D17A4D" w:rsidRDefault="00304FF0" w:rsidP="00304FF0">
      <w:pPr>
        <w:pStyle w:val="NormalHanging12a"/>
        <w:rPr>
          <w:szCs w:val="24"/>
        </w:rPr>
      </w:pPr>
      <w:r w:rsidRPr="00D17A4D">
        <w:t>25.</w:t>
      </w:r>
      <w:r w:rsidRPr="00D17A4D">
        <w:tab/>
        <w:t>ugotavlja, da agencija uporablja svojo politiko nasprotja interesov za svoje uslužbence, napotene nacionalne strokovnjake, plačane zunanje strokovnjake, pripravnike ter člane upravnega in svetovalnega odbora; ugotavlja, da osebje z njo seznani prek intraneta in na usposabljanjih, drugi uslužbenci in strokovnjaki pa se s podpisom izjav in zavez o zaupnosti zavežejo, da bodo ravnali v skladu z njo; ugotavlja tudi, da so v splošnih pogojih pogodb agencije navedene posebne določbe o nasprotju interesov za izvajalce agencije, vključno z začasnim osebjem agencije, ki opravlja storitve;</w:t>
      </w:r>
    </w:p>
    <w:p w:rsidR="00304FF0" w:rsidRPr="00D17A4D" w:rsidRDefault="00304FF0" w:rsidP="00304FF0">
      <w:pPr>
        <w:pStyle w:val="NormalHanging12a"/>
        <w:rPr>
          <w:szCs w:val="24"/>
        </w:rPr>
      </w:pPr>
      <w:r w:rsidRPr="00D17A4D">
        <w:t>26.</w:t>
      </w:r>
      <w:r w:rsidRPr="00D17A4D">
        <w:tab/>
        <w:t>priznava, da ima agencija od leta 2014 vzpostavljeno strategijo za boj proti goljufijam, ki se redno posodablja in se trenutno osredotoča na izvajanje ukrepov za zmanjšanje tveganj goljufij, ugotovljenih v ocenah tveganja; ugotavlja, da so bila pri zadnji posodobitvi iz leta 2022, ki jo je odobril upravni odbor, poudarjena stalna prizadevanja za ozaveščanje o etiki in integriteti;</w:t>
      </w:r>
    </w:p>
    <w:p w:rsidR="00304FF0" w:rsidRPr="00D17A4D" w:rsidRDefault="00304FF0" w:rsidP="00304FF0">
      <w:pPr>
        <w:widowControl/>
        <w:spacing w:after="240"/>
        <w:ind w:left="567" w:hanging="567"/>
        <w:rPr>
          <w:szCs w:val="24"/>
        </w:rPr>
      </w:pPr>
      <w:r w:rsidRPr="00D17A4D">
        <w:rPr>
          <w:b/>
          <w:i/>
        </w:rPr>
        <w:t>Javna naročila</w:t>
      </w:r>
    </w:p>
    <w:p w:rsidR="00304FF0" w:rsidRPr="00D17A4D" w:rsidRDefault="00304FF0" w:rsidP="00304FF0">
      <w:pPr>
        <w:widowControl/>
        <w:spacing w:after="240"/>
        <w:ind w:left="567" w:hanging="567"/>
        <w:rPr>
          <w:szCs w:val="24"/>
        </w:rPr>
      </w:pPr>
      <w:r w:rsidRPr="00D17A4D">
        <w:t>27.</w:t>
      </w:r>
      <w:r w:rsidRPr="00D17A4D">
        <w:tab/>
        <w:t xml:space="preserve">ugotavlja, da je po navedbah Računskega sodišča agencija leta 2022 podpisala okvirno pogodbo v vrednosti 90 milijonov EUR za zakup treh plovil z začetnim trajanjem 24 mesecev, ki se samodejno podaljša štirikrat, vsakič za dodatnih 12 mesecev, v skupnem trajanju največ šest let; opozarja, da točka 1.1 Priloge 1 k Uredbi (EU, </w:t>
      </w:r>
      <w:proofErr w:type="spellStart"/>
      <w:r w:rsidRPr="00D17A4D">
        <w:t>Euratom</w:t>
      </w:r>
      <w:proofErr w:type="spellEnd"/>
      <w:r w:rsidRPr="00D17A4D">
        <w:t>) 2018/1046 Evropskega parlamenta in Sveta</w:t>
      </w:r>
      <w:r w:rsidRPr="00D17A4D">
        <w:rPr>
          <w:rStyle w:val="FootnoteReference"/>
          <w:szCs w:val="24"/>
        </w:rPr>
        <w:footnoteReference w:id="13"/>
      </w:r>
      <w:r w:rsidRPr="00D17A4D">
        <w:t xml:space="preserve"> (finančna uredba) dovoljuje okvirne pogodbe, ki trajajo več kot štiri leta, vendar le v izjemnih in ustrezno utemeljenih primerih; ugotavlja, da je agencija daljšo pogodbo utemeljila s tem, da je treba zagotoviti ustrezno donosnost naložb za izvajalce, ki so morali plovila opremiti z napihljivimi čolni s trdim dnom; ugotavlja tudi, da je Računsko sodišče ugotovilo, da ta utemeljitev ni zadostna, saj so bili stroški opremljanja ocenjeni na približno 1 % skupne vrednosti pogodbe, poleg tega pa je agencija ohranila možnost enostranske odpovedi pogodbe po prvih dveh letih in po vsakem naslednjem letu, kar je v nasprotju s trditvijo, da je izvajalec potreboval zajamčeno šestletno trajanje pogodbe, da bi zagotovil donosnost naložb; poudarja, da bo Računsko sodišče s tem povezana nadaljnja plačila obravnavalo kot nepravilna, če se bo pogodba podaljšala za več kot štiri leta; ugotavlja, da je agencija pri pripravi postopka menila, da trg običajnega štiriletnega trajanja pogodbe morda ne bi obravnaval kot zadostnega, da bi se zagotovila donosnost naložb, uspešno izvajanje in neprekinjenost storitve, ki je predmet s tem povezane okvirne pogodbe, pa sta ključnega pomena za njene osrednje dejavnosti;</w:t>
      </w:r>
    </w:p>
    <w:p w:rsidR="00304FF0" w:rsidRPr="00D17A4D" w:rsidRDefault="00304FF0" w:rsidP="00304FF0">
      <w:pPr>
        <w:widowControl/>
        <w:spacing w:after="240"/>
        <w:ind w:left="567" w:hanging="567"/>
        <w:rPr>
          <w:szCs w:val="24"/>
        </w:rPr>
      </w:pPr>
      <w:r w:rsidRPr="00D17A4D">
        <w:t>28.</w:t>
      </w:r>
      <w:r w:rsidRPr="00D17A4D">
        <w:tab/>
        <w:t>opozarja, da je v vseh postopkih javnega naročanja pomembno zagotoviti pošteno konkurenco med ponudniki ter naročanje blaga in storitev po najboljši ceni, pri tem pa je treba upoštevati načela preglednosti, sorazmernosti, enake obravnave in nediskriminacije; poziva agencijo, naj izboljša postopke javnega naročanja, s čimer bi zagotovila spoštovanje vseh veljavnih pravil in s tem največjo možno stroškovno učinkovitost javnih sredstev;</w:t>
      </w:r>
    </w:p>
    <w:p w:rsidR="00304FF0" w:rsidRPr="00D17A4D" w:rsidRDefault="00304FF0" w:rsidP="00304FF0">
      <w:pPr>
        <w:widowControl/>
        <w:spacing w:after="240"/>
        <w:ind w:left="567" w:hanging="567"/>
        <w:rPr>
          <w:b/>
          <w:i/>
          <w:szCs w:val="24"/>
        </w:rPr>
      </w:pPr>
      <w:r w:rsidRPr="00D17A4D">
        <w:rPr>
          <w:b/>
          <w:i/>
        </w:rPr>
        <w:t>Notranja kontrola</w:t>
      </w:r>
    </w:p>
    <w:p w:rsidR="00304FF0" w:rsidRPr="00D17A4D" w:rsidRDefault="00304FF0" w:rsidP="00304FF0">
      <w:pPr>
        <w:widowControl/>
        <w:spacing w:after="240"/>
        <w:ind w:left="567" w:hanging="567"/>
        <w:rPr>
          <w:szCs w:val="24"/>
        </w:rPr>
      </w:pPr>
      <w:r w:rsidRPr="00D17A4D">
        <w:t>29.</w:t>
      </w:r>
      <w:r w:rsidRPr="00D17A4D">
        <w:tab/>
        <w:t>izraža zaskrbljenost zaradi ugotovitve Računskega sodišča, da je v postopkih, ki so se uporabljali za izbiro zunanjih strokovnjakov in sklepanje pogodb z njimi, sistematično manjkala zanesljiva revizijska sled, zahtevana v členu 36(3) finančne uredbe; natančneje, ugotavlja, da ni bilo mogoče pridobiti zadostnih dokazov, da so bile strokovnjakom naloge dodeljene na podlagi vnaprej določenih meril za izbor, povezanih z njihovimi kvalifikacijami, ter da sta bili upoštevani načeli nediskriminacije in enakega obravnavanja iz člena 237 finančne uredbe; poziva agencijo, naj izboljša svoje notranje postopke izbire in sklepanja pogodb z zunanjimi strokovnjaki, organu za podelitev razrešnice pa poroča o vseh ukrepih, sprejetih v zvezi s tem;</w:t>
      </w:r>
    </w:p>
    <w:p w:rsidR="00304FF0" w:rsidRPr="00D17A4D" w:rsidRDefault="00304FF0" w:rsidP="00304FF0">
      <w:pPr>
        <w:widowControl/>
        <w:spacing w:after="240"/>
        <w:ind w:left="567" w:hanging="567"/>
        <w:rPr>
          <w:szCs w:val="24"/>
        </w:rPr>
      </w:pPr>
      <w:r w:rsidRPr="00D17A4D">
        <w:t>30.</w:t>
      </w:r>
      <w:r w:rsidRPr="00D17A4D">
        <w:tab/>
        <w:t>z zaskrbljenostjo ugotavlja, da je agencija po navedbah Računskega sodišča maja 2022 brez predhodne objave obvestila o naročilu začela postopek s pogajanji za najem pomorskega patruljnega plovila za uporabo v vodah med Unijo in Združenim kraljestvom, in junija 2022 podpisala pogodbo za premostitev vrzeli med prejšnjimi in prihodnjimi pogodbami v okviru tekočega odprtega postopka, ki je trajal dlje, kot je bilo sprva pričakovano; ugotavlja, da je agencija nujnost utemeljila z uporabo izjeme iz finančne uredbe in se pri tem sklicevala na nepredvidljive dogodke, kot dovoljuje točka 11.1(c) Priloge I k finančni uredbi; želi pripomniti, da je Računsko sodišče ugotovilo, da nekateri dejavniki, ki so prispevali k tej nujnosti, morda niso bili predvidljivi, so pa bili nekateri drugi, ter da dejstvo, da niso bili ustrezno upoštevani, kaže, da je agencija slabo načrtovala in upravljala javna naročila za zakup treh plovil; poziva agencijo, naj preuči in odpravi pomanjkljivosti pri načrtovanju in upravljanju javnih naročil, kot je navedlo Računsko sodišče, ter organu za podelitev razrešnice čim prej poroča o ukrepih, sprejetih v zvezi s tem;</w:t>
      </w:r>
    </w:p>
    <w:p w:rsidR="00304FF0" w:rsidRPr="00D17A4D" w:rsidRDefault="00304FF0" w:rsidP="00304FF0">
      <w:pPr>
        <w:widowControl/>
        <w:spacing w:after="240"/>
        <w:ind w:left="567" w:hanging="567"/>
        <w:rPr>
          <w:b/>
          <w:i/>
          <w:szCs w:val="24"/>
        </w:rPr>
      </w:pPr>
      <w:r w:rsidRPr="00D17A4D">
        <w:rPr>
          <w:b/>
          <w:i/>
        </w:rPr>
        <w:t>Druge pripombe</w:t>
      </w:r>
    </w:p>
    <w:p w:rsidR="00304FF0" w:rsidRPr="00D17A4D" w:rsidRDefault="00304FF0" w:rsidP="00304FF0">
      <w:pPr>
        <w:widowControl/>
        <w:spacing w:after="240"/>
        <w:ind w:left="567" w:hanging="567"/>
        <w:rPr>
          <w:szCs w:val="24"/>
        </w:rPr>
      </w:pPr>
      <w:r w:rsidRPr="00D17A4D">
        <w:t>31.</w:t>
      </w:r>
      <w:r w:rsidRPr="00D17A4D">
        <w:tab/>
        <w:t>ugotavlja, da agencija ne izvaja postopka certificiranja sistema za okoljsko ravnanje in presojo (EMAS) ter da so prizadevanja usmerjena v podporo drugim projektom;</w:t>
      </w:r>
      <w:r w:rsidRPr="00D17A4D">
        <w:rPr>
          <w:rFonts w:ascii="Segoe UI" w:hAnsi="Segoe UI"/>
          <w:color w:val="374151"/>
        </w:rPr>
        <w:t xml:space="preserve"> </w:t>
      </w:r>
      <w:r w:rsidRPr="00D17A4D">
        <w:t>opozarja, da je cilj sheme spodbujati stalne izboljšave okoljske uspešnosti organizacij; spodbuja agencijo, naj sprejme ukrepe za izvajanje sistema EMAS;</w:t>
      </w:r>
    </w:p>
    <w:p w:rsidR="00304FF0" w:rsidRPr="00D17A4D" w:rsidRDefault="00304FF0" w:rsidP="00304FF0">
      <w:pPr>
        <w:pStyle w:val="NormalCenter12a"/>
      </w:pPr>
      <w:r w:rsidRPr="00D17A4D">
        <w:t>°</w:t>
      </w:r>
    </w:p>
    <w:p w:rsidR="00304FF0" w:rsidRPr="00D17A4D" w:rsidRDefault="00304FF0" w:rsidP="00304FF0">
      <w:pPr>
        <w:pStyle w:val="NormalCenter12a"/>
      </w:pPr>
      <w:r w:rsidRPr="00D17A4D">
        <w:t>°</w:t>
      </w:r>
      <w:r w:rsidRPr="00D17A4D">
        <w:tab/>
        <w:t>°</w:t>
      </w:r>
    </w:p>
    <w:p w:rsidR="00E365E1" w:rsidRPr="001131C6" w:rsidRDefault="00304FF0" w:rsidP="00D17A4D">
      <w:pPr>
        <w:widowControl/>
        <w:spacing w:after="240"/>
        <w:ind w:left="567" w:hanging="567"/>
      </w:pPr>
      <w:r w:rsidRPr="00D17A4D">
        <w:t>32.</w:t>
      </w:r>
      <w:r w:rsidRPr="00D17A4D">
        <w:tab/>
        <w:t xml:space="preserve">sporoča, da so druge ugotovitve horizontalne narave, ki spremljajo sklep o razrešnici, zbrane v resoluciji z dne </w:t>
      </w:r>
      <w:r w:rsidR="00C66E52" w:rsidRPr="00D17A4D">
        <w:t>11. aprila 2024</w:t>
      </w:r>
      <w:r w:rsidRPr="00D17A4D">
        <w:rPr>
          <w:vertAlign w:val="superscript"/>
        </w:rPr>
        <w:footnoteReference w:id="14"/>
      </w:r>
      <w:r w:rsidRPr="00D17A4D">
        <w:t xml:space="preserve"> o uspešnosti, finančnem </w:t>
      </w:r>
      <w:proofErr w:type="spellStart"/>
      <w:r w:rsidRPr="00D17A4D">
        <w:t>poslovodenju</w:t>
      </w:r>
      <w:proofErr w:type="spellEnd"/>
      <w:r w:rsidRPr="00D17A4D">
        <w:t xml:space="preserve"> in nadzoru agencij.</w:t>
      </w:r>
      <w:bookmarkStart w:id="11" w:name="TextBodyEnd"/>
      <w:bookmarkEnd w:id="11"/>
    </w:p>
    <w:sectPr w:rsidR="00E365E1" w:rsidRPr="001131C6" w:rsidSect="001131C6">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7736" w:rsidRPr="001131C6" w:rsidRDefault="00A37736">
      <w:r w:rsidRPr="001131C6">
        <w:separator/>
      </w:r>
    </w:p>
  </w:endnote>
  <w:endnote w:type="continuationSeparator" w:id="0">
    <w:p w:rsidR="00A37736" w:rsidRPr="001131C6" w:rsidRDefault="00A37736">
      <w:r w:rsidRPr="001131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FF0" w:rsidRPr="001131C6" w:rsidRDefault="00304FF0" w:rsidP="004F014E">
    <w:pPr>
      <w:pStyle w:val="EPFooter"/>
    </w:pPr>
    <w:r w:rsidRPr="001131C6">
      <w:t>PE</w:t>
    </w:r>
    <w:r w:rsidRPr="001131C6">
      <w:rPr>
        <w:rStyle w:val="HideTWBExt"/>
      </w:rPr>
      <w:t>&lt;</w:t>
    </w:r>
    <w:proofErr w:type="spellStart"/>
    <w:r w:rsidRPr="001131C6">
      <w:rPr>
        <w:rStyle w:val="HideTWBExt"/>
      </w:rPr>
      <w:t>NoPE</w:t>
    </w:r>
    <w:proofErr w:type="spellEnd"/>
    <w:r w:rsidRPr="001131C6">
      <w:rPr>
        <w:rStyle w:val="HideTWBExt"/>
      </w:rPr>
      <w:t>&gt;</w:t>
    </w:r>
    <w:r w:rsidRPr="001131C6">
      <w:t>753.518</w:t>
    </w:r>
    <w:r w:rsidRPr="001131C6">
      <w:rPr>
        <w:rStyle w:val="HideTWBExt"/>
      </w:rPr>
      <w:t>&lt;/</w:t>
    </w:r>
    <w:proofErr w:type="spellStart"/>
    <w:r w:rsidRPr="001131C6">
      <w:rPr>
        <w:rStyle w:val="HideTWBExt"/>
      </w:rPr>
      <w:t>NoPE</w:t>
    </w:r>
    <w:proofErr w:type="spellEnd"/>
    <w:r w:rsidRPr="001131C6">
      <w:rPr>
        <w:rStyle w:val="HideTWBExt"/>
      </w:rPr>
      <w:t>&gt;&lt;Version&gt;</w:t>
    </w:r>
    <w:r w:rsidRPr="001131C6">
      <w:t>v02-00</w:t>
    </w:r>
    <w:r w:rsidRPr="001131C6">
      <w:rPr>
        <w:rStyle w:val="HideTWBExt"/>
      </w:rPr>
      <w:t>&lt;/</w:t>
    </w:r>
    <w:proofErr w:type="spellStart"/>
    <w:r w:rsidRPr="001131C6">
      <w:rPr>
        <w:rStyle w:val="HideTWBExt"/>
      </w:rPr>
      <w:t>Version</w:t>
    </w:r>
    <w:proofErr w:type="spellEnd"/>
    <w:r w:rsidRPr="001131C6">
      <w:rPr>
        <w:rStyle w:val="HideTWBExt"/>
      </w:rPr>
      <w:t>&gt;</w:t>
    </w:r>
    <w:r w:rsidRPr="001131C6">
      <w:tab/>
    </w:r>
    <w:r w:rsidRPr="001131C6">
      <w:fldChar w:fldCharType="begin"/>
    </w:r>
    <w:r w:rsidRPr="001131C6">
      <w:instrText xml:space="preserve"> PAGE  \* MERGEFORMAT </w:instrText>
    </w:r>
    <w:r w:rsidRPr="001131C6">
      <w:fldChar w:fldCharType="separate"/>
    </w:r>
    <w:r w:rsidR="001131C6" w:rsidRPr="001131C6">
      <w:rPr>
        <w:noProof/>
      </w:rPr>
      <w:t>2</w:t>
    </w:r>
    <w:r w:rsidRPr="001131C6">
      <w:fldChar w:fldCharType="end"/>
    </w:r>
    <w:r w:rsidRPr="001131C6">
      <w:t>/</w:t>
    </w:r>
    <w:r w:rsidR="00D17A4D">
      <w:fldChar w:fldCharType="begin"/>
    </w:r>
    <w:r w:rsidR="00D17A4D">
      <w:instrText xml:space="preserve"> NUMPAGES  \* MERGEFORMAT </w:instrText>
    </w:r>
    <w:r w:rsidR="00D17A4D">
      <w:fldChar w:fldCharType="separate"/>
    </w:r>
    <w:r w:rsidR="001131C6" w:rsidRPr="001131C6">
      <w:rPr>
        <w:noProof/>
      </w:rPr>
      <w:t>4</w:t>
    </w:r>
    <w:r w:rsidR="00D17A4D">
      <w:rPr>
        <w:noProof/>
      </w:rPr>
      <w:fldChar w:fldCharType="end"/>
    </w:r>
    <w:r w:rsidRPr="001131C6">
      <w:tab/>
    </w:r>
    <w:r w:rsidRPr="001131C6">
      <w:rPr>
        <w:rStyle w:val="HideTWBExt"/>
      </w:rPr>
      <w:t>&lt;PathFdR&gt;</w:t>
    </w:r>
    <w:r w:rsidRPr="001131C6">
      <w:t>RR\1298773SL.docx</w:t>
    </w:r>
    <w:r w:rsidRPr="001131C6">
      <w:rPr>
        <w:rStyle w:val="HideTWBExt"/>
      </w:rPr>
      <w:t>&lt;/</w:t>
    </w:r>
    <w:proofErr w:type="spellStart"/>
    <w:r w:rsidRPr="001131C6">
      <w:rPr>
        <w:rStyle w:val="HideTWBExt"/>
      </w:rPr>
      <w:t>PathFdR</w:t>
    </w:r>
    <w:proofErr w:type="spellEnd"/>
    <w:r w:rsidRPr="001131C6">
      <w:rPr>
        <w:rStyle w:val="HideTWBExt"/>
      </w:rPr>
      <w:t>&gt;</w:t>
    </w:r>
  </w:p>
  <w:p w:rsidR="00304FF0" w:rsidRPr="001131C6" w:rsidRDefault="00304FF0" w:rsidP="004F014E">
    <w:pPr>
      <w:pStyle w:val="EPFooter2"/>
    </w:pPr>
    <w:r w:rsidRPr="001131C6">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FF0" w:rsidRPr="001131C6" w:rsidRDefault="00304FF0" w:rsidP="004F014E">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FF0" w:rsidRPr="001131C6" w:rsidRDefault="00304FF0" w:rsidP="004F014E">
    <w:pPr>
      <w:pStyle w:val="EPFooter"/>
    </w:pPr>
    <w:r w:rsidRPr="001131C6">
      <w:rPr>
        <w:rStyle w:val="HideTWBExt"/>
      </w:rPr>
      <w:t>&lt;PathFdR&gt;</w:t>
    </w:r>
    <w:r w:rsidRPr="001131C6">
      <w:t>RR\1298773SL.docx</w:t>
    </w:r>
    <w:r w:rsidRPr="001131C6">
      <w:rPr>
        <w:rStyle w:val="HideTWBExt"/>
      </w:rPr>
      <w:t>&lt;/</w:t>
    </w:r>
    <w:proofErr w:type="spellStart"/>
    <w:r w:rsidRPr="001131C6">
      <w:rPr>
        <w:rStyle w:val="HideTWBExt"/>
      </w:rPr>
      <w:t>PathFdR</w:t>
    </w:r>
    <w:proofErr w:type="spellEnd"/>
    <w:r w:rsidRPr="001131C6">
      <w:rPr>
        <w:rStyle w:val="HideTWBExt"/>
      </w:rPr>
      <w:t>&gt;</w:t>
    </w:r>
    <w:r w:rsidRPr="001131C6">
      <w:tab/>
    </w:r>
    <w:r w:rsidRPr="001131C6">
      <w:tab/>
      <w:t>PE</w:t>
    </w:r>
    <w:r w:rsidRPr="001131C6">
      <w:rPr>
        <w:rStyle w:val="HideTWBExt"/>
      </w:rPr>
      <w:t>&lt;</w:t>
    </w:r>
    <w:proofErr w:type="spellStart"/>
    <w:r w:rsidRPr="001131C6">
      <w:rPr>
        <w:rStyle w:val="HideTWBExt"/>
      </w:rPr>
      <w:t>NoPE</w:t>
    </w:r>
    <w:proofErr w:type="spellEnd"/>
    <w:r w:rsidRPr="001131C6">
      <w:rPr>
        <w:rStyle w:val="HideTWBExt"/>
      </w:rPr>
      <w:t>&gt;</w:t>
    </w:r>
    <w:r w:rsidRPr="001131C6">
      <w:t>753.518</w:t>
    </w:r>
    <w:r w:rsidRPr="001131C6">
      <w:rPr>
        <w:rStyle w:val="HideTWBExt"/>
      </w:rPr>
      <w:t>&lt;/</w:t>
    </w:r>
    <w:proofErr w:type="spellStart"/>
    <w:r w:rsidRPr="001131C6">
      <w:rPr>
        <w:rStyle w:val="HideTWBExt"/>
      </w:rPr>
      <w:t>NoPE</w:t>
    </w:r>
    <w:proofErr w:type="spellEnd"/>
    <w:r w:rsidRPr="001131C6">
      <w:rPr>
        <w:rStyle w:val="HideTWBExt"/>
      </w:rPr>
      <w:t>&gt;&lt;Version&gt;</w:t>
    </w:r>
    <w:r w:rsidRPr="001131C6">
      <w:t>v02-00</w:t>
    </w:r>
    <w:r w:rsidRPr="001131C6">
      <w:rPr>
        <w:rStyle w:val="HideTWBExt"/>
      </w:rPr>
      <w:t>&lt;/</w:t>
    </w:r>
    <w:proofErr w:type="spellStart"/>
    <w:r w:rsidRPr="001131C6">
      <w:rPr>
        <w:rStyle w:val="HideTWBExt"/>
      </w:rPr>
      <w:t>Version</w:t>
    </w:r>
    <w:proofErr w:type="spellEnd"/>
    <w:r w:rsidRPr="001131C6">
      <w:rPr>
        <w:rStyle w:val="HideTWBExt"/>
      </w:rPr>
      <w:t>&gt;</w:t>
    </w:r>
  </w:p>
  <w:p w:rsidR="00304FF0" w:rsidRPr="001131C6" w:rsidRDefault="00304FF0" w:rsidP="004F014E">
    <w:pPr>
      <w:pStyle w:val="EPFooter2"/>
    </w:pPr>
    <w:r w:rsidRPr="001131C6">
      <w:t>SL</w:t>
    </w:r>
    <w:r w:rsidRPr="001131C6">
      <w:tab/>
    </w:r>
    <w:r w:rsidRPr="001131C6">
      <w:rPr>
        <w:b w:val="0"/>
        <w:i/>
        <w:color w:val="C0C0C0"/>
        <w:sz w:val="22"/>
      </w:rPr>
      <w:t>Združena v raznolikosti</w:t>
    </w:r>
    <w:r w:rsidRPr="001131C6">
      <w:tab/>
      <w:t>SL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31C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31C6"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31C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7736" w:rsidRPr="001131C6" w:rsidRDefault="00A37736">
      <w:r w:rsidRPr="001131C6">
        <w:separator/>
      </w:r>
    </w:p>
  </w:footnote>
  <w:footnote w:type="continuationSeparator" w:id="0">
    <w:p w:rsidR="00A37736" w:rsidRPr="001131C6" w:rsidRDefault="00A37736">
      <w:r w:rsidRPr="001131C6">
        <w:continuationSeparator/>
      </w:r>
    </w:p>
  </w:footnote>
  <w:footnote w:id="1">
    <w:p w:rsidR="00304FF0" w:rsidRPr="001131C6" w:rsidRDefault="00304FF0" w:rsidP="001131C6">
      <w:pPr>
        <w:pStyle w:val="FootnoteText"/>
        <w:ind w:left="567" w:hanging="567"/>
        <w:rPr>
          <w:sz w:val="24"/>
          <w:lang w:val="sl-SI"/>
        </w:rPr>
      </w:pPr>
      <w:r w:rsidRPr="001131C6">
        <w:rPr>
          <w:rStyle w:val="FootnoteReference"/>
          <w:sz w:val="24"/>
          <w:lang w:val="sl-SI"/>
        </w:rPr>
        <w:footnoteRef/>
      </w:r>
      <w:r w:rsidR="001131C6" w:rsidRPr="001131C6">
        <w:rPr>
          <w:sz w:val="24"/>
          <w:lang w:val="sl-SI"/>
        </w:rPr>
        <w:t xml:space="preserve"> </w:t>
      </w:r>
      <w:r w:rsidR="001131C6" w:rsidRPr="001131C6">
        <w:rPr>
          <w:sz w:val="24"/>
          <w:lang w:val="sl-SI"/>
        </w:rPr>
        <w:tab/>
      </w:r>
      <w:r w:rsidRPr="001131C6">
        <w:rPr>
          <w:sz w:val="24"/>
          <w:lang w:val="sl-SI"/>
        </w:rPr>
        <w:t>UL C, C/2023/594, 27.10.2023.</w:t>
      </w:r>
    </w:p>
  </w:footnote>
  <w:footnote w:id="2">
    <w:p w:rsidR="00304FF0" w:rsidRPr="001131C6" w:rsidRDefault="00304FF0" w:rsidP="001131C6">
      <w:pPr>
        <w:pStyle w:val="FootnoteText"/>
        <w:ind w:left="567" w:hanging="567"/>
        <w:rPr>
          <w:sz w:val="24"/>
          <w:lang w:val="sl-SI"/>
        </w:rPr>
      </w:pPr>
      <w:r w:rsidRPr="001131C6">
        <w:rPr>
          <w:rStyle w:val="FootnoteReference"/>
          <w:sz w:val="24"/>
          <w:lang w:val="sl-SI"/>
        </w:rPr>
        <w:footnoteRef/>
      </w:r>
      <w:r w:rsidR="001131C6" w:rsidRPr="001131C6">
        <w:rPr>
          <w:sz w:val="24"/>
          <w:lang w:val="sl-SI"/>
        </w:rPr>
        <w:t xml:space="preserve"> </w:t>
      </w:r>
      <w:r w:rsidR="001131C6" w:rsidRPr="001131C6">
        <w:rPr>
          <w:sz w:val="24"/>
          <w:lang w:val="sl-SI"/>
        </w:rPr>
        <w:tab/>
      </w:r>
      <w:r w:rsidRPr="001131C6">
        <w:rPr>
          <w:sz w:val="24"/>
          <w:lang w:val="sl-SI"/>
        </w:rPr>
        <w:t>UL C, C/2023/112, 12.10.2023.</w:t>
      </w:r>
    </w:p>
  </w:footnote>
  <w:footnote w:id="3">
    <w:p w:rsidR="00304FF0" w:rsidRPr="001131C6" w:rsidRDefault="00304FF0" w:rsidP="001131C6">
      <w:pPr>
        <w:pStyle w:val="FootnoteText"/>
        <w:ind w:left="567" w:hanging="567"/>
        <w:rPr>
          <w:sz w:val="24"/>
          <w:lang w:val="sl-SI"/>
        </w:rPr>
      </w:pPr>
      <w:r w:rsidRPr="001131C6">
        <w:rPr>
          <w:rStyle w:val="FootnoteReference"/>
          <w:sz w:val="24"/>
          <w:lang w:val="sl-SI"/>
        </w:rPr>
        <w:footnoteRef/>
      </w:r>
      <w:r w:rsidR="001131C6" w:rsidRPr="001131C6">
        <w:rPr>
          <w:sz w:val="24"/>
          <w:lang w:val="sl-SI"/>
        </w:rPr>
        <w:t xml:space="preserve"> </w:t>
      </w:r>
      <w:r w:rsidR="001131C6" w:rsidRPr="001131C6">
        <w:rPr>
          <w:sz w:val="24"/>
          <w:lang w:val="sl-SI"/>
        </w:rPr>
        <w:tab/>
      </w:r>
      <w:r w:rsidRPr="001131C6">
        <w:rPr>
          <w:sz w:val="24"/>
          <w:lang w:val="sl-SI"/>
        </w:rPr>
        <w:t>UL L 193, 30.7.2018, str. 1.</w:t>
      </w:r>
    </w:p>
  </w:footnote>
  <w:footnote w:id="4">
    <w:p w:rsidR="00304FF0" w:rsidRPr="001131C6" w:rsidRDefault="00304FF0" w:rsidP="001131C6">
      <w:pPr>
        <w:pStyle w:val="FootnoteText"/>
        <w:ind w:left="567" w:hanging="567"/>
        <w:rPr>
          <w:sz w:val="24"/>
          <w:lang w:val="sl-SI"/>
        </w:rPr>
      </w:pPr>
      <w:r w:rsidRPr="001131C6">
        <w:rPr>
          <w:rStyle w:val="FootnoteReference"/>
          <w:sz w:val="24"/>
          <w:lang w:val="sl-SI"/>
        </w:rPr>
        <w:footnoteRef/>
      </w:r>
      <w:r w:rsidR="001131C6" w:rsidRPr="001131C6">
        <w:rPr>
          <w:sz w:val="24"/>
          <w:lang w:val="sl-SI"/>
        </w:rPr>
        <w:t xml:space="preserve"> </w:t>
      </w:r>
      <w:r w:rsidR="001131C6" w:rsidRPr="001131C6">
        <w:rPr>
          <w:sz w:val="24"/>
          <w:lang w:val="sl-SI"/>
        </w:rPr>
        <w:tab/>
      </w:r>
      <w:r w:rsidRPr="001131C6">
        <w:rPr>
          <w:sz w:val="24"/>
          <w:lang w:val="sl-SI"/>
        </w:rPr>
        <w:t>UL L 83, 25.3.2019, str. 18.</w:t>
      </w:r>
    </w:p>
  </w:footnote>
  <w:footnote w:id="5">
    <w:p w:rsidR="00304FF0" w:rsidRPr="001131C6" w:rsidRDefault="00304FF0" w:rsidP="001131C6">
      <w:pPr>
        <w:pStyle w:val="FootnoteText"/>
        <w:ind w:left="567" w:hanging="567"/>
        <w:rPr>
          <w:sz w:val="24"/>
          <w:lang w:val="sl-SI"/>
        </w:rPr>
      </w:pPr>
      <w:r w:rsidRPr="001131C6">
        <w:rPr>
          <w:rStyle w:val="FootnoteReference"/>
          <w:sz w:val="24"/>
          <w:lang w:val="sl-SI"/>
        </w:rPr>
        <w:footnoteRef/>
      </w:r>
      <w:r w:rsidR="001131C6" w:rsidRPr="001131C6">
        <w:rPr>
          <w:sz w:val="24"/>
          <w:lang w:val="sl-SI"/>
        </w:rPr>
        <w:t xml:space="preserve"> </w:t>
      </w:r>
      <w:r w:rsidR="001131C6" w:rsidRPr="001131C6">
        <w:rPr>
          <w:sz w:val="24"/>
          <w:lang w:val="sl-SI"/>
        </w:rPr>
        <w:tab/>
      </w:r>
      <w:r w:rsidRPr="001131C6">
        <w:rPr>
          <w:sz w:val="24"/>
          <w:lang w:val="sl-SI"/>
        </w:rPr>
        <w:t>UL L 122, 10.5.2019, str. 1.</w:t>
      </w:r>
    </w:p>
  </w:footnote>
  <w:footnote w:id="6">
    <w:p w:rsidR="00304FF0" w:rsidRPr="001131C6" w:rsidRDefault="00304FF0" w:rsidP="001131C6">
      <w:pPr>
        <w:pStyle w:val="FootnoteText"/>
        <w:ind w:left="567" w:hanging="567"/>
        <w:rPr>
          <w:sz w:val="24"/>
          <w:lang w:val="sl-SI"/>
        </w:rPr>
      </w:pPr>
      <w:r w:rsidRPr="001131C6">
        <w:rPr>
          <w:rStyle w:val="FootnoteReference"/>
          <w:sz w:val="24"/>
          <w:lang w:val="sl-SI"/>
        </w:rPr>
        <w:footnoteRef/>
      </w:r>
      <w:r w:rsidR="001131C6" w:rsidRPr="001131C6">
        <w:rPr>
          <w:sz w:val="24"/>
          <w:lang w:val="sl-SI"/>
        </w:rPr>
        <w:t xml:space="preserve"> </w:t>
      </w:r>
      <w:r w:rsidR="001131C6" w:rsidRPr="001131C6">
        <w:rPr>
          <w:sz w:val="24"/>
          <w:lang w:val="sl-SI"/>
        </w:rPr>
        <w:tab/>
      </w:r>
      <w:r w:rsidRPr="001131C6">
        <w:rPr>
          <w:sz w:val="24"/>
          <w:lang w:val="sl-SI"/>
        </w:rPr>
        <w:t>UL C, C/2023/594, 27.10.2023.</w:t>
      </w:r>
    </w:p>
  </w:footnote>
  <w:footnote w:id="7">
    <w:p w:rsidR="00304FF0" w:rsidRPr="001131C6" w:rsidRDefault="00304FF0" w:rsidP="001131C6">
      <w:pPr>
        <w:pStyle w:val="FootnoteText"/>
        <w:ind w:left="567" w:hanging="567"/>
        <w:rPr>
          <w:sz w:val="24"/>
          <w:lang w:val="sl-SI"/>
        </w:rPr>
      </w:pPr>
      <w:r w:rsidRPr="001131C6">
        <w:rPr>
          <w:rStyle w:val="FootnoteReference"/>
          <w:sz w:val="24"/>
          <w:lang w:val="sl-SI"/>
        </w:rPr>
        <w:footnoteRef/>
      </w:r>
      <w:r w:rsidR="001131C6" w:rsidRPr="001131C6">
        <w:rPr>
          <w:sz w:val="24"/>
          <w:lang w:val="sl-SI"/>
        </w:rPr>
        <w:t xml:space="preserve"> </w:t>
      </w:r>
      <w:r w:rsidR="001131C6" w:rsidRPr="001131C6">
        <w:rPr>
          <w:sz w:val="24"/>
          <w:lang w:val="sl-SI"/>
        </w:rPr>
        <w:tab/>
      </w:r>
      <w:r w:rsidRPr="001131C6">
        <w:rPr>
          <w:sz w:val="24"/>
          <w:lang w:val="sl-SI"/>
        </w:rPr>
        <w:t>UL C, C/2023/112, 12.10.2023.</w:t>
      </w:r>
    </w:p>
  </w:footnote>
  <w:footnote w:id="8">
    <w:p w:rsidR="00304FF0" w:rsidRPr="001131C6" w:rsidRDefault="00304FF0" w:rsidP="001131C6">
      <w:pPr>
        <w:pStyle w:val="FootnoteText"/>
        <w:ind w:left="567" w:hanging="567"/>
        <w:rPr>
          <w:sz w:val="24"/>
          <w:lang w:val="sl-SI"/>
        </w:rPr>
      </w:pPr>
      <w:r w:rsidRPr="001131C6">
        <w:rPr>
          <w:rStyle w:val="FootnoteReference"/>
          <w:sz w:val="24"/>
          <w:lang w:val="sl-SI"/>
        </w:rPr>
        <w:footnoteRef/>
      </w:r>
      <w:r w:rsidR="001131C6" w:rsidRPr="001131C6">
        <w:rPr>
          <w:sz w:val="24"/>
          <w:lang w:val="sl-SI"/>
        </w:rPr>
        <w:t xml:space="preserve"> </w:t>
      </w:r>
      <w:r w:rsidR="001131C6" w:rsidRPr="001131C6">
        <w:rPr>
          <w:sz w:val="24"/>
          <w:lang w:val="sl-SI"/>
        </w:rPr>
        <w:tab/>
      </w:r>
      <w:r w:rsidRPr="001131C6">
        <w:rPr>
          <w:sz w:val="24"/>
          <w:lang w:val="sl-SI"/>
        </w:rPr>
        <w:t>UL L 193, 30.7.2018, str. 1.</w:t>
      </w:r>
    </w:p>
  </w:footnote>
  <w:footnote w:id="9">
    <w:p w:rsidR="00304FF0" w:rsidRPr="001131C6" w:rsidRDefault="00304FF0" w:rsidP="001131C6">
      <w:pPr>
        <w:pStyle w:val="FootnoteText"/>
        <w:ind w:left="567" w:hanging="567"/>
        <w:rPr>
          <w:sz w:val="24"/>
          <w:lang w:val="sl-SI"/>
        </w:rPr>
      </w:pPr>
      <w:r w:rsidRPr="001131C6">
        <w:rPr>
          <w:rStyle w:val="FootnoteReference"/>
          <w:sz w:val="24"/>
          <w:lang w:val="sl-SI"/>
        </w:rPr>
        <w:footnoteRef/>
      </w:r>
      <w:r w:rsidR="001131C6" w:rsidRPr="001131C6">
        <w:rPr>
          <w:sz w:val="24"/>
          <w:lang w:val="sl-SI"/>
        </w:rPr>
        <w:t xml:space="preserve"> </w:t>
      </w:r>
      <w:r w:rsidR="001131C6" w:rsidRPr="001131C6">
        <w:rPr>
          <w:sz w:val="24"/>
          <w:lang w:val="sl-SI"/>
        </w:rPr>
        <w:tab/>
      </w:r>
      <w:r w:rsidRPr="001131C6">
        <w:rPr>
          <w:sz w:val="24"/>
          <w:lang w:val="sl-SI"/>
        </w:rPr>
        <w:t>UL L 83, 25.3.2019, str. 18.</w:t>
      </w:r>
    </w:p>
  </w:footnote>
  <w:footnote w:id="10">
    <w:p w:rsidR="00304FF0" w:rsidRPr="001131C6" w:rsidRDefault="00304FF0" w:rsidP="001131C6">
      <w:pPr>
        <w:pStyle w:val="FootnoteText"/>
        <w:ind w:left="567" w:hanging="567"/>
        <w:rPr>
          <w:sz w:val="24"/>
          <w:lang w:val="sl-SI"/>
        </w:rPr>
      </w:pPr>
      <w:r w:rsidRPr="001131C6">
        <w:rPr>
          <w:rStyle w:val="FootnoteReference"/>
          <w:sz w:val="24"/>
          <w:lang w:val="sl-SI"/>
        </w:rPr>
        <w:footnoteRef/>
      </w:r>
      <w:r w:rsidR="001131C6" w:rsidRPr="001131C6">
        <w:rPr>
          <w:sz w:val="24"/>
          <w:lang w:val="sl-SI"/>
        </w:rPr>
        <w:t xml:space="preserve"> </w:t>
      </w:r>
      <w:r w:rsidR="001131C6" w:rsidRPr="001131C6">
        <w:rPr>
          <w:sz w:val="24"/>
          <w:lang w:val="sl-SI"/>
        </w:rPr>
        <w:tab/>
      </w:r>
      <w:r w:rsidRPr="001131C6">
        <w:rPr>
          <w:sz w:val="24"/>
          <w:lang w:val="sl-SI"/>
        </w:rPr>
        <w:t>UL L 122, 10.5.2019, str. 1.</w:t>
      </w:r>
    </w:p>
  </w:footnote>
  <w:footnote w:id="11">
    <w:p w:rsidR="00304FF0" w:rsidRPr="001131C6" w:rsidRDefault="00304FF0" w:rsidP="001131C6">
      <w:pPr>
        <w:pStyle w:val="FootnoteText"/>
        <w:ind w:left="567" w:hanging="567"/>
        <w:rPr>
          <w:sz w:val="24"/>
          <w:lang w:val="sl-SI"/>
        </w:rPr>
      </w:pPr>
      <w:r w:rsidRPr="001131C6">
        <w:rPr>
          <w:rStyle w:val="FootnoteReference"/>
          <w:sz w:val="24"/>
          <w:lang w:val="sl-SI"/>
        </w:rPr>
        <w:footnoteRef/>
      </w:r>
      <w:r w:rsidR="001131C6" w:rsidRPr="001131C6">
        <w:rPr>
          <w:sz w:val="24"/>
          <w:lang w:val="sl-SI"/>
        </w:rPr>
        <w:t xml:space="preserve"> </w:t>
      </w:r>
      <w:r w:rsidR="001131C6" w:rsidRPr="001131C6">
        <w:rPr>
          <w:sz w:val="24"/>
          <w:lang w:val="sl-SI"/>
        </w:rPr>
        <w:tab/>
      </w:r>
      <w:r w:rsidRPr="001131C6">
        <w:rPr>
          <w:sz w:val="24"/>
          <w:lang w:val="sl-SI"/>
        </w:rPr>
        <w:t>UL C 38, 31.1.2023, str. 65.</w:t>
      </w:r>
    </w:p>
  </w:footnote>
  <w:footnote w:id="12">
    <w:p w:rsidR="00304FF0" w:rsidRPr="001131C6" w:rsidRDefault="00304FF0" w:rsidP="001131C6">
      <w:pPr>
        <w:pStyle w:val="FootnoteText"/>
        <w:ind w:left="567" w:hanging="567"/>
        <w:rPr>
          <w:sz w:val="24"/>
          <w:lang w:val="sl-SI"/>
        </w:rPr>
      </w:pPr>
      <w:r w:rsidRPr="001131C6">
        <w:rPr>
          <w:rStyle w:val="FootnoteReference"/>
          <w:sz w:val="24"/>
          <w:lang w:val="sl-SI"/>
        </w:rPr>
        <w:footnoteRef/>
      </w:r>
      <w:r w:rsidR="001131C6" w:rsidRPr="001131C6">
        <w:rPr>
          <w:sz w:val="24"/>
          <w:lang w:val="sl-SI"/>
        </w:rPr>
        <w:t xml:space="preserve"> </w:t>
      </w:r>
      <w:r w:rsidR="001131C6" w:rsidRPr="001131C6">
        <w:rPr>
          <w:sz w:val="24"/>
          <w:lang w:val="sl-SI"/>
        </w:rPr>
        <w:tab/>
      </w:r>
      <w:r w:rsidRPr="001131C6">
        <w:rPr>
          <w:sz w:val="24"/>
          <w:lang w:val="sl-SI"/>
        </w:rPr>
        <w:t>Uredba (EU) 2019/473 Evropskega parlamenta in Sveta z dne 19. marca 2019 o Evropski agenciji za nadzor ribištva (UL L 83, 25.3.2019, str. 18).</w:t>
      </w:r>
    </w:p>
  </w:footnote>
  <w:footnote w:id="13">
    <w:p w:rsidR="00304FF0" w:rsidRPr="001131C6" w:rsidRDefault="00304FF0" w:rsidP="001131C6">
      <w:pPr>
        <w:pStyle w:val="FootnoteText"/>
        <w:ind w:left="567" w:hanging="567"/>
        <w:rPr>
          <w:sz w:val="24"/>
          <w:lang w:val="sl-SI"/>
        </w:rPr>
      </w:pPr>
      <w:r w:rsidRPr="001131C6">
        <w:rPr>
          <w:rStyle w:val="FootnoteReference"/>
          <w:sz w:val="24"/>
          <w:lang w:val="sl-SI"/>
        </w:rPr>
        <w:footnoteRef/>
      </w:r>
      <w:r w:rsidR="001131C6" w:rsidRPr="001131C6">
        <w:rPr>
          <w:sz w:val="24"/>
          <w:lang w:val="sl-SI"/>
        </w:rPr>
        <w:t xml:space="preserve"> </w:t>
      </w:r>
      <w:r w:rsidR="001131C6" w:rsidRPr="001131C6">
        <w:rPr>
          <w:sz w:val="24"/>
          <w:lang w:val="sl-SI"/>
        </w:rPr>
        <w:tab/>
      </w:r>
      <w:r w:rsidRPr="001131C6">
        <w:rPr>
          <w:sz w:val="24"/>
          <w:lang w:val="sl-SI"/>
        </w:rPr>
        <w:t xml:space="preserve">Uredba (EU, </w:t>
      </w:r>
      <w:proofErr w:type="spellStart"/>
      <w:r w:rsidRPr="001131C6">
        <w:rPr>
          <w:sz w:val="24"/>
          <w:lang w:val="sl-SI"/>
        </w:rPr>
        <w:t>Euratom</w:t>
      </w:r>
      <w:proofErr w:type="spellEnd"/>
      <w:r w:rsidRPr="001131C6">
        <w:rPr>
          <w:sz w:val="24"/>
          <w:lang w:val="sl-SI"/>
        </w:rPr>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1131C6">
        <w:rPr>
          <w:sz w:val="24"/>
          <w:lang w:val="sl-SI"/>
        </w:rPr>
        <w:t>Euratom</w:t>
      </w:r>
      <w:proofErr w:type="spellEnd"/>
      <w:r w:rsidRPr="001131C6">
        <w:rPr>
          <w:sz w:val="24"/>
          <w:lang w:val="sl-SI"/>
        </w:rPr>
        <w:t>) št. 966/2012 (UL L 193, 30.7.2018, str. 1).</w:t>
      </w:r>
    </w:p>
  </w:footnote>
  <w:footnote w:id="14">
    <w:p w:rsidR="00304FF0" w:rsidRPr="001131C6" w:rsidRDefault="00304FF0" w:rsidP="001131C6">
      <w:pPr>
        <w:pStyle w:val="FootnoteText"/>
        <w:ind w:left="567" w:hanging="567"/>
        <w:rPr>
          <w:sz w:val="24"/>
          <w:lang w:val="sl-SI"/>
        </w:rPr>
      </w:pPr>
      <w:r w:rsidRPr="001131C6">
        <w:rPr>
          <w:rStyle w:val="FootnoteReference"/>
          <w:sz w:val="24"/>
          <w:lang w:val="sl-SI"/>
        </w:rPr>
        <w:footnoteRef/>
      </w:r>
      <w:r w:rsidR="001131C6" w:rsidRPr="001131C6">
        <w:rPr>
          <w:sz w:val="24"/>
          <w:lang w:val="sl-SI"/>
        </w:rPr>
        <w:t xml:space="preserve"> </w:t>
      </w:r>
      <w:r w:rsidR="001131C6" w:rsidRPr="001131C6">
        <w:rPr>
          <w:sz w:val="24"/>
          <w:lang w:val="sl-SI"/>
        </w:rPr>
        <w:tab/>
      </w:r>
      <w:r w:rsidRPr="001131C6">
        <w:rPr>
          <w:sz w:val="24"/>
          <w:lang w:val="sl-SI"/>
        </w:rPr>
        <w:t>Sprejeta besedila, P9_TA(2024)</w:t>
      </w:r>
      <w:r w:rsidR="00D17A4D">
        <w:rPr>
          <w:sz w:val="24"/>
          <w:lang w:val="sl-SI"/>
        </w:rPr>
        <w:t>0280</w:t>
      </w:r>
      <w:bookmarkStart w:id="10" w:name="_GoBack"/>
      <w:bookmarkEnd w:id="10"/>
      <w:r w:rsidRPr="001131C6">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FF0" w:rsidRPr="001131C6" w:rsidRDefault="00304F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FF0" w:rsidRPr="001131C6" w:rsidRDefault="00304F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FF0" w:rsidRPr="001131C6" w:rsidRDefault="00304FF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31C6"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31C6"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31C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0/2024"/>
    <w:docVar w:name="dvlangue" w:val="SL"/>
    <w:docVar w:name="dvnumam" w:val="0"/>
    <w:docVar w:name="dvpe" w:val="753.518"/>
    <w:docVar w:name="dvrapporteur" w:val="Poročevalec: "/>
    <w:docVar w:name="dvtitre" w:val="Sklep Evropskega parlamenta z dne … 2024 o razrešnici glede izvrševanja proračuna Evropske agencije za nadzor ribištva za proračunsko leto 2022(2023/2150(DEC))"/>
  </w:docVars>
  <w:rsids>
    <w:rsidRoot w:val="00A37736"/>
    <w:rsid w:val="00002272"/>
    <w:rsid w:val="00064002"/>
    <w:rsid w:val="000677B9"/>
    <w:rsid w:val="000831BA"/>
    <w:rsid w:val="000A42CC"/>
    <w:rsid w:val="000E7DD9"/>
    <w:rsid w:val="0010095E"/>
    <w:rsid w:val="001131C6"/>
    <w:rsid w:val="00125B37"/>
    <w:rsid w:val="00187494"/>
    <w:rsid w:val="001F32AE"/>
    <w:rsid w:val="00254562"/>
    <w:rsid w:val="002767FF"/>
    <w:rsid w:val="002B18FE"/>
    <w:rsid w:val="002B5493"/>
    <w:rsid w:val="00304FF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7736"/>
    <w:rsid w:val="00A43E52"/>
    <w:rsid w:val="00A4678D"/>
    <w:rsid w:val="00A778C7"/>
    <w:rsid w:val="00AB441E"/>
    <w:rsid w:val="00AB6293"/>
    <w:rsid w:val="00AE0928"/>
    <w:rsid w:val="00AF3B82"/>
    <w:rsid w:val="00B12E95"/>
    <w:rsid w:val="00B22876"/>
    <w:rsid w:val="00B325BB"/>
    <w:rsid w:val="00B558F0"/>
    <w:rsid w:val="00BD48FE"/>
    <w:rsid w:val="00BD7BD8"/>
    <w:rsid w:val="00BE6ADC"/>
    <w:rsid w:val="00C05BFE"/>
    <w:rsid w:val="00C23CD4"/>
    <w:rsid w:val="00C61C0C"/>
    <w:rsid w:val="00C66E52"/>
    <w:rsid w:val="00C941CB"/>
    <w:rsid w:val="00CC2357"/>
    <w:rsid w:val="00CF071A"/>
    <w:rsid w:val="00D058B8"/>
    <w:rsid w:val="00D17A4D"/>
    <w:rsid w:val="00D56C11"/>
    <w:rsid w:val="00D834A0"/>
    <w:rsid w:val="00D872DF"/>
    <w:rsid w:val="00D91E21"/>
    <w:rsid w:val="00DA7FCD"/>
    <w:rsid w:val="00E365E1"/>
    <w:rsid w:val="00E5268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8FF5CE"/>
  <w15:chartTrackingRefBased/>
  <w15:docId w15:val="{FC09FA08-3510-4B43-8B4E-4F9DF9905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04FF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04FF0"/>
    <w:pPr>
      <w:spacing w:before="480" w:after="240"/>
    </w:pPr>
  </w:style>
  <w:style w:type="paragraph" w:customStyle="1" w:styleId="PageHeading">
    <w:name w:val="PageHeading"/>
    <w:basedOn w:val="Normal"/>
    <w:rsid w:val="00304FF0"/>
    <w:pPr>
      <w:keepNext/>
      <w:spacing w:after="480"/>
      <w:jc w:val="center"/>
    </w:pPr>
    <w:rPr>
      <w:rFonts w:ascii="Arial" w:hAnsi="Arial" w:cs="Arial"/>
      <w:b/>
    </w:rPr>
  </w:style>
  <w:style w:type="paragraph" w:customStyle="1" w:styleId="NormalBold">
    <w:name w:val="NormalBold"/>
    <w:basedOn w:val="Normal"/>
    <w:rsid w:val="00304FF0"/>
    <w:rPr>
      <w:b/>
    </w:rPr>
  </w:style>
  <w:style w:type="paragraph" w:customStyle="1" w:styleId="NormalHanging12a">
    <w:name w:val="NormalHanging12a"/>
    <w:basedOn w:val="Normal"/>
    <w:link w:val="NormalHanging12aChar"/>
    <w:rsid w:val="00304FF0"/>
    <w:pPr>
      <w:spacing w:after="240"/>
      <w:ind w:left="567" w:hanging="567"/>
    </w:pPr>
  </w:style>
  <w:style w:type="paragraph" w:customStyle="1" w:styleId="NormalCenter12a">
    <w:name w:val="NormalCenter12a"/>
    <w:basedOn w:val="Normal"/>
    <w:rsid w:val="00304FF0"/>
    <w:pPr>
      <w:spacing w:after="240"/>
      <w:jc w:val="center"/>
    </w:pPr>
  </w:style>
  <w:style w:type="paragraph" w:styleId="Header">
    <w:name w:val="header"/>
    <w:basedOn w:val="Normal"/>
    <w:link w:val="HeaderChar"/>
    <w:rsid w:val="00304FF0"/>
    <w:pPr>
      <w:tabs>
        <w:tab w:val="center" w:pos="4513"/>
        <w:tab w:val="right" w:pos="9026"/>
      </w:tabs>
    </w:pPr>
  </w:style>
  <w:style w:type="character" w:customStyle="1" w:styleId="HeaderChar">
    <w:name w:val="Header Char"/>
    <w:basedOn w:val="DefaultParagraphFont"/>
    <w:link w:val="Header"/>
    <w:rsid w:val="00304FF0"/>
    <w:rPr>
      <w:sz w:val="24"/>
      <w:lang w:val="sl-SI"/>
    </w:rPr>
  </w:style>
  <w:style w:type="paragraph" w:customStyle="1" w:styleId="EPFooter">
    <w:name w:val="EPFooter"/>
    <w:basedOn w:val="Normal"/>
    <w:rsid w:val="00304FF0"/>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304FF0"/>
    <w:rPr>
      <w:sz w:val="24"/>
      <w:lang w:val="sl-SI"/>
    </w:rPr>
  </w:style>
  <w:style w:type="paragraph" w:styleId="BalloonText">
    <w:name w:val="Balloon Text"/>
    <w:basedOn w:val="Normal"/>
    <w:link w:val="BalloonTextChar"/>
    <w:rsid w:val="00C66E52"/>
    <w:rPr>
      <w:rFonts w:ascii="Segoe UI" w:hAnsi="Segoe UI" w:cs="Segoe UI"/>
      <w:sz w:val="18"/>
      <w:szCs w:val="18"/>
    </w:rPr>
  </w:style>
  <w:style w:type="character" w:customStyle="1" w:styleId="BalloonTextChar">
    <w:name w:val="Balloon Text Char"/>
    <w:basedOn w:val="DefaultParagraphFont"/>
    <w:link w:val="BalloonText"/>
    <w:rsid w:val="00C66E52"/>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B2A8D1-4B28-48D8-A374-4E0408D39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3574</Words>
  <Characters>20378</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2024-04-11T13:09:00Z</dcterms:created>
  <dcterms:modified xsi:type="dcterms:W3CDTF">2024-04-11T13:09:00Z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A9-0100/2024</vt:lpwstr>
  </property>
  <property fmtid="{D5CDD505-2E9C-101B-9397-08002B2CF9AE}" pid="4" name="&lt;Type&gt;">
    <vt:lpwstr>RR</vt:lpwstr>
  </property>
</Properties>
</file>