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7C15" w:rsidTr="0010095E">
        <w:trPr>
          <w:trHeight w:hRule="exact" w:val="1418"/>
        </w:trPr>
        <w:tc>
          <w:tcPr>
            <w:tcW w:w="6804" w:type="dxa"/>
            <w:shd w:val="clear" w:color="auto" w:fill="auto"/>
            <w:vAlign w:val="center"/>
          </w:tcPr>
          <w:p w:rsidR="00751A4A" w:rsidRPr="007B7C15" w:rsidRDefault="00720A21" w:rsidP="0010095E">
            <w:pPr>
              <w:pStyle w:val="EPName"/>
            </w:pPr>
            <w:r w:rsidRPr="007B7C15">
              <w:t>Europaparlamentet</w:t>
            </w:r>
          </w:p>
          <w:p w:rsidR="00751A4A" w:rsidRPr="007B7C15" w:rsidRDefault="00817416" w:rsidP="00756632">
            <w:pPr>
              <w:pStyle w:val="EPTerm"/>
              <w:rPr>
                <w:rStyle w:val="HideTWBExt"/>
                <w:noProof w:val="0"/>
                <w:vanish w:val="0"/>
                <w:color w:val="auto"/>
              </w:rPr>
            </w:pPr>
            <w:r w:rsidRPr="007B7C15">
              <w:t>2019-2024</w:t>
            </w:r>
          </w:p>
        </w:tc>
        <w:tc>
          <w:tcPr>
            <w:tcW w:w="2268" w:type="dxa"/>
            <w:shd w:val="clear" w:color="auto" w:fill="auto"/>
          </w:tcPr>
          <w:p w:rsidR="00751A4A" w:rsidRPr="007B7C15" w:rsidRDefault="00187494" w:rsidP="0010095E">
            <w:pPr>
              <w:pStyle w:val="EPLogo"/>
            </w:pPr>
            <w:r w:rsidRPr="007B7C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7C15" w:rsidRDefault="00D058B8" w:rsidP="004C5D52">
      <w:pPr>
        <w:pStyle w:val="LineTop"/>
      </w:pPr>
    </w:p>
    <w:p w:rsidR="00680577" w:rsidRPr="007B7C15" w:rsidRDefault="00720A21" w:rsidP="00680577">
      <w:pPr>
        <w:pStyle w:val="EPBodyTA1"/>
      </w:pPr>
      <w:r w:rsidRPr="007B7C15">
        <w:t>ANTAGNA TEXTER</w:t>
      </w:r>
    </w:p>
    <w:p w:rsidR="00D058B8" w:rsidRPr="007B7C15" w:rsidRDefault="00D058B8" w:rsidP="00D058B8">
      <w:pPr>
        <w:pStyle w:val="LineBottom"/>
      </w:pPr>
    </w:p>
    <w:p w:rsidR="00720A21" w:rsidRPr="007B7C15" w:rsidRDefault="00720A21" w:rsidP="00720A21">
      <w:pPr>
        <w:pStyle w:val="ATHeading1"/>
      </w:pPr>
      <w:bookmarkStart w:id="0" w:name="TANumber"/>
      <w:r w:rsidRPr="007B7C15">
        <w:t>P9_TA(2024)0</w:t>
      </w:r>
      <w:bookmarkEnd w:id="0"/>
      <w:r w:rsidR="007B7C15" w:rsidRPr="007B7C15">
        <w:t>257</w:t>
      </w:r>
    </w:p>
    <w:p w:rsidR="00720A21" w:rsidRPr="007B7C15" w:rsidRDefault="00720A21" w:rsidP="00720A21">
      <w:pPr>
        <w:pStyle w:val="ATHeading2"/>
      </w:pPr>
      <w:bookmarkStart w:id="1" w:name="title"/>
      <w:r w:rsidRPr="007B7C15">
        <w:t>Ansvarsfrihet 2022: Europeiska fiskerikontrollbyrån</w:t>
      </w:r>
      <w:bookmarkEnd w:id="1"/>
    </w:p>
    <w:p w:rsidR="00720A21" w:rsidRPr="007B7C15" w:rsidRDefault="00720A21" w:rsidP="00720A21">
      <w:pPr>
        <w:rPr>
          <w:i/>
          <w:vanish/>
        </w:rPr>
      </w:pPr>
      <w:r w:rsidRPr="007B7C15">
        <w:rPr>
          <w:i/>
        </w:rPr>
        <w:fldChar w:fldCharType="begin"/>
      </w:r>
      <w:r w:rsidRPr="007B7C15">
        <w:rPr>
          <w:i/>
        </w:rPr>
        <w:instrText xml:space="preserve"> TC"(</w:instrText>
      </w:r>
      <w:bookmarkStart w:id="2" w:name="DocNumber"/>
      <w:r w:rsidRPr="007B7C15">
        <w:rPr>
          <w:i/>
        </w:rPr>
        <w:instrText>A9-0100/2024</w:instrText>
      </w:r>
      <w:bookmarkEnd w:id="2"/>
      <w:r w:rsidRPr="007B7C15">
        <w:rPr>
          <w:i/>
        </w:rPr>
        <w:instrText xml:space="preserve"> - Föredragande: Petri Sarvamaa)"\l3 \n&gt; \* MERGEFORMAT </w:instrText>
      </w:r>
      <w:r w:rsidRPr="007B7C15">
        <w:rPr>
          <w:i/>
        </w:rPr>
        <w:fldChar w:fldCharType="end"/>
      </w:r>
    </w:p>
    <w:p w:rsidR="00720A21" w:rsidRPr="007B7C15" w:rsidRDefault="00720A21" w:rsidP="00720A21">
      <w:pPr>
        <w:rPr>
          <w:vanish/>
        </w:rPr>
      </w:pPr>
      <w:bookmarkStart w:id="3" w:name="Commission"/>
      <w:r w:rsidRPr="007B7C15">
        <w:rPr>
          <w:vanish/>
        </w:rPr>
        <w:t>Budgetkontrollutskottet</w:t>
      </w:r>
      <w:bookmarkEnd w:id="3"/>
    </w:p>
    <w:p w:rsidR="00720A21" w:rsidRPr="007B7C15" w:rsidRDefault="00720A21" w:rsidP="00720A21">
      <w:pPr>
        <w:rPr>
          <w:vanish/>
        </w:rPr>
      </w:pPr>
      <w:bookmarkStart w:id="4" w:name="PE"/>
      <w:r w:rsidRPr="007B7C15">
        <w:rPr>
          <w:vanish/>
        </w:rPr>
        <w:t>PE753.518</w:t>
      </w:r>
      <w:bookmarkEnd w:id="4"/>
    </w:p>
    <w:p w:rsidR="00720A21" w:rsidRPr="007B7C15" w:rsidRDefault="005C644E" w:rsidP="00720A21">
      <w:pPr>
        <w:pStyle w:val="ATHeading3"/>
      </w:pPr>
      <w:bookmarkStart w:id="5" w:name="Sujet"/>
      <w:r w:rsidRPr="007B7C15">
        <w:t xml:space="preserve">1. </w:t>
      </w:r>
      <w:r w:rsidR="00720A21" w:rsidRPr="007B7C15">
        <w:t xml:space="preserve">Europaparlamentets beslut av den </w:t>
      </w:r>
      <w:r w:rsidRPr="007B7C15">
        <w:t>11</w:t>
      </w:r>
      <w:r w:rsidR="00720A21" w:rsidRPr="007B7C15">
        <w:t xml:space="preserve"> </w:t>
      </w:r>
      <w:r w:rsidRPr="007B7C15">
        <w:t>april</w:t>
      </w:r>
      <w:r w:rsidR="00720A21" w:rsidRPr="007B7C15">
        <w:t xml:space="preserve"> 2024 om ansvarsfrihet för genomförandet av budgeten för Europeiska fiskerikontrollbyrån för budgetåret 2022</w:t>
      </w:r>
      <w:bookmarkEnd w:id="5"/>
      <w:r w:rsidR="00720A21" w:rsidRPr="007B7C15">
        <w:t xml:space="preserve"> </w:t>
      </w:r>
      <w:bookmarkStart w:id="6" w:name="References"/>
      <w:r w:rsidR="00720A21" w:rsidRPr="007B7C15">
        <w:t>(2023/2150(DEC))</w:t>
      </w:r>
      <w:bookmarkEnd w:id="6"/>
    </w:p>
    <w:p w:rsidR="00793227" w:rsidRPr="007B7C15" w:rsidRDefault="00793227" w:rsidP="00793227">
      <w:pPr>
        <w:pStyle w:val="EPComma"/>
      </w:pPr>
      <w:bookmarkStart w:id="7" w:name="TextBodyBegin"/>
      <w:bookmarkEnd w:id="7"/>
      <w:r w:rsidRPr="007B7C15">
        <w:rPr>
          <w:i/>
        </w:rPr>
        <w:t>Europaparlamentet fattar detta beslut</w:t>
      </w:r>
    </w:p>
    <w:p w:rsidR="00793227" w:rsidRPr="007B7C15" w:rsidRDefault="00793227" w:rsidP="00793227">
      <w:pPr>
        <w:pStyle w:val="NormalHanging12a"/>
      </w:pPr>
      <w:r w:rsidRPr="007B7C15">
        <w:t>–</w:t>
      </w:r>
      <w:r w:rsidRPr="007B7C15">
        <w:tab/>
        <w:t>med beaktande av den slutliga årsredovisningen för Europeiska fiskerikontrollbyrån för budgetåret 2022,</w:t>
      </w:r>
    </w:p>
    <w:p w:rsidR="00793227" w:rsidRPr="007B7C15" w:rsidRDefault="00793227" w:rsidP="00793227">
      <w:pPr>
        <w:pStyle w:val="NormalHanging12a"/>
      </w:pPr>
      <w:r w:rsidRPr="007B7C15">
        <w:t>–</w:t>
      </w:r>
      <w:r w:rsidRPr="007B7C15">
        <w:tab/>
        <w:t>med beaktande av revisionsrättens årsrapport om EU:s byråer för budgetåret 2022, med byråernas svar</w:t>
      </w:r>
      <w:r w:rsidRPr="007B7C15">
        <w:rPr>
          <w:rStyle w:val="FootnoteReference"/>
        </w:rPr>
        <w:footnoteReference w:id="1"/>
      </w:r>
      <w:r w:rsidRPr="007B7C15">
        <w:t>,</w:t>
      </w:r>
    </w:p>
    <w:p w:rsidR="00793227" w:rsidRPr="007B7C15" w:rsidRDefault="00793227" w:rsidP="00793227">
      <w:pPr>
        <w:pStyle w:val="NormalHanging12a"/>
      </w:pPr>
      <w:r w:rsidRPr="007B7C15">
        <w:t>–</w:t>
      </w:r>
      <w:r w:rsidRPr="007B7C15">
        <w:tab/>
        <w:t>med beaktande av förklaringen om räkenskapernas tillförlitlighet och de underliggande transaktionernas laglighet och korrekthet</w:t>
      </w:r>
      <w:r w:rsidRPr="007B7C15">
        <w:rPr>
          <w:rStyle w:val="FootnoteReference"/>
        </w:rPr>
        <w:footnoteReference w:id="2"/>
      </w:r>
      <w:r w:rsidRPr="007B7C15">
        <w:t>, som avgetts av revisionsrätten för budgetåret 2022 i enlighet med artikel 287 i fördra</w:t>
      </w:r>
      <w:bookmarkStart w:id="8" w:name="_GoBack"/>
      <w:bookmarkEnd w:id="8"/>
      <w:r w:rsidRPr="007B7C15">
        <w:t>get om Europeiska unionens funktionssätt,</w:t>
      </w:r>
    </w:p>
    <w:p w:rsidR="00793227" w:rsidRPr="007B7C15" w:rsidRDefault="00793227" w:rsidP="00793227">
      <w:pPr>
        <w:pStyle w:val="NormalHanging12a"/>
      </w:pPr>
      <w:r w:rsidRPr="007B7C15">
        <w:t>–</w:t>
      </w:r>
      <w:r w:rsidRPr="007B7C15">
        <w:tab/>
        <w:t>med beaktande av rådets rekommendation av den 22 februari 2024 om att bevilja byrån ansvarsfrihet för genomförandet av budgeten för budgetåret 2022 (</w:t>
      </w:r>
      <w:r w:rsidR="005C644E" w:rsidRPr="007B7C15">
        <w:t>06180</w:t>
      </w:r>
      <w:r w:rsidRPr="007B7C15">
        <w:t>/2024 – C9</w:t>
      </w:r>
      <w:r w:rsidRPr="007B7C15">
        <w:noBreakHyphen/>
      </w:r>
      <w:r w:rsidR="005C644E" w:rsidRPr="007B7C15">
        <w:t>0088</w:t>
      </w:r>
      <w:r w:rsidRPr="007B7C15">
        <w:t>/2024),</w:t>
      </w:r>
    </w:p>
    <w:p w:rsidR="00793227" w:rsidRPr="007B7C15" w:rsidRDefault="00793227" w:rsidP="00793227">
      <w:pPr>
        <w:pStyle w:val="NormalHanging12a"/>
      </w:pPr>
      <w:r w:rsidRPr="007B7C15">
        <w:t>–</w:t>
      </w:r>
      <w:r w:rsidRPr="007B7C15">
        <w:tab/>
        <w:t>med beaktande av artikel 319 i fördraget om Europeiska unionens funktionssätt,</w:t>
      </w:r>
    </w:p>
    <w:p w:rsidR="00793227" w:rsidRPr="007B7C15" w:rsidRDefault="00793227" w:rsidP="00793227">
      <w:pPr>
        <w:pStyle w:val="NormalHanging12a"/>
      </w:pPr>
      <w:r w:rsidRPr="007B7C15">
        <w:t>–</w:t>
      </w:r>
      <w:r w:rsidRPr="007B7C15">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7B7C15">
        <w:rPr>
          <w:rStyle w:val="FootnoteReference"/>
        </w:rPr>
        <w:footnoteReference w:id="3"/>
      </w:r>
      <w:r w:rsidRPr="007B7C15">
        <w:t>, särskilt artikel 70,</w:t>
      </w:r>
    </w:p>
    <w:p w:rsidR="00793227" w:rsidRPr="007B7C15" w:rsidRDefault="00793227" w:rsidP="00793227">
      <w:pPr>
        <w:pStyle w:val="NormalHanging12a"/>
      </w:pPr>
      <w:r w:rsidRPr="007B7C15">
        <w:t>–</w:t>
      </w:r>
      <w:r w:rsidRPr="007B7C15">
        <w:tab/>
        <w:t>med beaktande av Europaparlamentets och rådets förordning (EU) 2019/473 av den 19 mars 2019 om Europeiska fiskerikontrollbyrån</w:t>
      </w:r>
      <w:r w:rsidRPr="007B7C15">
        <w:rPr>
          <w:rStyle w:val="FootnoteReference"/>
        </w:rPr>
        <w:footnoteReference w:id="4"/>
      </w:r>
      <w:r w:rsidRPr="007B7C15">
        <w:t>, särskilt artikel 45,</w:t>
      </w:r>
    </w:p>
    <w:p w:rsidR="00793227" w:rsidRPr="007B7C15" w:rsidRDefault="00793227" w:rsidP="00793227">
      <w:pPr>
        <w:pStyle w:val="NormalHanging12a"/>
      </w:pPr>
      <w:r w:rsidRPr="007B7C15">
        <w:lastRenderedPageBreak/>
        <w:t>–</w:t>
      </w:r>
      <w:r w:rsidRPr="007B7C15">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7B7C15">
        <w:rPr>
          <w:rStyle w:val="FootnoteReference"/>
        </w:rPr>
        <w:footnoteReference w:id="5"/>
      </w:r>
      <w:r w:rsidRPr="007B7C15">
        <w:t>, särskilt artikel 105,</w:t>
      </w:r>
    </w:p>
    <w:p w:rsidR="00793227" w:rsidRPr="007B7C15" w:rsidRDefault="00793227" w:rsidP="00793227">
      <w:pPr>
        <w:pStyle w:val="NormalHanging12a"/>
      </w:pPr>
      <w:r w:rsidRPr="007B7C15">
        <w:t>–</w:t>
      </w:r>
      <w:r w:rsidRPr="007B7C15">
        <w:tab/>
        <w:t>med beaktande av artikel 100 och bilaga V i arbetsordningen,</w:t>
      </w:r>
    </w:p>
    <w:p w:rsidR="00793227" w:rsidRPr="007B7C15" w:rsidRDefault="00793227" w:rsidP="00793227">
      <w:pPr>
        <w:pStyle w:val="NormalHanging12a"/>
      </w:pPr>
      <w:r w:rsidRPr="007B7C15">
        <w:t>–</w:t>
      </w:r>
      <w:r w:rsidRPr="007B7C15">
        <w:tab/>
        <w:t>med beaktande av yttrandet från fiskeriutskottet,</w:t>
      </w:r>
    </w:p>
    <w:p w:rsidR="00793227" w:rsidRPr="007B7C15" w:rsidRDefault="00793227" w:rsidP="00793227">
      <w:pPr>
        <w:pStyle w:val="NormalHanging12a"/>
      </w:pPr>
      <w:r w:rsidRPr="007B7C15">
        <w:t>–</w:t>
      </w:r>
      <w:r w:rsidRPr="007B7C15">
        <w:tab/>
        <w:t>med beaktande av betänkandet från budgetkontrollutskottet (A9-0100/2024).</w:t>
      </w:r>
    </w:p>
    <w:p w:rsidR="00793227" w:rsidRPr="007B7C15" w:rsidRDefault="00793227" w:rsidP="00793227">
      <w:pPr>
        <w:pStyle w:val="NormalHanging12a"/>
      </w:pPr>
      <w:r w:rsidRPr="007B7C15">
        <w:t>1.</w:t>
      </w:r>
      <w:r w:rsidRPr="007B7C15">
        <w:tab/>
        <w:t>Europaparlamentet beviljar verkställande direktören för Europeiska fiskerikontrollbyrån ansvarsfrihet för genomförandet av byråns budget för budgetåret 2022.</w:t>
      </w:r>
    </w:p>
    <w:p w:rsidR="00793227" w:rsidRPr="007B7C15" w:rsidRDefault="00793227" w:rsidP="00793227">
      <w:pPr>
        <w:pStyle w:val="NormalHanging12a"/>
      </w:pPr>
      <w:r w:rsidRPr="007B7C15">
        <w:t>2.</w:t>
      </w:r>
      <w:r w:rsidRPr="007B7C15">
        <w:tab/>
        <w:t>Europaparlamentet redovisar sina iakttagelser i resolutionen nedan.</w:t>
      </w:r>
    </w:p>
    <w:p w:rsidR="00793227" w:rsidRPr="007B7C15" w:rsidRDefault="00793227" w:rsidP="00793227">
      <w:pPr>
        <w:pStyle w:val="NormalHanging12a"/>
      </w:pPr>
      <w:r w:rsidRPr="007B7C15">
        <w:t>3.</w:t>
      </w:r>
      <w:r w:rsidRPr="007B7C15">
        <w:tab/>
        <w:t xml:space="preserve">Europaparlamentet uppdrar åt talmannen att översända detta beslut och den resolution som utgör en del av beslutet till verkställande direktören för Europeiska fiskerikontrollbyrån, rådet, kommissionen och revisionsrätten, och att se till att de offentliggörs i </w:t>
      </w:r>
      <w:r w:rsidRPr="007B7C15">
        <w:rPr>
          <w:i/>
          <w:iCs/>
        </w:rPr>
        <w:t>Europeiska unionens officiella tidning</w:t>
      </w:r>
      <w:r w:rsidRPr="007B7C15">
        <w:t xml:space="preserve"> (L-serien).</w:t>
      </w:r>
    </w:p>
    <w:p w:rsidR="00793227" w:rsidRPr="007B7C15" w:rsidRDefault="00793227" w:rsidP="00793227">
      <w:pPr>
        <w:widowControl/>
        <w:rPr>
          <w:rFonts w:ascii="Arial" w:hAnsi="Arial" w:cs="Arial"/>
          <w:b/>
        </w:rPr>
        <w:sectPr w:rsidR="00793227" w:rsidRPr="007B7C15" w:rsidSect="000C4DFC">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793227" w:rsidRPr="007B7C15" w:rsidRDefault="005C644E" w:rsidP="005C644E">
      <w:pPr>
        <w:pStyle w:val="ATHeading3"/>
      </w:pPr>
      <w:r w:rsidRPr="007B7C15">
        <w:lastRenderedPageBreak/>
        <w:t xml:space="preserve">2. Europaparlamentets beslut av den 11 april 2024 </w:t>
      </w:r>
      <w:r w:rsidR="00793227" w:rsidRPr="007B7C15">
        <w:t>om avslutande av räkenskaperna för Europeiska fiskerikontrollbyrån för budgetåret 2022</w:t>
      </w:r>
      <w:r w:rsidRPr="007B7C15">
        <w:t xml:space="preserve"> </w:t>
      </w:r>
      <w:r w:rsidR="00793227" w:rsidRPr="007B7C15">
        <w:t>(2023/2150(DEC))</w:t>
      </w:r>
    </w:p>
    <w:p w:rsidR="00793227" w:rsidRPr="007B7C15" w:rsidRDefault="00793227" w:rsidP="00793227">
      <w:pPr>
        <w:pStyle w:val="EPComma"/>
      </w:pPr>
      <w:r w:rsidRPr="007B7C15">
        <w:rPr>
          <w:i/>
        </w:rPr>
        <w:t>Europaparlamentet fattar detta beslut</w:t>
      </w:r>
    </w:p>
    <w:p w:rsidR="00793227" w:rsidRPr="007B7C15" w:rsidRDefault="00793227" w:rsidP="00793227">
      <w:pPr>
        <w:pStyle w:val="NormalHanging12a"/>
      </w:pPr>
      <w:r w:rsidRPr="007B7C15">
        <w:t>–</w:t>
      </w:r>
      <w:r w:rsidRPr="007B7C15">
        <w:tab/>
        <w:t>med beaktande av den slutliga årsredovisningen för Europeiska fiskerikontrollbyrån för budgetåret 2022,</w:t>
      </w:r>
    </w:p>
    <w:p w:rsidR="00793227" w:rsidRPr="007B7C15" w:rsidRDefault="00793227" w:rsidP="00793227">
      <w:pPr>
        <w:pStyle w:val="NormalHanging12a"/>
      </w:pPr>
      <w:r w:rsidRPr="007B7C15">
        <w:t>–</w:t>
      </w:r>
      <w:r w:rsidRPr="007B7C15">
        <w:tab/>
        <w:t>med beaktande av revisionsrättens årsrapport om EU:s byråer för budgetåret 2022, med byråernas svar</w:t>
      </w:r>
      <w:r w:rsidRPr="007B7C15">
        <w:rPr>
          <w:rStyle w:val="FootnoteReference"/>
        </w:rPr>
        <w:footnoteReference w:id="6"/>
      </w:r>
      <w:r w:rsidRPr="007B7C15">
        <w:t>,</w:t>
      </w:r>
    </w:p>
    <w:p w:rsidR="00793227" w:rsidRPr="007B7C15" w:rsidRDefault="00793227" w:rsidP="00793227">
      <w:pPr>
        <w:pStyle w:val="NormalHanging12a"/>
      </w:pPr>
      <w:r w:rsidRPr="007B7C15">
        <w:t>–</w:t>
      </w:r>
      <w:r w:rsidRPr="007B7C15">
        <w:tab/>
        <w:t>med beaktande av förklaringen om räkenskapernas tillförlitlighet och de underliggande transaktionernas laglighet och korrekthet</w:t>
      </w:r>
      <w:r w:rsidRPr="007B7C15">
        <w:rPr>
          <w:rStyle w:val="FootnoteReference"/>
        </w:rPr>
        <w:footnoteReference w:id="7"/>
      </w:r>
      <w:r w:rsidRPr="007B7C15">
        <w:t>, som avgetts av revisionsrätten för budgetåret 2022 i enlighet med artikel 287 i fördraget om Europeiska unionens funktionssätt,</w:t>
      </w:r>
    </w:p>
    <w:p w:rsidR="00793227" w:rsidRPr="007B7C15" w:rsidRDefault="00793227" w:rsidP="00793227">
      <w:pPr>
        <w:pStyle w:val="NormalHanging12a"/>
      </w:pPr>
      <w:r w:rsidRPr="007B7C15">
        <w:t>–</w:t>
      </w:r>
      <w:r w:rsidRPr="007B7C15">
        <w:tab/>
        <w:t>med beaktande av rådets rekommendation av den 22 februari 2024 om att bevilja byrån ansvarsfrihet för genomförandet av budgeten för budgetåret 2022 (</w:t>
      </w:r>
      <w:r w:rsidR="005C644E" w:rsidRPr="007B7C15">
        <w:t>06180</w:t>
      </w:r>
      <w:r w:rsidRPr="007B7C15">
        <w:t>/2024 – C9</w:t>
      </w:r>
      <w:r w:rsidRPr="007B7C15">
        <w:noBreakHyphen/>
      </w:r>
      <w:r w:rsidR="005C644E" w:rsidRPr="007B7C15">
        <w:t>0088</w:t>
      </w:r>
      <w:r w:rsidRPr="007B7C15">
        <w:t>/2024),</w:t>
      </w:r>
    </w:p>
    <w:p w:rsidR="00793227" w:rsidRPr="007B7C15" w:rsidRDefault="00793227" w:rsidP="00793227">
      <w:pPr>
        <w:pStyle w:val="NormalHanging12a"/>
      </w:pPr>
      <w:r w:rsidRPr="007B7C15">
        <w:t>–</w:t>
      </w:r>
      <w:r w:rsidRPr="007B7C15">
        <w:tab/>
        <w:t>med beaktande av artikel 319 i fördraget om Europeiska unionens funktionssätt,</w:t>
      </w:r>
    </w:p>
    <w:p w:rsidR="00793227" w:rsidRPr="007B7C15" w:rsidRDefault="00793227" w:rsidP="00793227">
      <w:pPr>
        <w:pStyle w:val="NormalHanging12a"/>
      </w:pPr>
      <w:r w:rsidRPr="007B7C15">
        <w:t>–</w:t>
      </w:r>
      <w:r w:rsidRPr="007B7C15">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7B7C15">
        <w:rPr>
          <w:rStyle w:val="FootnoteReference"/>
        </w:rPr>
        <w:footnoteReference w:id="8"/>
      </w:r>
      <w:r w:rsidRPr="007B7C15">
        <w:t>, särskilt artikel 70,</w:t>
      </w:r>
    </w:p>
    <w:p w:rsidR="00793227" w:rsidRPr="007B7C15" w:rsidRDefault="00793227" w:rsidP="00793227">
      <w:pPr>
        <w:pStyle w:val="NormalHanging12a"/>
      </w:pPr>
      <w:r w:rsidRPr="007B7C15">
        <w:t>–</w:t>
      </w:r>
      <w:r w:rsidRPr="007B7C15">
        <w:tab/>
        <w:t>med beaktande av Europaparlamentets och rådets förordning (EU) 2019/473 av den 19 mars 2019 om Europeiska fiskerikontrollbyrån</w:t>
      </w:r>
      <w:r w:rsidRPr="007B7C15">
        <w:rPr>
          <w:rStyle w:val="FootnoteReference"/>
        </w:rPr>
        <w:footnoteReference w:id="9"/>
      </w:r>
      <w:r w:rsidRPr="007B7C15">
        <w:t>, särskilt artikel 45,</w:t>
      </w:r>
    </w:p>
    <w:p w:rsidR="00793227" w:rsidRPr="007B7C15" w:rsidRDefault="00793227" w:rsidP="00793227">
      <w:pPr>
        <w:pStyle w:val="NormalHanging12a"/>
      </w:pPr>
      <w:r w:rsidRPr="007B7C15">
        <w:t>–</w:t>
      </w:r>
      <w:r w:rsidRPr="007B7C15">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7B7C15">
        <w:rPr>
          <w:rStyle w:val="FootnoteReference"/>
        </w:rPr>
        <w:footnoteReference w:id="10"/>
      </w:r>
      <w:r w:rsidRPr="007B7C15">
        <w:t>, särskilt artikel 105,</w:t>
      </w:r>
    </w:p>
    <w:p w:rsidR="00793227" w:rsidRPr="007B7C15" w:rsidRDefault="00793227" w:rsidP="00793227">
      <w:pPr>
        <w:pStyle w:val="NormalHanging12a"/>
      </w:pPr>
      <w:r w:rsidRPr="007B7C15">
        <w:t>–</w:t>
      </w:r>
      <w:r w:rsidRPr="007B7C15">
        <w:tab/>
        <w:t>med beaktande av artikel 100 och bilaga V i arbetsordningen,</w:t>
      </w:r>
    </w:p>
    <w:p w:rsidR="00793227" w:rsidRPr="007B7C15" w:rsidRDefault="00793227" w:rsidP="00793227">
      <w:pPr>
        <w:pStyle w:val="NormalHanging12a"/>
      </w:pPr>
      <w:r w:rsidRPr="007B7C15">
        <w:t>–</w:t>
      </w:r>
      <w:r w:rsidRPr="007B7C15">
        <w:tab/>
        <w:t>med beaktande av yttrandet från fiskeriutskottet,</w:t>
      </w:r>
    </w:p>
    <w:p w:rsidR="00793227" w:rsidRPr="007B7C15" w:rsidRDefault="00793227" w:rsidP="00793227">
      <w:pPr>
        <w:pStyle w:val="NormalHanging12a"/>
      </w:pPr>
      <w:r w:rsidRPr="007B7C15">
        <w:t>–</w:t>
      </w:r>
      <w:r w:rsidRPr="007B7C15">
        <w:tab/>
        <w:t>med beaktande av betänkandet från budgetkontrollutskottet (A9-0100/2024).</w:t>
      </w:r>
    </w:p>
    <w:p w:rsidR="00793227" w:rsidRPr="007B7C15" w:rsidRDefault="00793227" w:rsidP="00793227">
      <w:pPr>
        <w:pStyle w:val="NormalHanging12a"/>
      </w:pPr>
      <w:r w:rsidRPr="007B7C15">
        <w:t>1.</w:t>
      </w:r>
      <w:r w:rsidRPr="007B7C15">
        <w:tab/>
        <w:t>Europaparlamentet godkänner avslutandet av räkenskaperna för Europeiska fiskerikontrollbyrån för budgetåret 2022.</w:t>
      </w:r>
    </w:p>
    <w:p w:rsidR="00793227" w:rsidRPr="007B7C15" w:rsidRDefault="00793227" w:rsidP="00793227">
      <w:pPr>
        <w:ind w:left="567" w:hanging="567"/>
      </w:pPr>
      <w:r w:rsidRPr="007B7C15">
        <w:t>2.</w:t>
      </w:r>
      <w:r w:rsidRPr="007B7C15">
        <w:tab/>
        <w:t xml:space="preserve">Europaparlamentet uppdrar åt talmannen att översända detta beslut till verkställande </w:t>
      </w:r>
      <w:r w:rsidRPr="007B7C15">
        <w:lastRenderedPageBreak/>
        <w:t xml:space="preserve">direktören för Europeiska fiskerikontrollbyrån, rådet, kommissionen och revisionsrätten, och att se till att det offentliggörs i </w:t>
      </w:r>
      <w:r w:rsidRPr="007B7C15">
        <w:rPr>
          <w:i/>
          <w:iCs/>
        </w:rPr>
        <w:t>Europeiska unionens officiella tidning</w:t>
      </w:r>
      <w:r w:rsidRPr="007B7C15">
        <w:t xml:space="preserve"> (L-serien).</w:t>
      </w:r>
    </w:p>
    <w:p w:rsidR="00793227" w:rsidRPr="007B7C15" w:rsidRDefault="00793227" w:rsidP="00793227">
      <w:pPr>
        <w:widowControl/>
        <w:rPr>
          <w:rFonts w:ascii="Arial" w:hAnsi="Arial" w:cs="Arial"/>
          <w:b/>
        </w:rPr>
        <w:sectPr w:rsidR="00793227" w:rsidRPr="007B7C15" w:rsidSect="000C4DFC">
          <w:footnotePr>
            <w:numRestart w:val="eachPage"/>
          </w:footnotePr>
          <w:endnotePr>
            <w:numFmt w:val="decimal"/>
          </w:endnotePr>
          <w:pgSz w:w="11906" w:h="16838"/>
          <w:pgMar w:top="1134" w:right="1418" w:bottom="1418" w:left="1418" w:header="567" w:footer="567" w:gutter="0"/>
          <w:cols w:space="720"/>
          <w:docGrid w:linePitch="326"/>
        </w:sectPr>
      </w:pPr>
    </w:p>
    <w:p w:rsidR="00793227" w:rsidRPr="007B7C15" w:rsidRDefault="005C644E" w:rsidP="005C644E">
      <w:pPr>
        <w:pStyle w:val="ATHeading3"/>
      </w:pPr>
      <w:r w:rsidRPr="007B7C15">
        <w:lastRenderedPageBreak/>
        <w:t xml:space="preserve">3. Europaparlamentets resolution av den 11 april 2024 </w:t>
      </w:r>
      <w:r w:rsidR="00793227" w:rsidRPr="007B7C15">
        <w:t>med de iakttagelser som utgör en del av beslutet om ansvarsfrihet för genomförandet av budgeten för Europeiska fiskerikontrollbyrån för budgetåret 2022</w:t>
      </w:r>
      <w:r w:rsidRPr="007B7C15">
        <w:t xml:space="preserve"> </w:t>
      </w:r>
      <w:r w:rsidR="00793227" w:rsidRPr="007B7C15">
        <w:t>(2023/2150(DEC))</w:t>
      </w:r>
    </w:p>
    <w:p w:rsidR="00793227" w:rsidRPr="007B7C15" w:rsidRDefault="00793227" w:rsidP="00793227">
      <w:pPr>
        <w:pStyle w:val="EPComma"/>
      </w:pPr>
      <w:r w:rsidRPr="007B7C15">
        <w:rPr>
          <w:i/>
        </w:rPr>
        <w:t>Europaparlamentet utfärdar denna resolution</w:t>
      </w:r>
    </w:p>
    <w:p w:rsidR="00793227" w:rsidRPr="007B7C15" w:rsidRDefault="00793227" w:rsidP="00793227">
      <w:pPr>
        <w:pStyle w:val="NormalHanging12a"/>
      </w:pPr>
      <w:r w:rsidRPr="007B7C15">
        <w:t>–</w:t>
      </w:r>
      <w:r w:rsidRPr="007B7C15">
        <w:tab/>
        <w:t>med beaktande av sitt beslut om ansvarsfrihet för genomförandet av budgeten för Europeiska fiskerikontrollbyrån för budgetåret 2022,</w:t>
      </w:r>
    </w:p>
    <w:p w:rsidR="00793227" w:rsidRPr="007B7C15" w:rsidRDefault="00793227" w:rsidP="00793227">
      <w:pPr>
        <w:pStyle w:val="NormalHanging12a"/>
      </w:pPr>
      <w:r w:rsidRPr="007B7C15">
        <w:t>–</w:t>
      </w:r>
      <w:r w:rsidRPr="007B7C15">
        <w:tab/>
        <w:t>med beaktande av artikel 100 och bilaga V i arbetsordningen,</w:t>
      </w:r>
    </w:p>
    <w:p w:rsidR="00793227" w:rsidRPr="007B7C15" w:rsidRDefault="00793227" w:rsidP="00793227">
      <w:pPr>
        <w:pStyle w:val="NormalHanging12a"/>
      </w:pPr>
      <w:r w:rsidRPr="007B7C15">
        <w:t>–</w:t>
      </w:r>
      <w:r w:rsidRPr="007B7C15">
        <w:tab/>
        <w:t>med beaktande av yttrandet från fiskeriutskottet,</w:t>
      </w:r>
    </w:p>
    <w:p w:rsidR="00793227" w:rsidRPr="007B7C15" w:rsidRDefault="00793227" w:rsidP="00793227">
      <w:pPr>
        <w:pStyle w:val="NormalHanging12a"/>
      </w:pPr>
      <w:r w:rsidRPr="007B7C15">
        <w:t>–</w:t>
      </w:r>
      <w:r w:rsidRPr="007B7C15">
        <w:tab/>
        <w:t>med beaktande av betänkandet från budgetkontrollutskottet (A9-0100/2024), och av följande skäl:</w:t>
      </w:r>
    </w:p>
    <w:p w:rsidR="00793227" w:rsidRPr="007B7C15" w:rsidRDefault="00793227" w:rsidP="00793227">
      <w:pPr>
        <w:widowControl/>
        <w:spacing w:after="240"/>
        <w:ind w:left="567" w:hanging="567"/>
        <w:rPr>
          <w:szCs w:val="24"/>
        </w:rPr>
      </w:pPr>
      <w:r w:rsidRPr="007B7C15">
        <w:t>A.</w:t>
      </w:r>
      <w:r w:rsidRPr="007B7C15">
        <w:tab/>
        <w:t>Enligt inkomst- och utgiftsberäkningen för Europeiska fiskerikontrollbyrån (byrån)</w:t>
      </w:r>
      <w:r w:rsidRPr="007B7C15">
        <w:rPr>
          <w:szCs w:val="24"/>
          <w:vertAlign w:val="superscript"/>
        </w:rPr>
        <w:footnoteReference w:id="11"/>
      </w:r>
      <w:r w:rsidRPr="007B7C15">
        <w:t xml:space="preserve"> uppgick byråns slutliga budget för budgetåret 2022 till 34 967 797 EUR, vilket innebär en ökning med 61,73 % jämfört med 2021, med en ökning på cirka 41 % av bidraget från den allmänna EU-budgeten och en betydande ökning av inkomster avsatta för särskilda ändamål från fleråriga överenskommelser om medverkan och bidrag. Det ytterligare EU-bidrag som beviljades byrån med start 2021 var kopplat till finansieringsöversikten för rättsakten om de ökade övervakningskraven i de EU-vatten som gränsar till Förenade kungariket. Ungefär 84 % av byråns budget kommer från unionens budget och cirka 16 % från inkomster avsatta för särskilda ändamål.</w:t>
      </w:r>
    </w:p>
    <w:p w:rsidR="00793227" w:rsidRPr="007B7C15" w:rsidRDefault="00793227" w:rsidP="00793227">
      <w:pPr>
        <w:widowControl/>
        <w:spacing w:after="240"/>
        <w:ind w:left="567" w:hanging="567"/>
        <w:rPr>
          <w:szCs w:val="24"/>
        </w:rPr>
      </w:pPr>
      <w:r w:rsidRPr="007B7C15">
        <w:t>B.</w:t>
      </w:r>
      <w:r w:rsidRPr="007B7C15">
        <w:tab/>
        <w:t>Revisionsrätten förklarade i sin rapport om byråns årsredovisning för budgetåret 2022 att man har uppnått rimlig säkerhet om att byråns räkenskaper är tillförlitliga och att de underliggande transaktionerna är lagliga och korrekta.</w:t>
      </w:r>
    </w:p>
    <w:p w:rsidR="00793227" w:rsidRPr="007B7C15" w:rsidRDefault="00793227" w:rsidP="00793227">
      <w:pPr>
        <w:widowControl/>
        <w:spacing w:after="240"/>
        <w:ind w:left="567" w:hanging="567"/>
        <w:rPr>
          <w:b/>
          <w:i/>
          <w:szCs w:val="24"/>
        </w:rPr>
      </w:pPr>
      <w:r w:rsidRPr="007B7C15">
        <w:rPr>
          <w:b/>
          <w:i/>
        </w:rPr>
        <w:t>Budgetförvaltning och ekonomisk förvaltning</w:t>
      </w:r>
    </w:p>
    <w:p w:rsidR="00793227" w:rsidRPr="007B7C15" w:rsidRDefault="00793227" w:rsidP="00793227">
      <w:pPr>
        <w:widowControl/>
        <w:spacing w:after="240"/>
        <w:ind w:left="567" w:hanging="567"/>
        <w:rPr>
          <w:szCs w:val="24"/>
        </w:rPr>
      </w:pPr>
      <w:r w:rsidRPr="007B7C15">
        <w:t>1.</w:t>
      </w:r>
      <w:r w:rsidRPr="007B7C15">
        <w:tab/>
        <w:t>Europaparlamentet noterar med uppskattning att insatserna för budgetövervakning under budgetåret 2022 resulterade i ett budgetgenomförande av åtagandebemyndigandena för året på 99,41 %, vilket innebär en liten ökning med 0,34 % jämfört med 2021. Parlamentet noterar att genomförandegraden för betalningsbemyndigandena för 2022 var 57,78 %, vilket innebär en minskning med 16,70 % jämfört med 2021.</w:t>
      </w:r>
    </w:p>
    <w:p w:rsidR="00793227" w:rsidRPr="007B7C15" w:rsidRDefault="00793227" w:rsidP="00793227">
      <w:pPr>
        <w:widowControl/>
        <w:spacing w:after="240"/>
        <w:ind w:left="567" w:hanging="567"/>
        <w:rPr>
          <w:szCs w:val="24"/>
        </w:rPr>
      </w:pPr>
      <w:r w:rsidRPr="007B7C15">
        <w:t>2.</w:t>
      </w:r>
      <w:r w:rsidRPr="007B7C15">
        <w:tab/>
        <w:t xml:space="preserve">Europaparlamentet noterar med oro att byrån enligt revisionsrätten förde över 11,9 miljoner EUR (41 %) av de tillgängliga åtagandebemyndigandena för 2022 till 2023. Parlamentet konstaterar att det i detta belopp ingick 1,6 miljoner EUR (eller 53 %) av bemyndiganden inom avdelning II, administrativ verksamhet, (34 % 2021) och 10,1 miljoner EUR (eller 63 %) av bemyndiganden inom avdelning III, operativ verksamhet, (42 % 2021). Parlamentet betonar att en återkommande stor andel överföringar strider mot principen om budgetens ettårighet och tyder på strukturella problem i budgetprocessen och budgetens genomförandecykel. Parlamentet beaktar </w:t>
      </w:r>
      <w:r w:rsidRPr="007B7C15">
        <w:lastRenderedPageBreak/>
        <w:t>byråns svar i denna fråga och betonar att de höga överföringarna under 2022 beror på mycket speciella omständigheter som inte förväntas uppstå igen.</w:t>
      </w:r>
    </w:p>
    <w:p w:rsidR="00793227" w:rsidRPr="007B7C15" w:rsidRDefault="00793227" w:rsidP="00793227">
      <w:pPr>
        <w:pStyle w:val="NormalHanging12a"/>
      </w:pPr>
      <w:r w:rsidRPr="007B7C15">
        <w:t>3.</w:t>
      </w:r>
      <w:r w:rsidRPr="007B7C15">
        <w:tab/>
        <w:t>Europaparlamentet noterar att budgetåret 2022 kännetecknades av en återhämtning från effekterna av covid-19-pandemin under de två föregående budgetåren, samtidigt som byråns budget och resurser fortsatte att växa för ytterligare uppgifter och projekt i enlighet med det samlade programdokumentet för 2022. Parlamentet påpekar att kriget i Ukraina skulle kunna påverka redovisningen och värderingen av vissa tillgångar och skulder i balansräkningen och även vissa intäkter och kostnader som redovisas i resultaträkningen för efterföljande rapporteringsperioder.</w:t>
      </w:r>
    </w:p>
    <w:p w:rsidR="00793227" w:rsidRPr="007B7C15" w:rsidRDefault="00793227" w:rsidP="00793227">
      <w:pPr>
        <w:pStyle w:val="NormalHanging12a"/>
      </w:pPr>
      <w:r w:rsidRPr="007B7C15">
        <w:t>4.</w:t>
      </w:r>
      <w:r w:rsidRPr="007B7C15">
        <w:tab/>
        <w:t>Europaparlamentet betonar att det i första hand är medlemsstaterna som ansvarar för kontrollen av fiskeriverksamhet, medan byråns uppgifter är av en stödjande natur. Parlamentet betonar att den nyligen genomförda översynen av unionens system för fiskerikontroll kommer att leda till mer understödjande arbete för byrån. Parlamentet betonar vikten av att förstå att det skulle vara inkonsekvent att införa ökade skyldigheter utan tillräckliga resurser för detta ändamål. Parlamentet understryker därför att byrån under kommande år måste förfoga över tillräckliga ekonomiska resurser och personalresurser.</w:t>
      </w:r>
    </w:p>
    <w:p w:rsidR="00793227" w:rsidRPr="007B7C15" w:rsidRDefault="00793227" w:rsidP="00793227">
      <w:pPr>
        <w:widowControl/>
        <w:spacing w:after="240"/>
        <w:ind w:left="567" w:hanging="567"/>
        <w:rPr>
          <w:b/>
          <w:i/>
          <w:szCs w:val="24"/>
        </w:rPr>
      </w:pPr>
      <w:r w:rsidRPr="007B7C15">
        <w:rPr>
          <w:b/>
          <w:i/>
        </w:rPr>
        <w:t>Verksamhetsresultat</w:t>
      </w:r>
    </w:p>
    <w:p w:rsidR="00793227" w:rsidRPr="007B7C15" w:rsidRDefault="00793227" w:rsidP="00793227">
      <w:pPr>
        <w:pStyle w:val="NormalHanging12a"/>
        <w:widowControl/>
      </w:pPr>
      <w:r w:rsidRPr="007B7C15">
        <w:t>5.</w:t>
      </w:r>
      <w:r w:rsidRPr="007B7C15">
        <w:tab/>
        <w:t>Europaparlamentet välkomnar det faktum att byrån under 2022 genomförde 95,4 % av det årliga arbetsprogram som styrelsen antog inom ramen för det samlade programplaneringsdokumentet.</w:t>
      </w:r>
    </w:p>
    <w:p w:rsidR="00793227" w:rsidRPr="007B7C15" w:rsidRDefault="00793227" w:rsidP="00793227">
      <w:pPr>
        <w:pStyle w:val="NormalHanging12a"/>
        <w:widowControl/>
      </w:pPr>
      <w:r w:rsidRPr="007B7C15">
        <w:t>6.</w:t>
      </w:r>
      <w:r w:rsidRPr="007B7C15">
        <w:tab/>
        <w:t>Europaparlamentet noterar med tillfredsställelse att byrån använder centrala resultatindikatorer för att utvärdera resultaten av sin verksamhet inom två huvudområden: operativ verksamhet och övergripande verksamhet. Parlamentet konstaterar vidare att den operativa verksamheten omfattar nyckelområden såsom operativt samarbete, samarbetsstöd, den internationella dimensionen och unionens samarbete inom kustbevakningsuppgifter. Parlamentet noterar att övergripande verksamhet omfattar kommunikation och representation, informations- och kommunikationsteknik och informationssäkerhet samt förvaltnings- och styrningsprocesser.</w:t>
      </w:r>
    </w:p>
    <w:p w:rsidR="00793227" w:rsidRPr="007B7C15" w:rsidRDefault="00793227" w:rsidP="00793227">
      <w:pPr>
        <w:pStyle w:val="NormalHanging12a"/>
        <w:widowControl/>
      </w:pPr>
      <w:r w:rsidRPr="007B7C15">
        <w:t>7.</w:t>
      </w:r>
      <w:r w:rsidRPr="007B7C15">
        <w:tab/>
        <w:t>Europaparlamentet konstaterar att byrån under 2022 beviljades ytterligare resurser som gjorde att den fick den operativa kapacitet som krävs för att bistå medlemsstaterna och kommissionen i det system för uppföljning, kontroll och övervakning som används inom den gemensamma fiskeripolitiken, inbegripet de åtgärder som följer av handels- och samarbetsavtalet med Förenade kungariket. Parlamentet noterar dessutom att det under 2022 tillkom tre nya projekt som finansierades genom bidrag inom ramen för den kommande Europeiska havs-, fiskeri- och vattenbruksfonden (EHFVF). Parlamentet konstaterar att dessa projekt omfattade en studie om vägningsprocessen för fiskeriprodukter i hela unionen, en virtuell regional utbildningsakademi i västra Medelhavet för fiskerikontroll och fiskeriinspektion samt underhåll av handboken och den onlinebaserade sektorsspecifika kvalifikationsramen för unionens samarbete inom kustbevakningsuppgifter.</w:t>
      </w:r>
    </w:p>
    <w:p w:rsidR="00793227" w:rsidRPr="007B7C15" w:rsidRDefault="00793227" w:rsidP="00793227">
      <w:pPr>
        <w:pStyle w:val="NormalHanging12a"/>
        <w:widowControl/>
      </w:pPr>
      <w:r w:rsidRPr="007B7C15">
        <w:t>8.</w:t>
      </w:r>
      <w:r w:rsidRPr="007B7C15">
        <w:tab/>
        <w:t xml:space="preserve">Europaparlamentet påminner om att byrån måste göra en oberoende utvärdering vart femte år för att uppfylla den rättsliga skyldighet som fastställs i artikel 48 i </w:t>
      </w:r>
      <w:r w:rsidRPr="007B7C15">
        <w:lastRenderedPageBreak/>
        <w:t>Europaparlamentets och rådets förordning (EU) 2019/473</w:t>
      </w:r>
      <w:r w:rsidRPr="007B7C15">
        <w:rPr>
          <w:rStyle w:val="FootnoteReference"/>
        </w:rPr>
        <w:footnoteReference w:id="12"/>
      </w:r>
      <w:r w:rsidRPr="007B7C15">
        <w:t>. Parlamentet konstaterar att den externa utvärderaren i juli 2022 lade fram ett utkast till slutrapport för perioden 2017–2021 som överlämnades till styrelseledamöterna för kommentarer. Parlamentet noterar att man i utvärderingen bedömde byråns verksamhetsresultat i förhållande till de fem kriterierna ändamålsenlighet, effektivitet, relevans, samstämmighet och europeiskt mervärde, i linje med kommissionens riktlinjer för bättre lagstiftning. Parlamentet betonar att utvärderingen innehåller tio rekommendationer med fokus på olika aspekter, närmare bestämt organisatoriska aspekter, huruvida byråns roll och verksamhet är fortsatt lämpliga för att uppnå målen i förordning (EU) 2019/473 samt byråns specifika verksamhet.</w:t>
      </w:r>
    </w:p>
    <w:p w:rsidR="00793227" w:rsidRPr="007B7C15" w:rsidRDefault="00793227" w:rsidP="00793227">
      <w:pPr>
        <w:pStyle w:val="NormalHanging12a"/>
      </w:pPr>
      <w:r w:rsidRPr="007B7C15">
        <w:t>9.</w:t>
      </w:r>
      <w:r w:rsidRPr="007B7C15">
        <w:tab/>
        <w:t>Europaparlamentet påminner om byråns viktiga bidrag till genomförandet av den gemensamma fiskeripolitiken, särskilt när det gäller fiskerikontroll och kampen mot olagligt, orapporterat och oreglerat fiske. Parlamentet välkomnar förstärkningen av byråns chartrade havspatrullfartyg i arbetet med att utföra fiskerikontroller och inspektioner i unionens vatten och internationella vatten och stödja nationella myndigheter. Parlamentet understryker byråns deltagande i stora internationella koalitioner mot olagligt fiske, såsom insatsen i programmet för förbättrad regional fiskeriförvaltning i Västafrika (Pescao).</w:t>
      </w:r>
    </w:p>
    <w:p w:rsidR="00793227" w:rsidRPr="007B7C15" w:rsidRDefault="00793227" w:rsidP="00793227">
      <w:pPr>
        <w:spacing w:after="240"/>
        <w:ind w:left="567" w:hanging="567"/>
      </w:pPr>
      <w:r w:rsidRPr="007B7C15">
        <w:t>10.</w:t>
      </w:r>
      <w:r w:rsidRPr="007B7C15">
        <w:tab/>
        <w:t>Europaparlamentet noterar att byrån under 2022 rapporterade 47 592 inspektioner (till sjöss och på land) där 5 167 misstänkta överträdelser upptäcktes, vilket motsvarar en minskning av antalet inspektioner med 11 % och en ökning av antalet misstänkta överträdelser med 28 % jämfört med 2021 års siffror. Parlamentet påpekar att de observerade minskningarna inte nödvändigtvis är kopplade till en minskning av medlemsstaternas kontrollinsatser. Parlamentet uppmanar byrån att lämna mer detaljerad information om skälen till dessa förändringar. Parlamentet påminner om att inspektionerna och annan uppföljningsverksamhet spelar en framträdande roll inte bara för en korrekt förvaltning av fiskeresurserna utan också för att garantera lika villkor för unionens fiskare.</w:t>
      </w:r>
    </w:p>
    <w:p w:rsidR="00793227" w:rsidRPr="007B7C15" w:rsidRDefault="00793227" w:rsidP="00793227">
      <w:pPr>
        <w:pStyle w:val="NormalHanging12a"/>
      </w:pPr>
      <w:r w:rsidRPr="007B7C15">
        <w:t>11.</w:t>
      </w:r>
      <w:r w:rsidRPr="007B7C15">
        <w:tab/>
        <w:t>Europaparlamentet framhåller byråns roll när det gäller att erbjuda tredjeländer kapacitetsuppbyggnad och utbildning och byråns avgörande roll för att säkerställa lika villkor för alla kuststater.</w:t>
      </w:r>
    </w:p>
    <w:p w:rsidR="00793227" w:rsidRPr="007B7C15" w:rsidRDefault="00793227" w:rsidP="00793227">
      <w:pPr>
        <w:widowControl/>
        <w:spacing w:after="240"/>
        <w:ind w:left="567" w:hanging="567"/>
        <w:rPr>
          <w:b/>
          <w:i/>
        </w:rPr>
      </w:pPr>
      <w:r w:rsidRPr="007B7C15">
        <w:rPr>
          <w:b/>
          <w:i/>
        </w:rPr>
        <w:t>Effektivitet och vinster</w:t>
      </w:r>
    </w:p>
    <w:p w:rsidR="00793227" w:rsidRPr="007B7C15" w:rsidRDefault="00793227" w:rsidP="00793227">
      <w:pPr>
        <w:widowControl/>
        <w:spacing w:after="240"/>
        <w:ind w:left="567" w:hanging="567"/>
      </w:pPr>
      <w:r w:rsidRPr="007B7C15">
        <w:t>12.</w:t>
      </w:r>
      <w:r w:rsidRPr="007B7C15">
        <w:tab/>
        <w:t>Europaparlamentet betonar att byrån fortsätter att dra nytta av de effektivitetsvinster som den uppnått genom att följa kommissionens färdplan om att införa dess befintliga it-system (SUMMA, moduler för e-upphandling före och efter tilldelning, MiPS, AGM, Sysper-moduler, PPMT osv.). Parlamentet noterar att det, utöver de fördelar som konstaterats när det gäller integrationsaspekterna mellan alla dessa system, finns tydliga fördelar av att minska underhållskostnaderna i samband med ändringar och uppdateringar.</w:t>
      </w:r>
    </w:p>
    <w:p w:rsidR="00793227" w:rsidRPr="007B7C15" w:rsidRDefault="00793227" w:rsidP="00793227">
      <w:pPr>
        <w:widowControl/>
        <w:spacing w:after="240"/>
        <w:ind w:left="567" w:hanging="567"/>
      </w:pPr>
      <w:r w:rsidRPr="007B7C15">
        <w:t>13.</w:t>
      </w:r>
      <w:r w:rsidRPr="007B7C15">
        <w:tab/>
        <w:t xml:space="preserve">Europaparlamentet välkomnar att byrån godtar de inbjudningar till interinstitutionella anbudsinfordringar som den får från kommissionen och andra byråer. Parlamentet noterar att byrån för närvarande använder över 45 ramavtal som undertecknats av andra </w:t>
      </w:r>
      <w:r w:rsidRPr="007B7C15">
        <w:lastRenderedPageBreak/>
        <w:t>enheter. Parlamentet noterar att detta resulterar i att den ledande rollen roterar mellan byråerna och att deras upphandlingsarbete därför blir effektivare överlag.</w:t>
      </w:r>
    </w:p>
    <w:p w:rsidR="00793227" w:rsidRPr="007B7C15" w:rsidRDefault="00793227" w:rsidP="00793227">
      <w:pPr>
        <w:widowControl/>
        <w:spacing w:after="240"/>
        <w:ind w:left="567" w:hanging="567"/>
      </w:pPr>
      <w:r w:rsidRPr="007B7C15">
        <w:t>14.</w:t>
      </w:r>
      <w:r w:rsidRPr="007B7C15">
        <w:tab/>
        <w:t>Europaparlamentet uppmärksammar att gemensamma administrativa uppgifter har centraliserats, vilket också har lett till effektivitetsvinster. Parlamentet noterar att den finansiella initieringen och kontrollen fortsätter att vara centraliserad, vilket möjliggör bättre kontroll av transaktioner, enhetligare metoder och tillvaratagande av kunskap inom dessa områden.</w:t>
      </w:r>
    </w:p>
    <w:p w:rsidR="00793227" w:rsidRPr="007B7C15" w:rsidRDefault="00793227" w:rsidP="00793227">
      <w:pPr>
        <w:widowControl/>
        <w:spacing w:after="240"/>
        <w:ind w:left="567" w:hanging="567"/>
      </w:pPr>
      <w:r w:rsidRPr="007B7C15">
        <w:t>15.</w:t>
      </w:r>
      <w:r w:rsidRPr="007B7C15">
        <w:tab/>
        <w:t>Europaparlamentet noterar en annan effektivitetsvinst på personalområdet i och med att befintliga reservlistor från rekryteringsförfaranden delas med andra byråer när reservlistans profil motsvarar den begärande byråns behov. Parlamentet noterar att denna praxis gör det möjligt att använda en annan byrås reservlista, utan att man behöver anordna ett resurskrävande rekryteringsförfarande.</w:t>
      </w:r>
    </w:p>
    <w:p w:rsidR="00793227" w:rsidRPr="007B7C15" w:rsidRDefault="00793227" w:rsidP="00793227">
      <w:pPr>
        <w:pStyle w:val="NormalHanging12a"/>
      </w:pPr>
      <w:r w:rsidRPr="007B7C15">
        <w:t>16.</w:t>
      </w:r>
      <w:r w:rsidRPr="007B7C15">
        <w:tab/>
        <w:t>Europaparlamentet noterar att byrån fortsatte samarbetet med Europeiska gräns- och kustbevakningsbyrån (Frontex) och Europeiska sjösäkerhetsbyrån (Emsa) för att stödja de nationella myndigheter som utför kustbevakningsuppgifter, i enlighet med artikel 8 i förordning (EU) 2019/473. Parlamentet anser att detta samarbete är ett exempel på samverkan mellan EU:s byråer och bör tjäna som inspirationskälla för byråer på andra områden. Parlamentet uppmanar byrån att fortsätta sina ansträngningar i detta avseende och anser det lämpligt att även öka samarbetet mellan byrån och Europeiska miljöbyrån.</w:t>
      </w:r>
    </w:p>
    <w:p w:rsidR="00793227" w:rsidRPr="007B7C15" w:rsidRDefault="00793227" w:rsidP="00793227">
      <w:pPr>
        <w:widowControl/>
        <w:spacing w:after="240"/>
        <w:ind w:left="567" w:hanging="567"/>
        <w:rPr>
          <w:b/>
          <w:i/>
          <w:szCs w:val="24"/>
        </w:rPr>
      </w:pPr>
      <w:r w:rsidRPr="007B7C15">
        <w:rPr>
          <w:b/>
          <w:i/>
        </w:rPr>
        <w:t>Personalpolitik</w:t>
      </w:r>
    </w:p>
    <w:p w:rsidR="00793227" w:rsidRPr="007B7C15" w:rsidRDefault="00793227" w:rsidP="00793227">
      <w:pPr>
        <w:widowControl/>
        <w:spacing w:after="240"/>
        <w:ind w:left="567" w:hanging="567"/>
        <w:rPr>
          <w:szCs w:val="24"/>
        </w:rPr>
      </w:pPr>
      <w:r w:rsidRPr="007B7C15">
        <w:t>17.</w:t>
      </w:r>
      <w:r w:rsidRPr="007B7C15">
        <w:tab/>
        <w:t>Europaparlamentet noterar att 96,10 % av tjänsterna i tjänsteförteckningen var tillsatta den 31 december 2022 då 74 av de 77 tillfälliga tjänster som får tillsättas enligt unionsbudgeten hade tillsatts (antalet tillåtna tjänster 2021 var 65). Parlamentet noterar att byrån utöver detta hade elva kontraktsanställda, sex utstationerade nationella experter och 16 inhyrda medarbetare och konsulter under 2022. Parlamentet noterar vidare att byrån hade ytterligare totalt 13 kontraktsanställda som finansierades med hjälp av tillfälliga bidrag och bidragsöverenskommelser inom olika projekt.</w:t>
      </w:r>
    </w:p>
    <w:p w:rsidR="00793227" w:rsidRPr="007B7C15" w:rsidRDefault="00793227" w:rsidP="00793227">
      <w:pPr>
        <w:widowControl/>
        <w:spacing w:after="240"/>
        <w:ind w:left="567" w:hanging="567"/>
        <w:rPr>
          <w:szCs w:val="24"/>
        </w:rPr>
      </w:pPr>
      <w:r w:rsidRPr="007B7C15">
        <w:t>18.</w:t>
      </w:r>
      <w:r w:rsidRPr="007B7C15">
        <w:tab/>
        <w:t>Europaparlamentet noterar att det i februari 2022 gjordes en omorganisation för att anpassa organisationen till de ytterligare uppgifter och resurser som tilldelats byrån i syfte att förbättra den operativa kapacitet som krävs för att bistå vid övervakningen, kontrollen och tillsynen av fisket i enlighet med kraven i den gemensamma fiskeripolitiken, bland annat de åtgärder som följer av handels- och samarbetsavtalet med Förenade kungariket och flera nya projekt inom ramen för överenskommelserna om medverkan. Parlamentet betonar att personalstyrkan, inbegripet tillfälligt anställda, kontraktsanställda och utstationerade nationella experter, ökade med nästan 50 % jämfört med i början av 2021.</w:t>
      </w:r>
    </w:p>
    <w:p w:rsidR="00793227" w:rsidRPr="007B7C15" w:rsidRDefault="00793227" w:rsidP="00793227">
      <w:pPr>
        <w:pStyle w:val="NormalHanging12a"/>
        <w:widowControl/>
      </w:pPr>
      <w:r w:rsidRPr="007B7C15">
        <w:t>19.</w:t>
      </w:r>
      <w:r w:rsidRPr="007B7C15">
        <w:tab/>
        <w:t xml:space="preserve">Europaparlamentet noterar att byrån har en policy för att främja likabehandling av personal och har som mål att uppnå en jämn könsfördelning, både när det gäller antal, lönegrad och ansvarsnivå. Parlamentet noterar könsfördelningen i byråns hela personalstyrka, där 54 av 106 anställda (51 %) var kvinnor. Parlamentet beklagar att andelen kvinnor bland personalen i lönegrad AD 8 (tjänstegrupp för handläggare, lönegrad 8) och högre var 38 % (samma som 2021). Parlamentet påminner om vikten av att säkerställa en jämn könsfördelning och uppmanar byrån att ta hänsyn till denna aspekt i samband med utnämningar på högre chefsnivå och mellanchefsnivå. </w:t>
      </w:r>
      <w:r w:rsidRPr="007B7C15">
        <w:lastRenderedPageBreak/>
        <w:t>Parlamentet noterar att byrån inte antog ”stadgan om mångfald och inkludering” 2022, men att den anpassade sina åtgärder till mål 5 för hållbar utveckling om jämställdhet i enlighet med sina mål.</w:t>
      </w:r>
    </w:p>
    <w:p w:rsidR="00793227" w:rsidRPr="007B7C15" w:rsidRDefault="00793227" w:rsidP="00793227">
      <w:pPr>
        <w:pStyle w:val="NormalHanging12a"/>
      </w:pPr>
      <w:r w:rsidRPr="007B7C15">
        <w:t>20.</w:t>
      </w:r>
      <w:r w:rsidRPr="007B7C15">
        <w:tab/>
        <w:t>Europaparlamentet noterar att byråns personal den 31 december 2022 bestod av anställda från 18 medlemsstater. Parlamentet konstaterar att 33 % av personalen är medborgare i den medlemsstat där byrån är belägen. Parlamentet påminner om vikten av geografisk balans och uppmuntrar byrån att även i fortsättningen vidta nödvändiga åtgärder för att få till stånd en balanserad och rättvis geografisk representation.</w:t>
      </w:r>
    </w:p>
    <w:p w:rsidR="00793227" w:rsidRPr="007B7C15" w:rsidRDefault="00793227" w:rsidP="00793227">
      <w:pPr>
        <w:pStyle w:val="NormalHanging12a"/>
        <w:widowControl/>
      </w:pPr>
      <w:r w:rsidRPr="007B7C15">
        <w:t>21.</w:t>
      </w:r>
      <w:r w:rsidRPr="007B7C15">
        <w:tab/>
        <w:t>Europaparlamentet noterar att byrån sedan den 1 oktober 2022 följer kommissionens regler om arbetstid och hybridarbete i tillämpliga delar.</w:t>
      </w:r>
    </w:p>
    <w:p w:rsidR="00793227" w:rsidRPr="007B7C15" w:rsidRDefault="00793227" w:rsidP="00793227">
      <w:pPr>
        <w:pStyle w:val="NormalHanging12a"/>
        <w:widowControl/>
      </w:pPr>
      <w:r w:rsidRPr="007B7C15">
        <w:t>22.</w:t>
      </w:r>
      <w:r w:rsidRPr="007B7C15">
        <w:tab/>
        <w:t>Europaparlamentet konstaterar att de Sysper-moduler som infördes 2022 omfattade följande: funktionen CCP (tjänstledighet av personliga skäl), NDP (lönespecifikationer för tillfälligt anställda och kontraktsanställda), en ny funktion som gör det möjligt för tillfälligt anställda och kontraktsanställda att ansöka om distansarbete från utlandet (Occasional Teleworking) och ADI (ett tillfälligt arbetsflöde). Dessutom genomfördes Sysper-funktioner i samband med att nya regler om arbetstid och hybridarbete infördes, STAGE-modulen infördes och förberedelser gjordes för modulerna EVAL och OBJ.</w:t>
      </w:r>
    </w:p>
    <w:p w:rsidR="00793227" w:rsidRPr="007B7C15" w:rsidRDefault="00793227" w:rsidP="00793227">
      <w:pPr>
        <w:pStyle w:val="NormalHanging12a"/>
        <w:rPr>
          <w:b/>
          <w:i/>
          <w:szCs w:val="24"/>
        </w:rPr>
      </w:pPr>
      <w:r w:rsidRPr="007B7C15">
        <w:rPr>
          <w:b/>
          <w:i/>
        </w:rPr>
        <w:t>Förebyggande och hantering av intressekonflikter samt transparens</w:t>
      </w:r>
    </w:p>
    <w:p w:rsidR="00793227" w:rsidRPr="007B7C15" w:rsidRDefault="00793227" w:rsidP="00793227">
      <w:pPr>
        <w:pStyle w:val="NormalHanging12a"/>
        <w:rPr>
          <w:szCs w:val="24"/>
        </w:rPr>
      </w:pPr>
      <w:r w:rsidRPr="007B7C15">
        <w:t>23.</w:t>
      </w:r>
      <w:r w:rsidRPr="007B7C15">
        <w:tab/>
        <w:t>Europaparlamentet är medvetet om att byrån på sin webbplats offentliggör styrelseledamöternas och den högsta ledningens intresseförklaringar och meritförteckningar. Parlamentet noterar vidare att byrån regelbundet uppdaterar förteckningen över alla möten mellan den verkställande direktören och personalen å ena sidan och organisationer och egenföretagare som deltar i utformningen och genomförandet av unionens politik å andra sidan, i syfte att säkerställa full transparens och förtroende för byråns verksamhet, och noterar att förteckningen finns på byråns webbplats.</w:t>
      </w:r>
    </w:p>
    <w:p w:rsidR="00793227" w:rsidRPr="007B7C15" w:rsidRDefault="00793227" w:rsidP="00793227">
      <w:pPr>
        <w:pStyle w:val="NormalHanging12a"/>
      </w:pPr>
      <w:r w:rsidRPr="007B7C15">
        <w:t>24.</w:t>
      </w:r>
      <w:r w:rsidRPr="007B7C15">
        <w:tab/>
        <w:t>Europaparlamentet uppmanar byrån att fortsätta att regelbundet uppdatera och offentliggöra informationen om relevanta möten som hålls mellan den verkställande direktören och personalen å ena sidan och organisationer eller egenföretagare som deltar i utformningen och genomförandet av unionens politik å andra sidan, i syfte att säkerställa full transparens och förtroende för byråns verksamhet.</w:t>
      </w:r>
    </w:p>
    <w:p w:rsidR="00793227" w:rsidRPr="007B7C15" w:rsidRDefault="00793227" w:rsidP="00793227">
      <w:pPr>
        <w:pStyle w:val="NormalHanging12a"/>
        <w:rPr>
          <w:szCs w:val="24"/>
        </w:rPr>
      </w:pPr>
      <w:r w:rsidRPr="007B7C15">
        <w:t>25.</w:t>
      </w:r>
      <w:r w:rsidRPr="007B7C15">
        <w:tab/>
        <w:t>Europaparlamentet noterar att byrån tillämpar sin policy för intressekonflikter på byråns personal, utstationerade nationella experter, avlönade externa experter, praktikanter och ledamöter av styrelsen och av den rådgivande nämnden. Parlamentet noterar att policyn kommuniceras till personalen genom intranätet och utbildning, och att övriga anställda och experter åtar sig att följa den genom att underteckna förklaringar och sekretessavtal. Parlamentet noterar vidare att särskilda bestämmelser om intressekonflikter för byråns entreprenörer, inbegripet personal som hyrs ut av bemanningsföretag (inhyrda) som tillhandahåller tjänster, fastställs i de allmänna villkoren i byråns kontrakt.</w:t>
      </w:r>
    </w:p>
    <w:p w:rsidR="00793227" w:rsidRPr="007B7C15" w:rsidRDefault="00793227" w:rsidP="00793227">
      <w:pPr>
        <w:pStyle w:val="NormalHanging12a"/>
        <w:rPr>
          <w:szCs w:val="24"/>
        </w:rPr>
      </w:pPr>
      <w:r w:rsidRPr="007B7C15">
        <w:t>26.</w:t>
      </w:r>
      <w:r w:rsidRPr="007B7C15">
        <w:tab/>
        <w:t>Europaparlamentet konstaterar att byrån sedan 2014 har en bedrägeribekämpnings</w:t>
      </w:r>
      <w:r w:rsidRPr="007B7C15">
        <w:softHyphen/>
        <w:t xml:space="preserve">strategi som uppdateras regelbundet och som för närvarande är inriktad på åtgärder som ska minska de bedrägeririsker som identifierats i riskbedömningar. Parlamentet noterar att man i den senaste uppdateringen 2022, som godkänts av styrelsen, lägger fokus på </w:t>
      </w:r>
      <w:r w:rsidRPr="007B7C15">
        <w:lastRenderedPageBreak/>
        <w:t>fortsatta insatser för att öka medvetenheten om etik och integritet.</w:t>
      </w:r>
    </w:p>
    <w:p w:rsidR="00793227" w:rsidRPr="007B7C15" w:rsidRDefault="00793227" w:rsidP="00793227">
      <w:pPr>
        <w:widowControl/>
        <w:spacing w:after="240"/>
        <w:ind w:left="567" w:hanging="567"/>
        <w:rPr>
          <w:szCs w:val="24"/>
        </w:rPr>
      </w:pPr>
      <w:r w:rsidRPr="007B7C15">
        <w:rPr>
          <w:b/>
          <w:i/>
        </w:rPr>
        <w:t>Upphandling</w:t>
      </w:r>
    </w:p>
    <w:p w:rsidR="00793227" w:rsidRPr="007B7C15" w:rsidRDefault="00793227" w:rsidP="00793227">
      <w:pPr>
        <w:widowControl/>
        <w:spacing w:after="240"/>
        <w:ind w:left="567" w:hanging="567"/>
        <w:rPr>
          <w:szCs w:val="24"/>
        </w:rPr>
      </w:pPr>
      <w:r w:rsidRPr="007B7C15">
        <w:t>27.</w:t>
      </w:r>
      <w:r w:rsidRPr="007B7C15">
        <w:tab/>
        <w:t>Europaparlamentet noterar att byrån enligt revisionsrätten under 2022 tecknade ett ramavtal värt 90 miljoner EUR för hyra av tre havspatrullfartyg. Avtalets ursprungliga löptid var 24 månader som kunde förlängas automatiskt fyra gånger med ytterligare tolv månader i taget upp till sammanlagt sex år. Parlamentet påminner om att ett ramavtal enligt punkt 1.1 i bilaga I till Europaparlamentets och rådets förordning (EU, Euratom) 2018/1046</w:t>
      </w:r>
      <w:r w:rsidRPr="007B7C15">
        <w:rPr>
          <w:rStyle w:val="FootnoteReference"/>
          <w:szCs w:val="24"/>
        </w:rPr>
        <w:footnoteReference w:id="13"/>
      </w:r>
      <w:r w:rsidRPr="007B7C15">
        <w:t xml:space="preserve"> (budgetförordningen) kan ha en löptid på mer än fyra år, men endast i undantagsfall som vederbörligen motiverats. Parlamentet noterar att byrån motiverade det längre avtalet med att man behövde säkerställa att investeringarna gav tillräcklig avkastning för entreprenörerna, som var tvungna att utrusta fartygen med ribbåtar. Parlamentet noterar vidare att revisionsrätten ansåg att denna motivering var otillräcklig, eftersom kostnaderna för utrustningen uppskattades till endast omkring 1 % av avtalets totala värde och att byrån dessutom behöll möjligheten att ensidigt säga upp avtalet efter de första två åren och efter vart och ett av de efterföljande åren, vilket undergräver argumentet att entreprenören behövde en garanterad löptid på sex år för att säkerställa avkastning på sina investeringar. Parlamentet betonar att revisionsrätten kommer att betrakta de efterföljande tillhörande betalningarna som oriktiga om avtalet förlängs utöver gränsen på fyra år. Parlamentet konstaterar att byrån, när den förberedde förfarandet, ansåg att marknaden kanske inte skulle ha uppfattat det som att en normal löptid på fyra år skulle ge tillräcklig avkastning på investeringen, och att det är avgörande för byråns kärnverksamhet att den tjänst som omfattas av det tillhörande ramavtalet utförs framgångsrikt och kontinuerligt.</w:t>
      </w:r>
    </w:p>
    <w:p w:rsidR="00793227" w:rsidRPr="007B7C15" w:rsidRDefault="00793227" w:rsidP="00793227">
      <w:pPr>
        <w:widowControl/>
        <w:spacing w:after="240"/>
        <w:ind w:left="567" w:hanging="567"/>
        <w:rPr>
          <w:szCs w:val="24"/>
        </w:rPr>
      </w:pPr>
      <w:r w:rsidRPr="007B7C15">
        <w:t>28.</w:t>
      </w:r>
      <w:r w:rsidRPr="007B7C15">
        <w:tab/>
        <w:t>Europaparlamentet påminner om vikten av att i samband med alla upphandlings</w:t>
      </w:r>
      <w:r w:rsidRPr="007B7C15">
        <w:softHyphen/>
        <w:t>förfaranden säkerställa rättvis konkurrens mellan anbudsgivare och av att köpa in varor och tjänster till bästa pris med respekt för principerna om transparens, proportionalitet, likabehandling och icke-diskriminering. Parlamentet uppmanar byrån att förbättra sina förfaranden för offentlig upphandling och säkerställa att de fullt ut följer gällande regler, så att man får bästa möjliga valuta för de offentliga medlen.</w:t>
      </w:r>
    </w:p>
    <w:p w:rsidR="00793227" w:rsidRPr="007B7C15" w:rsidRDefault="00793227" w:rsidP="00793227">
      <w:pPr>
        <w:widowControl/>
        <w:spacing w:after="240"/>
        <w:ind w:left="567" w:hanging="567"/>
        <w:rPr>
          <w:b/>
          <w:i/>
          <w:szCs w:val="24"/>
        </w:rPr>
      </w:pPr>
      <w:r w:rsidRPr="007B7C15">
        <w:rPr>
          <w:b/>
          <w:i/>
        </w:rPr>
        <w:t>Internkontroller</w:t>
      </w:r>
    </w:p>
    <w:p w:rsidR="00793227" w:rsidRPr="007B7C15" w:rsidRDefault="00793227" w:rsidP="00793227">
      <w:pPr>
        <w:widowControl/>
        <w:spacing w:after="240"/>
        <w:ind w:left="567" w:hanging="567"/>
        <w:rPr>
          <w:szCs w:val="24"/>
        </w:rPr>
      </w:pPr>
      <w:r w:rsidRPr="007B7C15">
        <w:t>29.</w:t>
      </w:r>
      <w:r w:rsidRPr="007B7C15">
        <w:tab/>
        <w:t xml:space="preserve">Europaparlamentet uttrycker oro över revisionsrättens iakttagelse att urvalsförfarandena för kontrakten med externa experter systematiskt saknade en säker verifieringskedja såsom krävs enligt artikel 36.3 i budgetförordningen. Parlamentet noterar särskilt att det saknades tillräckliga bevis för att experter hade tilldelats uppgifter utifrån på förhand fastställda urvalskriterier gällande deras relativa förtjänster, och för att principerna om icke-diskriminering och likabehandling som anges i artikel 237 i budgetförordningen hade följts. Parlamentet uppmanar byrån att stärka sina interna förfaranden för att välja </w:t>
      </w:r>
      <w:r w:rsidRPr="007B7C15">
        <w:lastRenderedPageBreak/>
        <w:t>ut och anlita externa experter och att rapportera tillbaka till den ansvarsfrihetsbeviljande myndigheten om alla åtgärder den vidtar i detta avseende.</w:t>
      </w:r>
    </w:p>
    <w:p w:rsidR="00793227" w:rsidRPr="007B7C15" w:rsidRDefault="00793227" w:rsidP="00793227">
      <w:pPr>
        <w:widowControl/>
        <w:spacing w:after="240"/>
        <w:ind w:left="567" w:hanging="567"/>
        <w:rPr>
          <w:szCs w:val="24"/>
        </w:rPr>
      </w:pPr>
      <w:r w:rsidRPr="007B7C15">
        <w:t>30.</w:t>
      </w:r>
      <w:r w:rsidRPr="007B7C15">
        <w:tab/>
        <w:t>Europaparlamentet noterar med oro att byrån, enligt revisionsrätten, i maj 2022 inledde ett förhandlat förfarande utan föregående offentliggörande av ett meddelande om upphandling för leasing av ett havspatrullfartyg som skulle användas i vattnen mellan unionen och Förenade kungariket. Byrån undertecknade kontraktet i juni 2022 för att täcka perioden mellan tidigare och kommande kontrakt inom ramen för ett pågående öppet förfarande som hade pågått längre än det var tänkt från början. Parlamentet noterar att byrån motiverade ärendets brådskande karaktär med hjälp av ett undantag i budgetförordningen och hänvisade till oförutsedda omständigheter, vilket är ett undantag som är tillåtet enligt punkt 11.1 c i bilaga I till budgetförordningen. Parlamentet konstaterar att revisionsrätten drog slutsatsen att en del av faktorerna som föranledde denna brådska kanske inte hade kunnat förutses, men att en del andra hade kunnat förutses samt att det faktum att de inte beaktades på lämpligt sätt tyder på en brist i byråns planering och i dess förvaltning av upphandlingen för leasing av de tre fartygen. Parlamentet uppmanar byrån att åtgärda och rätta till bristerna i sin planering och i sin förvaltning av upphandlingar, såsom revisionsrätten påpekat, och att så snart som möjligt rapportera tillbaka till den ansvarsfrihetsbeviljande myndigheten om de åtgärder den vidtar i detta avseende.</w:t>
      </w:r>
    </w:p>
    <w:p w:rsidR="00793227" w:rsidRPr="007B7C15" w:rsidRDefault="00793227" w:rsidP="00793227">
      <w:pPr>
        <w:widowControl/>
        <w:spacing w:after="240"/>
        <w:ind w:left="567" w:hanging="567"/>
        <w:rPr>
          <w:b/>
          <w:i/>
          <w:szCs w:val="24"/>
        </w:rPr>
      </w:pPr>
      <w:r w:rsidRPr="007B7C15">
        <w:rPr>
          <w:b/>
          <w:i/>
        </w:rPr>
        <w:t>Övriga synpunkter</w:t>
      </w:r>
    </w:p>
    <w:p w:rsidR="00793227" w:rsidRPr="007B7C15" w:rsidRDefault="00793227" w:rsidP="00793227">
      <w:pPr>
        <w:widowControl/>
        <w:spacing w:after="240"/>
        <w:ind w:left="567" w:hanging="567"/>
        <w:rPr>
          <w:szCs w:val="24"/>
        </w:rPr>
      </w:pPr>
      <w:r w:rsidRPr="007B7C15">
        <w:t>31.</w:t>
      </w:r>
      <w:r w:rsidRPr="007B7C15">
        <w:tab/>
        <w:t>Europaparlamentet noterar att byrån inte har genomfört Emas-certifieringen (EU:s miljölednings- och miljörevisionsordning) eftersom byråns insatser är inriktade på att stödja andra projekt.</w:t>
      </w:r>
      <w:r w:rsidRPr="007B7C15">
        <w:rPr>
          <w:rFonts w:ascii="Segoe UI" w:hAnsi="Segoe UI"/>
          <w:color w:val="374151"/>
        </w:rPr>
        <w:t xml:space="preserve"> </w:t>
      </w:r>
      <w:r w:rsidRPr="007B7C15">
        <w:t>Parlamentet påminner om att syftet med ordningen är att främja kontinuerliga förbättringar av organisationers miljöprestanda. Parlamentet uppmuntrar byrån att vidta åtgärder för att genomföra Emas.</w:t>
      </w:r>
    </w:p>
    <w:p w:rsidR="00793227" w:rsidRPr="007B7C15" w:rsidRDefault="00793227" w:rsidP="00793227">
      <w:pPr>
        <w:pStyle w:val="NormalCenter12a"/>
      </w:pPr>
      <w:r w:rsidRPr="007B7C15">
        <w:t>°</w:t>
      </w:r>
    </w:p>
    <w:p w:rsidR="00793227" w:rsidRPr="007B7C15" w:rsidRDefault="00793227" w:rsidP="00793227">
      <w:pPr>
        <w:pStyle w:val="NormalCenter12a"/>
      </w:pPr>
      <w:r w:rsidRPr="007B7C15">
        <w:t>°</w:t>
      </w:r>
      <w:r w:rsidRPr="007B7C15">
        <w:tab/>
        <w:t>°</w:t>
      </w:r>
    </w:p>
    <w:p w:rsidR="00793227" w:rsidRPr="000C4DFC" w:rsidRDefault="00793227" w:rsidP="00793227">
      <w:r w:rsidRPr="007B7C15">
        <w:t>32.</w:t>
      </w:r>
      <w:r w:rsidRPr="007B7C15">
        <w:tab/>
        <w:t xml:space="preserve">När det gäller andra övergripande iakttagelser som utgör en del av beslutet om ansvarsfrihet hänvisar Europaparlamentet till sin resolution av den </w:t>
      </w:r>
      <w:r w:rsidR="008856DF" w:rsidRPr="007B7C15">
        <w:t>11 april 2024</w:t>
      </w:r>
      <w:r w:rsidRPr="007B7C15">
        <w:rPr>
          <w:vertAlign w:val="superscript"/>
        </w:rPr>
        <w:footnoteReference w:id="14"/>
      </w:r>
      <w:r w:rsidRPr="007B7C15">
        <w:t xml:space="preserve"> om byråernas verksamhetsresultat, ekonomiska förvaltning och kontroll.</w:t>
      </w:r>
    </w:p>
    <w:p w:rsidR="00E365E1" w:rsidRPr="000C4DFC" w:rsidRDefault="00E365E1" w:rsidP="00720A21">
      <w:bookmarkStart w:id="9" w:name="TextBodyEnd"/>
      <w:bookmarkEnd w:id="9"/>
    </w:p>
    <w:sectPr w:rsidR="00E365E1" w:rsidRPr="000C4DFC" w:rsidSect="000C4DF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A21" w:rsidRPr="000C4DFC" w:rsidRDefault="00720A21">
      <w:r w:rsidRPr="000C4DFC">
        <w:separator/>
      </w:r>
    </w:p>
  </w:endnote>
  <w:endnote w:type="continuationSeparator" w:id="0">
    <w:p w:rsidR="00720A21" w:rsidRPr="000C4DFC" w:rsidRDefault="00720A21">
      <w:r w:rsidRPr="000C4D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227" w:rsidRPr="000C4DFC" w:rsidRDefault="00793227" w:rsidP="0079007D">
    <w:pPr>
      <w:pStyle w:val="EPFooter"/>
    </w:pPr>
    <w:r w:rsidRPr="000C4DFC">
      <w:t>PE</w:t>
    </w:r>
    <w:r w:rsidRPr="000C4DFC">
      <w:rPr>
        <w:rStyle w:val="HideTWBExt"/>
      </w:rPr>
      <w:t>&lt;NoPE&gt;</w:t>
    </w:r>
    <w:r w:rsidRPr="000C4DFC">
      <w:t>753.518</w:t>
    </w:r>
    <w:r w:rsidRPr="000C4DFC">
      <w:rPr>
        <w:rStyle w:val="HideTWBExt"/>
      </w:rPr>
      <w:t>&lt;/NoPE&gt;&lt;Version&gt;</w:t>
    </w:r>
    <w:r w:rsidRPr="000C4DFC">
      <w:t>v02-00</w:t>
    </w:r>
    <w:r w:rsidRPr="000C4DFC">
      <w:rPr>
        <w:rStyle w:val="HideTWBExt"/>
      </w:rPr>
      <w:t>&lt;/Version&gt;</w:t>
    </w:r>
    <w:r w:rsidRPr="000C4DFC">
      <w:tab/>
    </w:r>
    <w:r w:rsidRPr="000C4DFC">
      <w:fldChar w:fldCharType="begin"/>
    </w:r>
    <w:r w:rsidRPr="000C4DFC">
      <w:instrText xml:space="preserve"> PAGE  \* MERGEFORMAT </w:instrText>
    </w:r>
    <w:r w:rsidRPr="000C4DFC">
      <w:fldChar w:fldCharType="separate"/>
    </w:r>
    <w:r w:rsidRPr="000C4DFC">
      <w:rPr>
        <w:noProof/>
      </w:rPr>
      <w:t>10</w:t>
    </w:r>
    <w:r w:rsidRPr="000C4DFC">
      <w:fldChar w:fldCharType="end"/>
    </w:r>
    <w:r w:rsidRPr="000C4DFC">
      <w:t>/</w:t>
    </w:r>
    <w:r w:rsidR="007B7C15">
      <w:fldChar w:fldCharType="begin"/>
    </w:r>
    <w:r w:rsidR="007B7C15">
      <w:instrText xml:space="preserve"> NUMPAGES  \* MERGEFORMAT </w:instrText>
    </w:r>
    <w:r w:rsidR="007B7C15">
      <w:fldChar w:fldCharType="separate"/>
    </w:r>
    <w:r w:rsidRPr="000C4DFC">
      <w:rPr>
        <w:noProof/>
      </w:rPr>
      <w:t>10</w:t>
    </w:r>
    <w:r w:rsidR="007B7C15">
      <w:rPr>
        <w:noProof/>
      </w:rPr>
      <w:fldChar w:fldCharType="end"/>
    </w:r>
    <w:r w:rsidRPr="000C4DFC">
      <w:tab/>
    </w:r>
    <w:r w:rsidRPr="000C4DFC">
      <w:rPr>
        <w:rStyle w:val="HideTWBExt"/>
      </w:rPr>
      <w:t>&lt;PathFdR&gt;</w:t>
    </w:r>
    <w:r w:rsidRPr="000C4DFC">
      <w:t>RR\1298773SV.docx</w:t>
    </w:r>
    <w:r w:rsidRPr="000C4DFC">
      <w:rPr>
        <w:rStyle w:val="HideTWBExt"/>
      </w:rPr>
      <w:t>&lt;/PathFdR&gt;</w:t>
    </w:r>
  </w:p>
  <w:p w:rsidR="00793227" w:rsidRPr="000C4DFC" w:rsidRDefault="00793227" w:rsidP="0079007D">
    <w:pPr>
      <w:pStyle w:val="EPFooter2"/>
    </w:pPr>
    <w:r w:rsidRPr="000C4DFC">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227" w:rsidRPr="000C4DFC" w:rsidRDefault="00793227" w:rsidP="0079007D">
    <w:pPr>
      <w:pStyle w:val="EPFooter"/>
    </w:pPr>
    <w:r w:rsidRPr="000C4DFC">
      <w:rPr>
        <w:rStyle w:val="HideTWBExt"/>
      </w:rPr>
      <w:t>&lt;PathFdR&gt;</w:t>
    </w:r>
    <w:r w:rsidRPr="000C4DFC">
      <w:t>RR\1298773SV.docx</w:t>
    </w:r>
    <w:r w:rsidRPr="000C4DFC">
      <w:rPr>
        <w:rStyle w:val="HideTWBExt"/>
      </w:rPr>
      <w:t>&lt;/PathFdR&gt;</w:t>
    </w:r>
    <w:r w:rsidRPr="000C4DFC">
      <w:tab/>
    </w:r>
    <w:r w:rsidRPr="000C4DFC">
      <w:tab/>
      <w:t>PE</w:t>
    </w:r>
    <w:r w:rsidRPr="000C4DFC">
      <w:rPr>
        <w:rStyle w:val="HideTWBExt"/>
      </w:rPr>
      <w:t>&lt;NoPE&gt;</w:t>
    </w:r>
    <w:r w:rsidRPr="000C4DFC">
      <w:t>753.518</w:t>
    </w:r>
    <w:r w:rsidRPr="000C4DFC">
      <w:rPr>
        <w:rStyle w:val="HideTWBExt"/>
      </w:rPr>
      <w:t>&lt;/NoPE&gt;&lt;Version&gt;</w:t>
    </w:r>
    <w:r w:rsidRPr="000C4DFC">
      <w:t>v02-00</w:t>
    </w:r>
    <w:r w:rsidRPr="000C4DFC">
      <w:rPr>
        <w:rStyle w:val="HideTWBExt"/>
      </w:rPr>
      <w:t>&lt;/Version&gt;</w:t>
    </w:r>
  </w:p>
  <w:p w:rsidR="00793227" w:rsidRPr="000C4DFC" w:rsidRDefault="00793227" w:rsidP="0079007D">
    <w:pPr>
      <w:pStyle w:val="EPFooter2"/>
    </w:pPr>
    <w:r w:rsidRPr="000C4DFC">
      <w:t>SV</w:t>
    </w:r>
    <w:r w:rsidRPr="000C4DFC">
      <w:tab/>
    </w:r>
    <w:r w:rsidRPr="000C4DFC">
      <w:rPr>
        <w:b w:val="0"/>
        <w:i/>
        <w:color w:val="C0C0C0"/>
        <w:sz w:val="22"/>
      </w:rPr>
      <w:t>Förenade i mångfalden</w:t>
    </w:r>
    <w:r w:rsidRPr="000C4DFC">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4DF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4DF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4D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A21" w:rsidRPr="000C4DFC" w:rsidRDefault="00720A21">
      <w:r w:rsidRPr="000C4DFC">
        <w:separator/>
      </w:r>
    </w:p>
  </w:footnote>
  <w:footnote w:type="continuationSeparator" w:id="0">
    <w:p w:rsidR="00720A21" w:rsidRPr="000C4DFC" w:rsidRDefault="00720A21">
      <w:r w:rsidRPr="000C4DFC">
        <w:continuationSeparator/>
      </w:r>
    </w:p>
  </w:footnote>
  <w:footnote w:id="1">
    <w:p w:rsidR="00793227" w:rsidRPr="007B7C15" w:rsidRDefault="00793227" w:rsidP="000C4DFC">
      <w:pPr>
        <w:pStyle w:val="FootnoteText"/>
        <w:ind w:left="567" w:hanging="567"/>
        <w:rPr>
          <w:sz w:val="24"/>
          <w:szCs w:val="24"/>
        </w:rPr>
      </w:pPr>
      <w:r w:rsidRPr="007B7C15">
        <w:rPr>
          <w:rStyle w:val="FootnoteReference"/>
          <w:sz w:val="24"/>
          <w:szCs w:val="24"/>
          <w:lang w:val="sv-SE"/>
        </w:rPr>
        <w:footnoteRef/>
      </w:r>
      <w:r w:rsidR="000C4DFC" w:rsidRPr="007B7C15">
        <w:rPr>
          <w:sz w:val="24"/>
          <w:szCs w:val="24"/>
        </w:rPr>
        <w:t xml:space="preserve"> </w:t>
      </w:r>
      <w:r w:rsidR="000C4DFC" w:rsidRPr="007B7C15">
        <w:rPr>
          <w:sz w:val="24"/>
          <w:szCs w:val="24"/>
        </w:rPr>
        <w:tab/>
      </w:r>
      <w:r w:rsidRPr="007B7C15">
        <w:rPr>
          <w:sz w:val="24"/>
          <w:szCs w:val="24"/>
        </w:rPr>
        <w:t>EUT C, C/2023/594, 27.10.2023.</w:t>
      </w:r>
    </w:p>
  </w:footnote>
  <w:footnote w:id="2">
    <w:p w:rsidR="00793227" w:rsidRPr="007B7C15" w:rsidRDefault="00793227" w:rsidP="000C4DFC">
      <w:pPr>
        <w:pStyle w:val="FootnoteText"/>
        <w:ind w:left="567" w:hanging="567"/>
        <w:rPr>
          <w:sz w:val="24"/>
          <w:szCs w:val="24"/>
        </w:rPr>
      </w:pPr>
      <w:r w:rsidRPr="007B7C15">
        <w:rPr>
          <w:rStyle w:val="FootnoteReference"/>
          <w:sz w:val="24"/>
          <w:szCs w:val="24"/>
          <w:lang w:val="sv-SE"/>
        </w:rPr>
        <w:footnoteRef/>
      </w:r>
      <w:r w:rsidR="000C4DFC" w:rsidRPr="007B7C15">
        <w:rPr>
          <w:sz w:val="24"/>
          <w:szCs w:val="24"/>
        </w:rPr>
        <w:t xml:space="preserve"> </w:t>
      </w:r>
      <w:r w:rsidR="000C4DFC" w:rsidRPr="007B7C15">
        <w:rPr>
          <w:sz w:val="24"/>
          <w:szCs w:val="24"/>
        </w:rPr>
        <w:tab/>
      </w:r>
      <w:r w:rsidRPr="007B7C15">
        <w:rPr>
          <w:sz w:val="24"/>
          <w:szCs w:val="24"/>
        </w:rPr>
        <w:t>EUT C, C/2023/112, 12.10.2023.</w:t>
      </w:r>
    </w:p>
  </w:footnote>
  <w:footnote w:id="3">
    <w:p w:rsidR="00793227" w:rsidRPr="007B7C15" w:rsidRDefault="00793227" w:rsidP="000C4DFC">
      <w:pPr>
        <w:pStyle w:val="FootnoteText"/>
        <w:ind w:left="567" w:hanging="567"/>
        <w:rPr>
          <w:sz w:val="24"/>
          <w:szCs w:val="24"/>
        </w:rPr>
      </w:pPr>
      <w:r w:rsidRPr="007B7C15">
        <w:rPr>
          <w:rStyle w:val="FootnoteReference"/>
          <w:sz w:val="24"/>
          <w:szCs w:val="24"/>
          <w:lang w:val="sv-SE"/>
        </w:rPr>
        <w:footnoteRef/>
      </w:r>
      <w:r w:rsidR="000C4DFC" w:rsidRPr="007B7C15">
        <w:rPr>
          <w:sz w:val="24"/>
          <w:szCs w:val="24"/>
        </w:rPr>
        <w:t xml:space="preserve"> </w:t>
      </w:r>
      <w:r w:rsidR="000C4DFC" w:rsidRPr="007B7C15">
        <w:rPr>
          <w:sz w:val="24"/>
          <w:szCs w:val="24"/>
        </w:rPr>
        <w:tab/>
      </w:r>
      <w:r w:rsidRPr="007B7C15">
        <w:rPr>
          <w:sz w:val="24"/>
          <w:szCs w:val="24"/>
        </w:rPr>
        <w:t>EUT L 193, 30.7.2018, s. 1.</w:t>
      </w:r>
    </w:p>
  </w:footnote>
  <w:footnote w:id="4">
    <w:p w:rsidR="00793227" w:rsidRPr="007B7C15" w:rsidRDefault="00793227" w:rsidP="000C4DFC">
      <w:pPr>
        <w:pStyle w:val="FootnoteText"/>
        <w:ind w:left="567" w:hanging="567"/>
        <w:rPr>
          <w:sz w:val="24"/>
          <w:szCs w:val="24"/>
        </w:rPr>
      </w:pPr>
      <w:r w:rsidRPr="007B7C15">
        <w:rPr>
          <w:rStyle w:val="FootnoteReference"/>
          <w:sz w:val="24"/>
          <w:szCs w:val="24"/>
          <w:lang w:val="sv-SE"/>
        </w:rPr>
        <w:footnoteRef/>
      </w:r>
      <w:r w:rsidR="000C4DFC" w:rsidRPr="007B7C15">
        <w:rPr>
          <w:sz w:val="24"/>
          <w:szCs w:val="24"/>
        </w:rPr>
        <w:t xml:space="preserve"> </w:t>
      </w:r>
      <w:r w:rsidR="000C4DFC" w:rsidRPr="007B7C15">
        <w:rPr>
          <w:sz w:val="24"/>
          <w:szCs w:val="24"/>
        </w:rPr>
        <w:tab/>
      </w:r>
      <w:r w:rsidRPr="007B7C15">
        <w:rPr>
          <w:sz w:val="24"/>
          <w:szCs w:val="24"/>
        </w:rPr>
        <w:t>EUT L 83, 25.3.2019, s. 18.</w:t>
      </w:r>
    </w:p>
  </w:footnote>
  <w:footnote w:id="5">
    <w:p w:rsidR="00793227" w:rsidRPr="007B7C15" w:rsidRDefault="00793227" w:rsidP="000C4DFC">
      <w:pPr>
        <w:pStyle w:val="FootnoteText"/>
        <w:ind w:left="567" w:hanging="567"/>
        <w:rPr>
          <w:sz w:val="24"/>
          <w:szCs w:val="24"/>
        </w:rPr>
      </w:pPr>
      <w:r w:rsidRPr="007B7C15">
        <w:rPr>
          <w:rStyle w:val="FootnoteReference"/>
          <w:sz w:val="24"/>
          <w:szCs w:val="24"/>
          <w:lang w:val="sv-SE"/>
        </w:rPr>
        <w:footnoteRef/>
      </w:r>
      <w:r w:rsidR="000C4DFC" w:rsidRPr="007B7C15">
        <w:rPr>
          <w:sz w:val="24"/>
          <w:szCs w:val="24"/>
        </w:rPr>
        <w:t xml:space="preserve"> </w:t>
      </w:r>
      <w:r w:rsidR="000C4DFC" w:rsidRPr="007B7C15">
        <w:rPr>
          <w:sz w:val="24"/>
          <w:szCs w:val="24"/>
        </w:rPr>
        <w:tab/>
      </w:r>
      <w:r w:rsidRPr="007B7C15">
        <w:rPr>
          <w:sz w:val="24"/>
          <w:szCs w:val="24"/>
        </w:rPr>
        <w:t>EUT L 122, 10.5.2019, s. 1.</w:t>
      </w:r>
    </w:p>
  </w:footnote>
  <w:footnote w:id="6">
    <w:p w:rsidR="00793227" w:rsidRPr="007B7C15" w:rsidRDefault="00793227" w:rsidP="000C4DFC">
      <w:pPr>
        <w:pStyle w:val="FootnoteText"/>
        <w:ind w:left="567" w:hanging="567"/>
        <w:rPr>
          <w:sz w:val="24"/>
          <w:szCs w:val="24"/>
        </w:rPr>
      </w:pPr>
      <w:r w:rsidRPr="007B7C15">
        <w:rPr>
          <w:rStyle w:val="FootnoteReference"/>
          <w:sz w:val="24"/>
          <w:szCs w:val="24"/>
          <w:lang w:val="sv-SE"/>
        </w:rPr>
        <w:footnoteRef/>
      </w:r>
      <w:r w:rsidR="000C4DFC" w:rsidRPr="007B7C15">
        <w:rPr>
          <w:sz w:val="24"/>
          <w:szCs w:val="24"/>
        </w:rPr>
        <w:t xml:space="preserve"> </w:t>
      </w:r>
      <w:r w:rsidR="000C4DFC" w:rsidRPr="007B7C15">
        <w:rPr>
          <w:sz w:val="24"/>
          <w:szCs w:val="24"/>
        </w:rPr>
        <w:tab/>
      </w:r>
      <w:r w:rsidRPr="007B7C15">
        <w:rPr>
          <w:sz w:val="24"/>
          <w:szCs w:val="24"/>
        </w:rPr>
        <w:t>EUT C, C/2023/594, 27.10.2023.</w:t>
      </w:r>
    </w:p>
  </w:footnote>
  <w:footnote w:id="7">
    <w:p w:rsidR="00793227" w:rsidRPr="007B7C15" w:rsidRDefault="00793227" w:rsidP="000C4DFC">
      <w:pPr>
        <w:pStyle w:val="FootnoteText"/>
        <w:ind w:left="567" w:hanging="567"/>
        <w:rPr>
          <w:sz w:val="24"/>
          <w:szCs w:val="24"/>
        </w:rPr>
      </w:pPr>
      <w:r w:rsidRPr="007B7C15">
        <w:rPr>
          <w:rStyle w:val="FootnoteReference"/>
          <w:sz w:val="24"/>
          <w:szCs w:val="24"/>
          <w:lang w:val="sv-SE"/>
        </w:rPr>
        <w:footnoteRef/>
      </w:r>
      <w:r w:rsidR="000C4DFC" w:rsidRPr="007B7C15">
        <w:rPr>
          <w:sz w:val="24"/>
          <w:szCs w:val="24"/>
        </w:rPr>
        <w:t xml:space="preserve"> </w:t>
      </w:r>
      <w:r w:rsidR="000C4DFC" w:rsidRPr="007B7C15">
        <w:rPr>
          <w:sz w:val="24"/>
          <w:szCs w:val="24"/>
        </w:rPr>
        <w:tab/>
      </w:r>
      <w:r w:rsidRPr="007B7C15">
        <w:rPr>
          <w:sz w:val="24"/>
          <w:szCs w:val="24"/>
        </w:rPr>
        <w:t>EUT C, C/2023/112, 12.10.2023.</w:t>
      </w:r>
    </w:p>
  </w:footnote>
  <w:footnote w:id="8">
    <w:p w:rsidR="00793227" w:rsidRPr="007B7C15" w:rsidRDefault="00793227" w:rsidP="000C4DFC">
      <w:pPr>
        <w:pStyle w:val="FootnoteText"/>
        <w:ind w:left="567" w:hanging="567"/>
        <w:rPr>
          <w:sz w:val="24"/>
          <w:szCs w:val="24"/>
        </w:rPr>
      </w:pPr>
      <w:r w:rsidRPr="007B7C15">
        <w:rPr>
          <w:rStyle w:val="FootnoteReference"/>
          <w:sz w:val="24"/>
          <w:szCs w:val="24"/>
          <w:lang w:val="sv-SE"/>
        </w:rPr>
        <w:footnoteRef/>
      </w:r>
      <w:r w:rsidR="000C4DFC" w:rsidRPr="007B7C15">
        <w:rPr>
          <w:sz w:val="24"/>
          <w:szCs w:val="24"/>
        </w:rPr>
        <w:t xml:space="preserve"> </w:t>
      </w:r>
      <w:r w:rsidR="000C4DFC" w:rsidRPr="007B7C15">
        <w:rPr>
          <w:sz w:val="24"/>
          <w:szCs w:val="24"/>
        </w:rPr>
        <w:tab/>
      </w:r>
      <w:r w:rsidRPr="007B7C15">
        <w:rPr>
          <w:sz w:val="24"/>
          <w:szCs w:val="24"/>
        </w:rPr>
        <w:t>EUT L 193, 30.7.2018, s. 1.</w:t>
      </w:r>
    </w:p>
  </w:footnote>
  <w:footnote w:id="9">
    <w:p w:rsidR="00793227" w:rsidRPr="007B7C15" w:rsidRDefault="00793227" w:rsidP="000C4DFC">
      <w:pPr>
        <w:pStyle w:val="FootnoteText"/>
        <w:ind w:left="567" w:hanging="567"/>
        <w:rPr>
          <w:sz w:val="24"/>
          <w:szCs w:val="24"/>
        </w:rPr>
      </w:pPr>
      <w:r w:rsidRPr="007B7C15">
        <w:rPr>
          <w:rStyle w:val="FootnoteReference"/>
          <w:sz w:val="24"/>
          <w:szCs w:val="24"/>
          <w:lang w:val="sv-SE"/>
        </w:rPr>
        <w:footnoteRef/>
      </w:r>
      <w:r w:rsidR="000C4DFC" w:rsidRPr="007B7C15">
        <w:rPr>
          <w:sz w:val="24"/>
          <w:szCs w:val="24"/>
        </w:rPr>
        <w:t xml:space="preserve"> </w:t>
      </w:r>
      <w:r w:rsidR="000C4DFC" w:rsidRPr="007B7C15">
        <w:rPr>
          <w:sz w:val="24"/>
          <w:szCs w:val="24"/>
        </w:rPr>
        <w:tab/>
      </w:r>
      <w:r w:rsidRPr="007B7C15">
        <w:rPr>
          <w:sz w:val="24"/>
          <w:szCs w:val="24"/>
        </w:rPr>
        <w:t>EUT L 83, 25.3.2019, s. 18.</w:t>
      </w:r>
    </w:p>
  </w:footnote>
  <w:footnote w:id="10">
    <w:p w:rsidR="00793227" w:rsidRPr="007B7C15" w:rsidRDefault="00793227" w:rsidP="000C4DFC">
      <w:pPr>
        <w:pStyle w:val="FootnoteText"/>
        <w:ind w:left="567" w:hanging="567"/>
        <w:rPr>
          <w:sz w:val="24"/>
          <w:szCs w:val="24"/>
        </w:rPr>
      </w:pPr>
      <w:r w:rsidRPr="007B7C15">
        <w:rPr>
          <w:rStyle w:val="FootnoteReference"/>
          <w:sz w:val="24"/>
          <w:szCs w:val="24"/>
          <w:lang w:val="sv-SE"/>
        </w:rPr>
        <w:footnoteRef/>
      </w:r>
      <w:r w:rsidR="000C4DFC" w:rsidRPr="007B7C15">
        <w:rPr>
          <w:sz w:val="24"/>
          <w:szCs w:val="24"/>
        </w:rPr>
        <w:t xml:space="preserve"> </w:t>
      </w:r>
      <w:r w:rsidR="000C4DFC" w:rsidRPr="007B7C15">
        <w:rPr>
          <w:sz w:val="24"/>
          <w:szCs w:val="24"/>
        </w:rPr>
        <w:tab/>
      </w:r>
      <w:r w:rsidRPr="007B7C15">
        <w:rPr>
          <w:sz w:val="24"/>
          <w:szCs w:val="24"/>
        </w:rPr>
        <w:t>EUT L 122, 10.5.2019, s. 1.</w:t>
      </w:r>
    </w:p>
  </w:footnote>
  <w:footnote w:id="11">
    <w:p w:rsidR="00793227" w:rsidRPr="007B7C15" w:rsidRDefault="00793227" w:rsidP="000C4DFC">
      <w:pPr>
        <w:pStyle w:val="FootnoteText"/>
        <w:ind w:left="567" w:hanging="567"/>
        <w:rPr>
          <w:sz w:val="24"/>
          <w:szCs w:val="24"/>
          <w:lang w:val="sv-SE"/>
        </w:rPr>
      </w:pPr>
      <w:r w:rsidRPr="007B7C15">
        <w:rPr>
          <w:rStyle w:val="FootnoteReference"/>
          <w:sz w:val="24"/>
          <w:szCs w:val="24"/>
          <w:lang w:val="sv-SE"/>
        </w:rPr>
        <w:footnoteRef/>
      </w:r>
      <w:r w:rsidR="000C4DFC" w:rsidRPr="007B7C15">
        <w:rPr>
          <w:sz w:val="24"/>
          <w:szCs w:val="24"/>
          <w:lang w:val="sv-SE"/>
        </w:rPr>
        <w:t xml:space="preserve"> </w:t>
      </w:r>
      <w:r w:rsidR="000C4DFC" w:rsidRPr="007B7C15">
        <w:rPr>
          <w:sz w:val="24"/>
          <w:szCs w:val="24"/>
          <w:lang w:val="sv-SE"/>
        </w:rPr>
        <w:tab/>
      </w:r>
      <w:r w:rsidRPr="007B7C15">
        <w:rPr>
          <w:sz w:val="24"/>
          <w:szCs w:val="24"/>
          <w:lang w:val="sv-SE"/>
        </w:rPr>
        <w:t>EUT C 38, 31.1.2023, s. 65.</w:t>
      </w:r>
    </w:p>
  </w:footnote>
  <w:footnote w:id="12">
    <w:p w:rsidR="00793227" w:rsidRPr="007B7C15" w:rsidRDefault="00793227" w:rsidP="000C4DFC">
      <w:pPr>
        <w:pStyle w:val="FootnoteText"/>
        <w:ind w:left="567" w:hanging="567"/>
        <w:rPr>
          <w:sz w:val="24"/>
          <w:szCs w:val="24"/>
          <w:lang w:val="sv-SE"/>
        </w:rPr>
      </w:pPr>
      <w:r w:rsidRPr="007B7C15">
        <w:rPr>
          <w:rStyle w:val="FootnoteReference"/>
          <w:sz w:val="24"/>
          <w:szCs w:val="24"/>
          <w:lang w:val="sv-SE"/>
        </w:rPr>
        <w:footnoteRef/>
      </w:r>
      <w:r w:rsidR="000C4DFC" w:rsidRPr="007B7C15">
        <w:rPr>
          <w:sz w:val="24"/>
          <w:szCs w:val="24"/>
          <w:lang w:val="sv-SE"/>
        </w:rPr>
        <w:t xml:space="preserve"> </w:t>
      </w:r>
      <w:r w:rsidR="000C4DFC" w:rsidRPr="007B7C15">
        <w:rPr>
          <w:sz w:val="24"/>
          <w:szCs w:val="24"/>
          <w:lang w:val="sv-SE"/>
        </w:rPr>
        <w:tab/>
      </w:r>
      <w:r w:rsidRPr="007B7C15">
        <w:rPr>
          <w:sz w:val="24"/>
          <w:szCs w:val="24"/>
          <w:lang w:val="sv-SE"/>
        </w:rPr>
        <w:t>Europaparlamentets och rådets förordning (EU) 2019/473 av den 19 mars 2019 om Europeiska fiskerikontrollbyrån (EUT L 83, 25.3.2019, s. 18).</w:t>
      </w:r>
    </w:p>
  </w:footnote>
  <w:footnote w:id="13">
    <w:p w:rsidR="00793227" w:rsidRPr="007B7C15" w:rsidRDefault="00793227" w:rsidP="000C4DFC">
      <w:pPr>
        <w:pStyle w:val="FootnoteText"/>
        <w:ind w:left="567" w:hanging="567"/>
        <w:rPr>
          <w:sz w:val="24"/>
          <w:szCs w:val="24"/>
          <w:lang w:val="sv-SE"/>
        </w:rPr>
      </w:pPr>
      <w:r w:rsidRPr="007B7C15">
        <w:rPr>
          <w:rStyle w:val="FootnoteReference"/>
          <w:sz w:val="24"/>
          <w:szCs w:val="24"/>
          <w:lang w:val="sv-SE"/>
        </w:rPr>
        <w:footnoteRef/>
      </w:r>
      <w:r w:rsidR="000C4DFC" w:rsidRPr="007B7C15">
        <w:rPr>
          <w:sz w:val="24"/>
          <w:szCs w:val="24"/>
          <w:lang w:val="sv-SE"/>
        </w:rPr>
        <w:t xml:space="preserve"> </w:t>
      </w:r>
      <w:r w:rsidR="000C4DFC" w:rsidRPr="007B7C15">
        <w:rPr>
          <w:sz w:val="24"/>
          <w:szCs w:val="24"/>
          <w:lang w:val="sv-SE"/>
        </w:rPr>
        <w:tab/>
      </w:r>
      <w:r w:rsidRPr="007B7C15">
        <w:rPr>
          <w:sz w:val="24"/>
          <w:szCs w:val="24"/>
          <w:lang w:val="sv-SE"/>
        </w:rPr>
        <w:t>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 (EUT L 193, 30.7.2018, s. 1).</w:t>
      </w:r>
    </w:p>
  </w:footnote>
  <w:footnote w:id="14">
    <w:p w:rsidR="00793227" w:rsidRPr="006B2378" w:rsidRDefault="00793227" w:rsidP="000C4DFC">
      <w:pPr>
        <w:pStyle w:val="FootnoteText"/>
        <w:ind w:left="567" w:hanging="567"/>
        <w:rPr>
          <w:sz w:val="24"/>
          <w:szCs w:val="24"/>
          <w:lang w:val="sv-SE"/>
        </w:rPr>
      </w:pPr>
      <w:r w:rsidRPr="007B7C15">
        <w:rPr>
          <w:rStyle w:val="FootnoteReference"/>
          <w:sz w:val="24"/>
          <w:szCs w:val="24"/>
          <w:lang w:val="sv-SE"/>
        </w:rPr>
        <w:footnoteRef/>
      </w:r>
      <w:r w:rsidR="000C4DFC" w:rsidRPr="007B7C15">
        <w:rPr>
          <w:sz w:val="24"/>
          <w:szCs w:val="24"/>
          <w:lang w:val="sv-SE"/>
        </w:rPr>
        <w:t xml:space="preserve"> </w:t>
      </w:r>
      <w:r w:rsidR="000C4DFC" w:rsidRPr="007B7C15">
        <w:rPr>
          <w:sz w:val="24"/>
          <w:szCs w:val="24"/>
          <w:lang w:val="sv-SE"/>
        </w:rPr>
        <w:tab/>
      </w:r>
      <w:r w:rsidRPr="007B7C15">
        <w:rPr>
          <w:sz w:val="24"/>
          <w:szCs w:val="24"/>
          <w:lang w:val="sv-SE"/>
        </w:rPr>
        <w:t>Antagna texter, P9_TA(2024)0</w:t>
      </w:r>
      <w:r w:rsidR="007B7C15" w:rsidRPr="007B7C15">
        <w:rPr>
          <w:sz w:val="24"/>
          <w:szCs w:val="24"/>
          <w:lang w:val="sv-SE"/>
        </w:rPr>
        <w:t>280</w:t>
      </w:r>
      <w:r w:rsidRPr="007B7C15">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4D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4D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4D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SV"/>
    <w:docVar w:name="dvnumam" w:val="0"/>
    <w:docVar w:name="dvpe" w:val="753.518"/>
    <w:docVar w:name="dvrapporteur" w:val="Föredragande: "/>
    <w:docVar w:name="dvtitre" w:val="Europaparlamentets beslut av den xx xx 2024 om ansvarsfrihet för genomförandet av budgeten för Europeiska fiskerikontrollbyrån för budgetåret 2022(2023/2150(DEC))"/>
  </w:docVars>
  <w:rsids>
    <w:rsidRoot w:val="00720A21"/>
    <w:rsid w:val="00002272"/>
    <w:rsid w:val="00064002"/>
    <w:rsid w:val="000677B9"/>
    <w:rsid w:val="000831BA"/>
    <w:rsid w:val="000A42CC"/>
    <w:rsid w:val="000C4DF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0F2"/>
    <w:rsid w:val="00560270"/>
    <w:rsid w:val="005C2568"/>
    <w:rsid w:val="005C644E"/>
    <w:rsid w:val="006037C0"/>
    <w:rsid w:val="006631B6"/>
    <w:rsid w:val="00680577"/>
    <w:rsid w:val="006B2378"/>
    <w:rsid w:val="006F74FA"/>
    <w:rsid w:val="00720A21"/>
    <w:rsid w:val="00731ADD"/>
    <w:rsid w:val="00734777"/>
    <w:rsid w:val="00747932"/>
    <w:rsid w:val="00751A4A"/>
    <w:rsid w:val="00756632"/>
    <w:rsid w:val="00762C74"/>
    <w:rsid w:val="00786EC0"/>
    <w:rsid w:val="00793227"/>
    <w:rsid w:val="007B7C15"/>
    <w:rsid w:val="007D1690"/>
    <w:rsid w:val="007E22AD"/>
    <w:rsid w:val="00817416"/>
    <w:rsid w:val="00842779"/>
    <w:rsid w:val="00865F67"/>
    <w:rsid w:val="00881A7B"/>
    <w:rsid w:val="008840E5"/>
    <w:rsid w:val="008856DF"/>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C38038"/>
  <w15:chartTrackingRefBased/>
  <w15:docId w15:val="{18F41A9C-FFFA-40E7-B0D4-C2D7C1EC7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9322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93227"/>
    <w:pPr>
      <w:spacing w:before="480" w:after="240"/>
    </w:pPr>
  </w:style>
  <w:style w:type="paragraph" w:customStyle="1" w:styleId="PageHeading">
    <w:name w:val="PageHeading"/>
    <w:basedOn w:val="Normal"/>
    <w:rsid w:val="00793227"/>
    <w:pPr>
      <w:keepNext/>
      <w:spacing w:after="480"/>
      <w:jc w:val="center"/>
    </w:pPr>
    <w:rPr>
      <w:rFonts w:ascii="Arial" w:hAnsi="Arial" w:cs="Arial"/>
      <w:b/>
    </w:rPr>
  </w:style>
  <w:style w:type="paragraph" w:customStyle="1" w:styleId="NormalBold">
    <w:name w:val="NormalBold"/>
    <w:basedOn w:val="Normal"/>
    <w:rsid w:val="00793227"/>
    <w:rPr>
      <w:b/>
    </w:rPr>
  </w:style>
  <w:style w:type="paragraph" w:customStyle="1" w:styleId="NormalHanging12a">
    <w:name w:val="NormalHanging12a"/>
    <w:basedOn w:val="Normal"/>
    <w:link w:val="NormalHanging12aChar"/>
    <w:rsid w:val="00793227"/>
    <w:pPr>
      <w:spacing w:after="240"/>
      <w:ind w:left="567" w:hanging="567"/>
    </w:pPr>
  </w:style>
  <w:style w:type="paragraph" w:customStyle="1" w:styleId="NormalCenter12a">
    <w:name w:val="NormalCenter12a"/>
    <w:basedOn w:val="Normal"/>
    <w:rsid w:val="00793227"/>
    <w:pPr>
      <w:spacing w:after="240"/>
      <w:jc w:val="center"/>
    </w:pPr>
  </w:style>
  <w:style w:type="paragraph" w:styleId="Header">
    <w:name w:val="header"/>
    <w:basedOn w:val="Normal"/>
    <w:link w:val="HeaderChar"/>
    <w:rsid w:val="00793227"/>
    <w:pPr>
      <w:tabs>
        <w:tab w:val="center" w:pos="4513"/>
        <w:tab w:val="right" w:pos="9026"/>
      </w:tabs>
    </w:pPr>
  </w:style>
  <w:style w:type="character" w:customStyle="1" w:styleId="HeaderChar">
    <w:name w:val="Header Char"/>
    <w:basedOn w:val="DefaultParagraphFont"/>
    <w:link w:val="Header"/>
    <w:rsid w:val="00793227"/>
    <w:rPr>
      <w:sz w:val="24"/>
      <w:lang w:val="sv-SE"/>
    </w:rPr>
  </w:style>
  <w:style w:type="paragraph" w:customStyle="1" w:styleId="EPFooter">
    <w:name w:val="EPFooter"/>
    <w:basedOn w:val="Normal"/>
    <w:rsid w:val="0079322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93227"/>
    <w:rPr>
      <w:sz w:val="24"/>
      <w:lang w:val="sv-SE"/>
    </w:rPr>
  </w:style>
  <w:style w:type="paragraph" w:styleId="BalloonText">
    <w:name w:val="Balloon Text"/>
    <w:basedOn w:val="Normal"/>
    <w:link w:val="BalloonTextChar"/>
    <w:rsid w:val="005C644E"/>
    <w:rPr>
      <w:rFonts w:ascii="Segoe UI" w:hAnsi="Segoe UI" w:cs="Segoe UI"/>
      <w:sz w:val="18"/>
      <w:szCs w:val="18"/>
    </w:rPr>
  </w:style>
  <w:style w:type="character" w:customStyle="1" w:styleId="BalloonTextChar">
    <w:name w:val="Balloon Text Char"/>
    <w:basedOn w:val="DefaultParagraphFont"/>
    <w:link w:val="BalloonText"/>
    <w:rsid w:val="005C644E"/>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7F004-9B9E-4BD9-8EB1-C1BF901E6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3494</Words>
  <Characters>22932</Characters>
  <Application>Microsoft Office Word</Application>
  <DocSecurity>0</DocSecurity>
  <Lines>468</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2024-04-11T12:58:00Z</dcterms:created>
  <dcterms:modified xsi:type="dcterms:W3CDTF">2024-04-11T12:58:00Z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A9-0100/2024</vt:lpwstr>
  </property>
  <property fmtid="{D5CDD505-2E9C-101B-9397-08002B2CF9AE}" pid="4" name="&lt;Type&gt;">
    <vt:lpwstr>RR</vt:lpwstr>
  </property>
</Properties>
</file>