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099B" w:rsidTr="0010095E">
        <w:trPr>
          <w:trHeight w:hRule="exact" w:val="1418"/>
        </w:trPr>
        <w:tc>
          <w:tcPr>
            <w:tcW w:w="6804" w:type="dxa"/>
            <w:shd w:val="clear" w:color="auto" w:fill="auto"/>
            <w:vAlign w:val="center"/>
          </w:tcPr>
          <w:p w:rsidR="00751A4A" w:rsidRPr="0031099B" w:rsidRDefault="00A96352" w:rsidP="0010095E">
            <w:pPr>
              <w:pStyle w:val="EPName"/>
            </w:pPr>
            <w:r w:rsidRPr="0031099B">
              <w:t>Европейски</w:t>
            </w:r>
            <w:r w:rsidR="00F33D1C" w:rsidRPr="0031099B">
              <w:t xml:space="preserve"> парламент</w:t>
            </w:r>
          </w:p>
          <w:p w:rsidR="00751A4A" w:rsidRPr="0031099B" w:rsidRDefault="00A96352" w:rsidP="00756632">
            <w:pPr>
              <w:pStyle w:val="EPTerm"/>
              <w:rPr>
                <w:rStyle w:val="HideTWBExt"/>
                <w:noProof w:val="0"/>
                <w:vanish w:val="0"/>
                <w:color w:val="auto"/>
              </w:rPr>
            </w:pPr>
            <w:r>
              <w:t>2019 – </w:t>
            </w:r>
            <w:r w:rsidR="00817416" w:rsidRPr="0031099B">
              <w:t>2024</w:t>
            </w:r>
          </w:p>
        </w:tc>
        <w:tc>
          <w:tcPr>
            <w:tcW w:w="2268" w:type="dxa"/>
            <w:shd w:val="clear" w:color="auto" w:fill="auto"/>
          </w:tcPr>
          <w:p w:rsidR="00751A4A" w:rsidRPr="0031099B" w:rsidRDefault="00187494" w:rsidP="0010095E">
            <w:pPr>
              <w:pStyle w:val="EPLogo"/>
            </w:pPr>
            <w:r w:rsidRPr="003109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099B" w:rsidRDefault="00D058B8" w:rsidP="004C5D52">
      <w:pPr>
        <w:pStyle w:val="LineTop"/>
      </w:pPr>
    </w:p>
    <w:p w:rsidR="00680577" w:rsidRPr="0031099B" w:rsidRDefault="00F33D1C" w:rsidP="00680577">
      <w:pPr>
        <w:pStyle w:val="EPBodyTA1"/>
      </w:pPr>
      <w:r w:rsidRPr="0031099B">
        <w:t>ПРИЕТИ ТЕКСТОВЕ</w:t>
      </w:r>
    </w:p>
    <w:p w:rsidR="00D058B8" w:rsidRPr="0031099B" w:rsidRDefault="00D058B8" w:rsidP="00D058B8">
      <w:pPr>
        <w:pStyle w:val="LineBottom"/>
      </w:pPr>
    </w:p>
    <w:p w:rsidR="00F33D1C" w:rsidRPr="0031099B" w:rsidRDefault="00F33D1C" w:rsidP="00F33D1C">
      <w:pPr>
        <w:pStyle w:val="ATHeading1"/>
      </w:pPr>
      <w:bookmarkStart w:id="0" w:name="TANumber"/>
      <w:r w:rsidRPr="0031099B">
        <w:t>P9_TA(2024)0</w:t>
      </w:r>
      <w:r w:rsidR="00605D9C">
        <w:rPr>
          <w:lang w:val="en-GB"/>
        </w:rPr>
        <w:t>258</w:t>
      </w:r>
      <w:bookmarkEnd w:id="0"/>
    </w:p>
    <w:p w:rsidR="00F33D1C" w:rsidRPr="0031099B" w:rsidRDefault="00F33D1C" w:rsidP="00F33D1C">
      <w:pPr>
        <w:pStyle w:val="ATHeading2"/>
      </w:pPr>
      <w:bookmarkStart w:id="1" w:name="title"/>
      <w:r w:rsidRPr="0031099B">
        <w:t>Освобождаване от отговорност във връзка с изпълнението на бюджета за 2022 г.: Европейска агенция по химикали</w:t>
      </w:r>
      <w:bookmarkEnd w:id="1"/>
    </w:p>
    <w:p w:rsidR="00F33D1C" w:rsidRPr="0031099B" w:rsidRDefault="00F33D1C" w:rsidP="00F33D1C">
      <w:pPr>
        <w:rPr>
          <w:i/>
          <w:vanish/>
        </w:rPr>
      </w:pPr>
      <w:r w:rsidRPr="0031099B">
        <w:rPr>
          <w:i/>
        </w:rPr>
        <w:fldChar w:fldCharType="begin"/>
      </w:r>
      <w:r w:rsidRPr="0031099B">
        <w:rPr>
          <w:i/>
        </w:rPr>
        <w:instrText xml:space="preserve"> TC"(</w:instrText>
      </w:r>
      <w:bookmarkStart w:id="2" w:name="DocNumber"/>
      <w:r w:rsidRPr="0031099B">
        <w:rPr>
          <w:i/>
        </w:rPr>
        <w:instrText>A9-0135/2024</w:instrText>
      </w:r>
      <w:bookmarkEnd w:id="2"/>
      <w:r w:rsidRPr="0031099B">
        <w:rPr>
          <w:i/>
        </w:rPr>
        <w:instrText xml:space="preserve"> - Докладчик: </w:instrText>
      </w:r>
      <w:proofErr w:type="spellStart"/>
      <w:r w:rsidRPr="0031099B">
        <w:rPr>
          <w:i/>
        </w:rPr>
        <w:instrText>Петри</w:instrText>
      </w:r>
      <w:proofErr w:type="spellEnd"/>
      <w:r w:rsidRPr="0031099B">
        <w:rPr>
          <w:i/>
        </w:rPr>
        <w:instrText xml:space="preserve"> </w:instrText>
      </w:r>
      <w:proofErr w:type="spellStart"/>
      <w:r w:rsidRPr="0031099B">
        <w:rPr>
          <w:i/>
        </w:rPr>
        <w:instrText>Сарвама</w:instrText>
      </w:r>
      <w:proofErr w:type="spellEnd"/>
      <w:r w:rsidRPr="0031099B">
        <w:rPr>
          <w:i/>
        </w:rPr>
        <w:instrText xml:space="preserve">)"\l3 \n&gt; \* MERGEFORMAT </w:instrText>
      </w:r>
      <w:r w:rsidRPr="0031099B">
        <w:rPr>
          <w:i/>
        </w:rPr>
        <w:fldChar w:fldCharType="end"/>
      </w:r>
    </w:p>
    <w:p w:rsidR="00F33D1C" w:rsidRPr="0031099B" w:rsidRDefault="00F33D1C" w:rsidP="00F33D1C">
      <w:pPr>
        <w:rPr>
          <w:vanish/>
        </w:rPr>
      </w:pPr>
      <w:bookmarkStart w:id="3" w:name="Commission"/>
      <w:r w:rsidRPr="0031099B">
        <w:rPr>
          <w:vanish/>
        </w:rPr>
        <w:t>Комисия по бюджетен контрол</w:t>
      </w:r>
      <w:bookmarkEnd w:id="3"/>
    </w:p>
    <w:p w:rsidR="00F33D1C" w:rsidRPr="0031099B" w:rsidRDefault="00F33D1C" w:rsidP="00F33D1C">
      <w:pPr>
        <w:rPr>
          <w:vanish/>
        </w:rPr>
      </w:pPr>
      <w:bookmarkStart w:id="4" w:name="PE"/>
      <w:r w:rsidRPr="0031099B">
        <w:rPr>
          <w:vanish/>
        </w:rPr>
        <w:t>PE753.516</w:t>
      </w:r>
      <w:bookmarkEnd w:id="4"/>
    </w:p>
    <w:p w:rsidR="00F33D1C" w:rsidRPr="0031099B" w:rsidRDefault="00A96352" w:rsidP="00A96352">
      <w:pPr>
        <w:pStyle w:val="ATHeading3"/>
      </w:pPr>
      <w:bookmarkStart w:id="5" w:name="Sujet"/>
      <w:r>
        <w:t xml:space="preserve">1. </w:t>
      </w:r>
      <w:r w:rsidR="00F33D1C" w:rsidRPr="0031099B">
        <w:t xml:space="preserve">Решение на Европейския парламент от </w:t>
      </w:r>
      <w:r>
        <w:t xml:space="preserve">11 април </w:t>
      </w:r>
      <w:r w:rsidR="00F33D1C" w:rsidRPr="0031099B">
        <w:t>2024 г. относно освобождаването от отговорност във връзка с изпълнението на бюджета на Европейската агенция по химикали за финансовата 2022 година</w:t>
      </w:r>
      <w:bookmarkEnd w:id="5"/>
      <w:r w:rsidR="00F33D1C" w:rsidRPr="0031099B">
        <w:t xml:space="preserve"> </w:t>
      </w:r>
      <w:bookmarkStart w:id="6" w:name="References"/>
      <w:r w:rsidR="00F33D1C" w:rsidRPr="0031099B">
        <w:t>(2023/2148(DEC))</w:t>
      </w:r>
      <w:bookmarkEnd w:id="6"/>
    </w:p>
    <w:p w:rsidR="008159B5" w:rsidRPr="0031099B" w:rsidRDefault="008159B5" w:rsidP="008159B5">
      <w:pPr>
        <w:pStyle w:val="EPComma"/>
      </w:pPr>
      <w:bookmarkStart w:id="7" w:name="TextBodyBegin"/>
      <w:bookmarkEnd w:id="7"/>
      <w:r w:rsidRPr="0031099B">
        <w:rPr>
          <w:i/>
        </w:rPr>
        <w:t>Европейският парламент</w:t>
      </w:r>
      <w:r w:rsidRPr="0031099B">
        <w:t>,</w:t>
      </w:r>
    </w:p>
    <w:p w:rsidR="008159B5" w:rsidRPr="0031099B" w:rsidRDefault="008159B5" w:rsidP="008159B5">
      <w:pPr>
        <w:pStyle w:val="NormalHanging12a"/>
      </w:pPr>
      <w:r w:rsidRPr="0031099B">
        <w:t>–</w:t>
      </w:r>
      <w:r w:rsidRPr="0031099B">
        <w:tab/>
        <w:t>като взе предвид окончателните годишни отчети на Европейската агенция по химикали за финансовата 2022 година,</w:t>
      </w:r>
    </w:p>
    <w:p w:rsidR="008159B5" w:rsidRPr="0031099B" w:rsidRDefault="008159B5" w:rsidP="008159B5">
      <w:pPr>
        <w:pStyle w:val="NormalHanging12a"/>
      </w:pPr>
      <w:r w:rsidRPr="0031099B">
        <w:t>–</w:t>
      </w:r>
      <w:r w:rsidRPr="0031099B">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31099B">
        <w:rPr>
          <w:rStyle w:val="FootnoteReference"/>
        </w:rPr>
        <w:footnoteReference w:id="1"/>
      </w:r>
      <w:r w:rsidRPr="0031099B">
        <w:t>,</w:t>
      </w:r>
    </w:p>
    <w:p w:rsidR="008159B5" w:rsidRPr="0031099B" w:rsidRDefault="008159B5" w:rsidP="008159B5">
      <w:pPr>
        <w:pStyle w:val="NormalHanging12a"/>
      </w:pPr>
      <w:r w:rsidRPr="0031099B">
        <w:t>–</w:t>
      </w:r>
      <w:r w:rsidRPr="0031099B">
        <w:tab/>
        <w:t>като взе предвид декларацията за достоверност</w:t>
      </w:r>
      <w:r w:rsidRPr="0031099B">
        <w:rPr>
          <w:rStyle w:val="FootnoteReference"/>
        </w:rPr>
        <w:footnoteReference w:id="2"/>
      </w:r>
      <w:r w:rsidRPr="0031099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159B5" w:rsidRPr="0031099B" w:rsidRDefault="008159B5" w:rsidP="008159B5">
      <w:pPr>
        <w:pStyle w:val="NormalHanging12a"/>
      </w:pPr>
      <w:r w:rsidRPr="0031099B">
        <w:t>–</w:t>
      </w:r>
      <w:r w:rsidRPr="0031099B">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DA6D4C" w:rsidRPr="00DA6D4C">
        <w:t>006180</w:t>
      </w:r>
      <w:r w:rsidRPr="0031099B">
        <w:t>/2024 – C9</w:t>
      </w:r>
      <w:r w:rsidRPr="0031099B">
        <w:noBreakHyphen/>
      </w:r>
      <w:r w:rsidR="00DA6D4C" w:rsidRPr="00DA6D4C">
        <w:t>0086</w:t>
      </w:r>
      <w:r w:rsidRPr="0031099B">
        <w:t>/2024),</w:t>
      </w:r>
    </w:p>
    <w:p w:rsidR="008159B5" w:rsidRPr="0031099B" w:rsidRDefault="008159B5" w:rsidP="008159B5">
      <w:pPr>
        <w:pStyle w:val="NormalHanging12a"/>
      </w:pPr>
      <w:r w:rsidRPr="0031099B">
        <w:t>–</w:t>
      </w:r>
      <w:r w:rsidRPr="0031099B">
        <w:tab/>
        <w:t>като взе предвид член 319 от Договора за функционирането на Европейския съюз,</w:t>
      </w:r>
    </w:p>
    <w:p w:rsidR="008159B5" w:rsidRPr="0031099B" w:rsidRDefault="008159B5" w:rsidP="008159B5">
      <w:pPr>
        <w:pStyle w:val="NormalHanging12a"/>
      </w:pPr>
      <w:r w:rsidRPr="0031099B">
        <w:t>–</w:t>
      </w:r>
      <w:r w:rsidRPr="0031099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31099B">
        <w:rPr>
          <w:rStyle w:val="FootnoteReference"/>
        </w:rPr>
        <w:footnoteReference w:id="3"/>
      </w:r>
      <w:r w:rsidRPr="0031099B">
        <w:t>, и по-специално член 70 от него,</w:t>
      </w:r>
    </w:p>
    <w:p w:rsidR="008159B5" w:rsidRPr="0031099B" w:rsidRDefault="008159B5" w:rsidP="008159B5">
      <w:pPr>
        <w:pStyle w:val="NormalHanging12a"/>
      </w:pPr>
      <w:r w:rsidRPr="0031099B">
        <w:lastRenderedPageBreak/>
        <w:t>–</w:t>
      </w:r>
      <w:r w:rsidRPr="0031099B">
        <w:tab/>
        <w:t>като взе предвид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w:t>
      </w:r>
      <w:r w:rsidRPr="0031099B">
        <w:rPr>
          <w:rStyle w:val="FootnoteReference"/>
        </w:rPr>
        <w:footnoteReference w:id="4"/>
      </w:r>
      <w:r w:rsidRPr="0031099B">
        <w:t xml:space="preserve"> на Комисията, и по-специално член 97 от него,</w:t>
      </w:r>
    </w:p>
    <w:p w:rsidR="008159B5" w:rsidRPr="0031099B" w:rsidRDefault="008159B5" w:rsidP="008159B5">
      <w:pPr>
        <w:pStyle w:val="NormalHanging12a"/>
      </w:pPr>
      <w:r w:rsidRPr="0031099B">
        <w:t>–</w:t>
      </w:r>
      <w:r w:rsidRPr="0031099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31099B">
        <w:rPr>
          <w:rStyle w:val="FootnoteReference"/>
        </w:rPr>
        <w:footnoteReference w:id="5"/>
      </w:r>
      <w:r w:rsidRPr="0031099B">
        <w:t>, и по-специално член 105 от него,</w:t>
      </w:r>
    </w:p>
    <w:p w:rsidR="008159B5" w:rsidRPr="0031099B" w:rsidRDefault="008159B5" w:rsidP="008159B5">
      <w:pPr>
        <w:pStyle w:val="NormalHanging12a"/>
      </w:pPr>
      <w:r w:rsidRPr="0031099B">
        <w:t>–</w:t>
      </w:r>
      <w:r w:rsidRPr="0031099B">
        <w:tab/>
        <w:t>като взе предвид член 100 и приложение V към своя Правилник за дейността,</w:t>
      </w:r>
    </w:p>
    <w:p w:rsidR="008159B5" w:rsidRPr="0031099B" w:rsidRDefault="008159B5" w:rsidP="008159B5">
      <w:pPr>
        <w:pStyle w:val="NormalHanging12a"/>
      </w:pPr>
      <w:r w:rsidRPr="0031099B">
        <w:t>–</w:t>
      </w:r>
      <w:r w:rsidRPr="0031099B">
        <w:tab/>
        <w:t>като взе предвид становището на комисията по околна среда, обществено здраве и безопасност на храните,</w:t>
      </w:r>
    </w:p>
    <w:p w:rsidR="008159B5" w:rsidRPr="0031099B" w:rsidRDefault="008159B5" w:rsidP="008159B5">
      <w:pPr>
        <w:pStyle w:val="NormalHanging12a"/>
      </w:pPr>
      <w:r w:rsidRPr="0031099B">
        <w:t>–</w:t>
      </w:r>
      <w:r w:rsidRPr="0031099B">
        <w:tab/>
        <w:t>като взе предвид доклада на комисията по бюджетен контрол (A9-0135/2024),</w:t>
      </w:r>
    </w:p>
    <w:p w:rsidR="008159B5" w:rsidRPr="0031099B" w:rsidRDefault="008159B5" w:rsidP="008159B5">
      <w:pPr>
        <w:pStyle w:val="NormalHanging12a"/>
      </w:pPr>
      <w:r w:rsidRPr="0031099B">
        <w:t>1.</w:t>
      </w:r>
      <w:r w:rsidRPr="0031099B">
        <w:tab/>
        <w:t>освобождава от отговорност изпълнителния директор на Европейската агенция по химикали във връзка с изпълнението на бюджета на Агенцията за финансовата 2022 година;</w:t>
      </w:r>
    </w:p>
    <w:p w:rsidR="008159B5" w:rsidRPr="0031099B" w:rsidRDefault="008159B5" w:rsidP="008159B5">
      <w:pPr>
        <w:pStyle w:val="NormalHanging12a"/>
      </w:pPr>
      <w:r w:rsidRPr="0031099B">
        <w:t>2.</w:t>
      </w:r>
      <w:r w:rsidRPr="0031099B">
        <w:tab/>
        <w:t>представя своите забележки в резолюцията по-долу;</w:t>
      </w:r>
    </w:p>
    <w:p w:rsidR="008159B5" w:rsidRPr="0031099B" w:rsidRDefault="008159B5" w:rsidP="008159B5">
      <w:pPr>
        <w:pStyle w:val="NormalHanging12a"/>
      </w:pPr>
      <w:r w:rsidRPr="0031099B">
        <w:t>3.</w:t>
      </w:r>
      <w:r w:rsidRPr="0031099B">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по химикали, на Съвета, Комисията и Сметната палата и да осигури публикуването им в </w:t>
      </w:r>
      <w:r w:rsidRPr="0031099B">
        <w:rPr>
          <w:i/>
        </w:rPr>
        <w:t>Официален вестник на Европейския съюз</w:t>
      </w:r>
      <w:r w:rsidRPr="0031099B">
        <w:t xml:space="preserve"> (серия L).</w:t>
      </w:r>
    </w:p>
    <w:p w:rsidR="008159B5" w:rsidRPr="0031099B" w:rsidRDefault="008159B5" w:rsidP="008159B5"/>
    <w:p w:rsidR="008159B5" w:rsidRPr="0031099B" w:rsidRDefault="008159B5" w:rsidP="008159B5">
      <w:pPr>
        <w:widowControl/>
        <w:rPr>
          <w:rFonts w:ascii="Arial" w:hAnsi="Arial" w:cs="Arial"/>
          <w:b/>
        </w:rPr>
        <w:sectPr w:rsidR="008159B5" w:rsidRPr="0031099B" w:rsidSect="0031099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159B5" w:rsidRPr="0031099B" w:rsidRDefault="008159B5" w:rsidP="00A96352">
      <w:pPr>
        <w:pStyle w:val="ATHeading3"/>
      </w:pPr>
      <w:bookmarkStart w:id="8" w:name="_Toc146724132"/>
      <w:bookmarkStart w:id="9" w:name="_Toc161847058"/>
      <w:r w:rsidRPr="0031099B">
        <w:lastRenderedPageBreak/>
        <w:t xml:space="preserve">2. </w:t>
      </w:r>
      <w:bookmarkEnd w:id="8"/>
      <w:bookmarkEnd w:id="9"/>
      <w:r w:rsidR="00A96352">
        <w:t xml:space="preserve">Решение на Европейския парламент от 11 април 2024 г. </w:t>
      </w:r>
      <w:r w:rsidRPr="0031099B">
        <w:t>относно приключването на сметките на Европейската агенция по химикали за финансовата 2022 година</w:t>
      </w:r>
      <w:r w:rsidR="00A96352">
        <w:t xml:space="preserve"> (2023</w:t>
      </w:r>
      <w:r w:rsidRPr="0031099B">
        <w:t>/2148(DEC))</w:t>
      </w:r>
    </w:p>
    <w:p w:rsidR="008159B5" w:rsidRPr="0031099B" w:rsidRDefault="008159B5" w:rsidP="008159B5">
      <w:pPr>
        <w:pStyle w:val="EPComma"/>
      </w:pPr>
      <w:r w:rsidRPr="0031099B">
        <w:rPr>
          <w:i/>
        </w:rPr>
        <w:t>Европейският парламент</w:t>
      </w:r>
      <w:r w:rsidRPr="0031099B">
        <w:t>,</w:t>
      </w:r>
    </w:p>
    <w:p w:rsidR="008159B5" w:rsidRPr="0031099B" w:rsidRDefault="008159B5" w:rsidP="008159B5">
      <w:pPr>
        <w:pStyle w:val="NormalHanging12a"/>
      </w:pPr>
      <w:r w:rsidRPr="0031099B">
        <w:t>–</w:t>
      </w:r>
      <w:r w:rsidRPr="0031099B">
        <w:tab/>
        <w:t>като взе предвид окончателните годишни отчети на Европейската агенция по химикали за финансовата 2022 година,</w:t>
      </w:r>
    </w:p>
    <w:p w:rsidR="008159B5" w:rsidRPr="0031099B" w:rsidRDefault="008159B5" w:rsidP="008159B5">
      <w:pPr>
        <w:pStyle w:val="NormalHanging12a"/>
      </w:pPr>
      <w:r w:rsidRPr="0031099B">
        <w:t>–</w:t>
      </w:r>
      <w:r w:rsidRPr="0031099B">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31099B">
        <w:rPr>
          <w:rStyle w:val="FootnoteReference"/>
        </w:rPr>
        <w:footnoteReference w:id="6"/>
      </w:r>
      <w:r w:rsidRPr="0031099B">
        <w:t>,</w:t>
      </w:r>
    </w:p>
    <w:p w:rsidR="008159B5" w:rsidRPr="0031099B" w:rsidRDefault="008159B5" w:rsidP="008159B5">
      <w:pPr>
        <w:pStyle w:val="NormalHanging12a"/>
      </w:pPr>
      <w:r w:rsidRPr="0031099B">
        <w:t>–</w:t>
      </w:r>
      <w:r w:rsidRPr="0031099B">
        <w:tab/>
        <w:t>като взе предвид декларацията за достоверност</w:t>
      </w:r>
      <w:r w:rsidRPr="0031099B">
        <w:rPr>
          <w:rStyle w:val="FootnoteReference"/>
        </w:rPr>
        <w:footnoteReference w:id="7"/>
      </w:r>
      <w:r w:rsidRPr="0031099B">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159B5" w:rsidRPr="0031099B" w:rsidRDefault="008159B5" w:rsidP="008159B5">
      <w:pPr>
        <w:pStyle w:val="NormalHanging12a"/>
      </w:pPr>
      <w:r w:rsidRPr="0031099B">
        <w:t>–</w:t>
      </w:r>
      <w:r w:rsidRPr="0031099B">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DA6D4C" w:rsidRPr="00DA6D4C">
        <w:t>06180</w:t>
      </w:r>
      <w:r w:rsidRPr="0031099B">
        <w:t>/2024 – C9</w:t>
      </w:r>
      <w:r w:rsidRPr="0031099B">
        <w:noBreakHyphen/>
      </w:r>
      <w:r w:rsidR="00DA6D4C" w:rsidRPr="00DA6D4C">
        <w:t>0086</w:t>
      </w:r>
      <w:r w:rsidRPr="0031099B">
        <w:t>/2024),</w:t>
      </w:r>
    </w:p>
    <w:p w:rsidR="008159B5" w:rsidRPr="0031099B" w:rsidRDefault="008159B5" w:rsidP="008159B5">
      <w:pPr>
        <w:pStyle w:val="NormalHanging12a"/>
      </w:pPr>
      <w:r w:rsidRPr="0031099B">
        <w:t>–</w:t>
      </w:r>
      <w:r w:rsidRPr="0031099B">
        <w:tab/>
        <w:t>като взе предвид член 319 от Договора за функционирането на Европейския съюз,</w:t>
      </w:r>
    </w:p>
    <w:p w:rsidR="008159B5" w:rsidRPr="0031099B" w:rsidRDefault="008159B5" w:rsidP="008159B5">
      <w:pPr>
        <w:pStyle w:val="NormalHanging12a"/>
      </w:pPr>
      <w:r w:rsidRPr="0031099B">
        <w:t>–</w:t>
      </w:r>
      <w:r w:rsidRPr="0031099B">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31099B">
        <w:rPr>
          <w:rStyle w:val="FootnoteReference"/>
        </w:rPr>
        <w:footnoteReference w:id="8"/>
      </w:r>
      <w:r w:rsidRPr="0031099B">
        <w:t>, и по-специално член 70 от него,</w:t>
      </w:r>
    </w:p>
    <w:p w:rsidR="008159B5" w:rsidRPr="0031099B" w:rsidRDefault="008159B5" w:rsidP="008159B5">
      <w:pPr>
        <w:pStyle w:val="NormalHanging12a"/>
      </w:pPr>
      <w:r w:rsidRPr="0031099B">
        <w:t>–</w:t>
      </w:r>
      <w:r w:rsidRPr="0031099B">
        <w:tab/>
        <w:t>като взе предвид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w:t>
      </w:r>
      <w:r w:rsidRPr="0031099B">
        <w:rPr>
          <w:rStyle w:val="FootnoteReference"/>
        </w:rPr>
        <w:footnoteReference w:id="9"/>
      </w:r>
      <w:r w:rsidRPr="0031099B">
        <w:t xml:space="preserve"> на Комисията, и по-специално член 97 от него,</w:t>
      </w:r>
    </w:p>
    <w:p w:rsidR="008159B5" w:rsidRPr="0031099B" w:rsidRDefault="008159B5" w:rsidP="008159B5">
      <w:pPr>
        <w:pStyle w:val="NormalHanging12a"/>
      </w:pPr>
      <w:r w:rsidRPr="0031099B">
        <w:t>–</w:t>
      </w:r>
      <w:r w:rsidRPr="0031099B">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31099B">
        <w:rPr>
          <w:rStyle w:val="FootnoteReference"/>
        </w:rPr>
        <w:footnoteReference w:id="10"/>
      </w:r>
      <w:r w:rsidRPr="0031099B">
        <w:t>, и по-специално член 105 от него,</w:t>
      </w:r>
    </w:p>
    <w:p w:rsidR="008159B5" w:rsidRPr="0031099B" w:rsidRDefault="008159B5" w:rsidP="008159B5">
      <w:pPr>
        <w:pStyle w:val="NormalHanging12a"/>
      </w:pPr>
      <w:r w:rsidRPr="0031099B">
        <w:t>–</w:t>
      </w:r>
      <w:r w:rsidRPr="0031099B">
        <w:tab/>
        <w:t>като взе предвид член 100 и приложение V към своя Правилник за дейността,</w:t>
      </w:r>
    </w:p>
    <w:p w:rsidR="008159B5" w:rsidRPr="0031099B" w:rsidRDefault="008159B5" w:rsidP="008159B5">
      <w:pPr>
        <w:pStyle w:val="NormalHanging12a"/>
      </w:pPr>
      <w:r w:rsidRPr="0031099B">
        <w:lastRenderedPageBreak/>
        <w:t>–</w:t>
      </w:r>
      <w:r w:rsidRPr="0031099B">
        <w:tab/>
        <w:t>като взе предвид становището на комисията по околна среда, обществено здраве и безопасност на храните,</w:t>
      </w:r>
    </w:p>
    <w:p w:rsidR="008159B5" w:rsidRPr="0031099B" w:rsidRDefault="008159B5" w:rsidP="008159B5">
      <w:pPr>
        <w:pStyle w:val="NormalHanging12a"/>
      </w:pPr>
      <w:r w:rsidRPr="0031099B">
        <w:t>–</w:t>
      </w:r>
      <w:r w:rsidRPr="0031099B">
        <w:tab/>
        <w:t>като взе предвид доклада на комисията по бюджетен контрол (A9-0135/2024),</w:t>
      </w:r>
    </w:p>
    <w:p w:rsidR="008159B5" w:rsidRPr="0031099B" w:rsidRDefault="008159B5" w:rsidP="008159B5">
      <w:pPr>
        <w:pStyle w:val="NormalHanging12a"/>
      </w:pPr>
      <w:r w:rsidRPr="0031099B">
        <w:t>1.</w:t>
      </w:r>
      <w:r w:rsidRPr="0031099B">
        <w:tab/>
        <w:t>одобрява приключването на сметките на Европейската агенция по химикали за финансовата 2022 година;</w:t>
      </w:r>
    </w:p>
    <w:p w:rsidR="008159B5" w:rsidRPr="0031099B" w:rsidRDefault="008159B5" w:rsidP="008159B5">
      <w:pPr>
        <w:pStyle w:val="NormalHanging12a"/>
      </w:pPr>
      <w:r w:rsidRPr="0031099B">
        <w:t>2.</w:t>
      </w:r>
      <w:r w:rsidRPr="0031099B">
        <w:tab/>
        <w:t xml:space="preserve">възлага на своя председател да предаде настоящото решение на изпълнителния директор на Европейската агенция по химикали, на Съвета, Комисията и Сметната палата и да осигури публикуването му в </w:t>
      </w:r>
      <w:r w:rsidRPr="0031099B">
        <w:rPr>
          <w:i/>
        </w:rPr>
        <w:t>Официален вестник на Европейския съюз</w:t>
      </w:r>
      <w:r w:rsidRPr="0031099B">
        <w:t xml:space="preserve"> (серия L).</w:t>
      </w:r>
    </w:p>
    <w:p w:rsidR="008159B5" w:rsidRPr="0031099B" w:rsidRDefault="008159B5" w:rsidP="008159B5"/>
    <w:p w:rsidR="008159B5" w:rsidRPr="0031099B" w:rsidRDefault="008159B5" w:rsidP="008159B5">
      <w:pPr>
        <w:widowControl/>
        <w:rPr>
          <w:rFonts w:ascii="Arial" w:hAnsi="Arial" w:cs="Arial"/>
          <w:b/>
        </w:rPr>
        <w:sectPr w:rsidR="008159B5" w:rsidRPr="0031099B" w:rsidSect="0031099B">
          <w:footnotePr>
            <w:numRestart w:val="eachPage"/>
          </w:footnotePr>
          <w:endnotePr>
            <w:numFmt w:val="decimal"/>
          </w:endnotePr>
          <w:pgSz w:w="11906" w:h="16838"/>
          <w:pgMar w:top="1134" w:right="1418" w:bottom="1418" w:left="1418" w:header="567" w:footer="567" w:gutter="0"/>
          <w:cols w:space="720"/>
          <w:docGrid w:linePitch="326"/>
        </w:sectPr>
      </w:pPr>
    </w:p>
    <w:p w:rsidR="008159B5" w:rsidRPr="0031099B" w:rsidRDefault="008159B5" w:rsidP="00A96352">
      <w:pPr>
        <w:pStyle w:val="ATHeading3"/>
      </w:pPr>
      <w:bookmarkStart w:id="10" w:name="_Toc146724133"/>
      <w:bookmarkStart w:id="11" w:name="_Toc161847059"/>
      <w:r w:rsidRPr="0031099B">
        <w:lastRenderedPageBreak/>
        <w:t xml:space="preserve">3. </w:t>
      </w:r>
      <w:bookmarkEnd w:id="10"/>
      <w:bookmarkEnd w:id="11"/>
      <w:r w:rsidR="00A96352">
        <w:t>Резолюция на Европейския парламент от 11 април 2024 г., съдържаща</w:t>
      </w:r>
      <w:r w:rsidRPr="0031099B">
        <w:t xml:space="preserve"> забележките, които са неразделна част от решението за освобождаване от отговорност във връзка с изпълнението на бюджета на Европейската агенция по химикали за финансовата 2022 година</w:t>
      </w:r>
      <w:r w:rsidR="00A96352">
        <w:t xml:space="preserve"> (2023</w:t>
      </w:r>
      <w:r w:rsidRPr="0031099B">
        <w:t>/2148(DEC))</w:t>
      </w:r>
    </w:p>
    <w:p w:rsidR="008159B5" w:rsidRPr="0031099B" w:rsidRDefault="008159B5" w:rsidP="008159B5">
      <w:pPr>
        <w:pStyle w:val="EPComma"/>
      </w:pPr>
      <w:r w:rsidRPr="0031099B">
        <w:rPr>
          <w:i/>
        </w:rPr>
        <w:t>Европейският парламент</w:t>
      </w:r>
      <w:r w:rsidRPr="0031099B">
        <w:t>,</w:t>
      </w:r>
    </w:p>
    <w:p w:rsidR="008159B5" w:rsidRPr="0031099B" w:rsidRDefault="008159B5" w:rsidP="008159B5">
      <w:pPr>
        <w:pStyle w:val="NormalHanging12a"/>
        <w:widowControl/>
      </w:pPr>
      <w:r w:rsidRPr="0031099B">
        <w:t>–</w:t>
      </w:r>
      <w:r w:rsidRPr="0031099B">
        <w:tab/>
        <w:t>като взе предвид своето решение за освобождаване от отговорност във връзка с изпълнението на бюджета на Европейската агенция по химикали за финансовата 2022 година,</w:t>
      </w:r>
    </w:p>
    <w:p w:rsidR="008159B5" w:rsidRPr="0031099B" w:rsidRDefault="008159B5" w:rsidP="008159B5">
      <w:pPr>
        <w:pStyle w:val="NormalHanging12a"/>
        <w:widowControl/>
      </w:pPr>
      <w:r w:rsidRPr="0031099B">
        <w:t>–</w:t>
      </w:r>
      <w:r w:rsidRPr="0031099B">
        <w:tab/>
        <w:t>като взе предвид член 100 и приложение V към своя Правилник за дейността,</w:t>
      </w:r>
    </w:p>
    <w:p w:rsidR="008159B5" w:rsidRPr="0031099B" w:rsidRDefault="008159B5" w:rsidP="008159B5">
      <w:pPr>
        <w:pStyle w:val="NormalHanging12a"/>
        <w:widowControl/>
      </w:pPr>
      <w:r w:rsidRPr="0031099B">
        <w:t>–</w:t>
      </w:r>
      <w:r w:rsidRPr="0031099B">
        <w:tab/>
        <w:t>като взе предвид становището на комисията по околна среда, обществено здраве и безопасност на храните,</w:t>
      </w:r>
    </w:p>
    <w:p w:rsidR="008159B5" w:rsidRPr="0031099B" w:rsidRDefault="008159B5" w:rsidP="008159B5">
      <w:pPr>
        <w:pStyle w:val="NormalHanging12a"/>
        <w:widowControl/>
      </w:pPr>
      <w:r w:rsidRPr="0031099B">
        <w:t>–</w:t>
      </w:r>
      <w:r w:rsidRPr="0031099B">
        <w:tab/>
        <w:t>като взе предвид доклада на комисията по бюджетен контрол (A9-0135/2024),</w:t>
      </w:r>
    </w:p>
    <w:p w:rsidR="008159B5" w:rsidRPr="0031099B" w:rsidRDefault="008159B5" w:rsidP="008159B5">
      <w:pPr>
        <w:widowControl/>
        <w:spacing w:after="240"/>
        <w:ind w:left="567" w:hanging="567"/>
        <w:rPr>
          <w:szCs w:val="24"/>
        </w:rPr>
      </w:pPr>
      <w:r w:rsidRPr="0031099B">
        <w:t>А.</w:t>
      </w:r>
      <w:r w:rsidRPr="0031099B">
        <w:tab/>
        <w:t>като има предвид, че според отчета за приходите и разходите</w:t>
      </w:r>
      <w:r w:rsidRPr="0031099B">
        <w:rPr>
          <w:rStyle w:val="FootnoteReference"/>
          <w:szCs w:val="24"/>
        </w:rPr>
        <w:footnoteReference w:id="11"/>
      </w:r>
      <w:r w:rsidRPr="0031099B">
        <w:t xml:space="preserve"> на Европейската агенция по химикали („Агенцията“) нейният окончателен бюджет за финансовата 2022 година възлиза на 114 777 691 EUR, което представлява увеличение с 5,83% спрямо 2021 г.; като има предвид, че бюджетът на Агенцията се финансира главно от два източника на приходи, а именно събираните такси и вноската от общия бюджет на Съюза;</w:t>
      </w:r>
    </w:p>
    <w:p w:rsidR="008159B5" w:rsidRPr="0031099B" w:rsidRDefault="008159B5" w:rsidP="008159B5">
      <w:pPr>
        <w:widowControl/>
        <w:spacing w:after="240"/>
        <w:ind w:left="567" w:hanging="567"/>
        <w:rPr>
          <w:szCs w:val="24"/>
        </w:rPr>
      </w:pPr>
      <w:r w:rsidRPr="0031099B">
        <w:t>Б.</w:t>
      </w:r>
      <w:r w:rsidRPr="0031099B">
        <w:tab/>
        <w:t>като има предвид, че в своя доклад относно годишните отчети на Агенцията за финансовата 2022 година („доклада на Палатата“) Сметната палата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8159B5" w:rsidRPr="0031099B" w:rsidRDefault="008159B5" w:rsidP="008159B5">
      <w:pPr>
        <w:widowControl/>
        <w:spacing w:after="240"/>
        <w:ind w:left="567" w:hanging="567"/>
        <w:rPr>
          <w:szCs w:val="24"/>
        </w:rPr>
      </w:pPr>
      <w:r w:rsidRPr="0031099B">
        <w:t>В.</w:t>
      </w:r>
      <w:r w:rsidRPr="0031099B">
        <w:tab/>
        <w:t>като има предвид, че по отношение на сектора на обществените поръчки на Агенцията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8159B5" w:rsidRPr="0031099B" w:rsidRDefault="008159B5" w:rsidP="008159B5">
      <w:pPr>
        <w:widowControl/>
        <w:spacing w:after="240"/>
        <w:ind w:left="567" w:hanging="567"/>
        <w:rPr>
          <w:szCs w:val="24"/>
        </w:rPr>
      </w:pPr>
      <w:r w:rsidRPr="0031099B">
        <w:t>Г.</w:t>
      </w:r>
      <w:r w:rsidRPr="0031099B">
        <w:tab/>
        <w:t>като има предвид, че по отношение на системите за вътрешен контрол на Агенцията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8159B5" w:rsidRPr="0031099B" w:rsidRDefault="008159B5" w:rsidP="008159B5">
      <w:pPr>
        <w:widowControl/>
        <w:spacing w:after="240"/>
        <w:ind w:left="567" w:hanging="567"/>
        <w:rPr>
          <w:b/>
          <w:i/>
          <w:szCs w:val="24"/>
        </w:rPr>
      </w:pPr>
      <w:r w:rsidRPr="0031099B">
        <w:rPr>
          <w:b/>
          <w:i/>
        </w:rPr>
        <w:t>Бюджетно и финансово управление</w:t>
      </w:r>
    </w:p>
    <w:p w:rsidR="008159B5" w:rsidRPr="0031099B" w:rsidRDefault="008159B5" w:rsidP="008159B5">
      <w:pPr>
        <w:pStyle w:val="Normal12Hanging"/>
        <w:widowControl/>
        <w:rPr>
          <w:szCs w:val="24"/>
        </w:rPr>
      </w:pPr>
      <w:r w:rsidRPr="0031099B">
        <w:t>1.</w:t>
      </w:r>
      <w:r w:rsidRPr="0031099B">
        <w:tab/>
        <w:t>отбелязва със задоволство,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98,61%, което представлява леко намаление с 0,23% спрямо 2021 г., и степен на изпълнение за бюджетните кредити за плащания за текущата година от 85,06%, което представлява намаление с 1,17% спрямо 2021 г.;</w:t>
      </w:r>
    </w:p>
    <w:p w:rsidR="008159B5" w:rsidRPr="0031099B" w:rsidRDefault="008159B5" w:rsidP="008159B5">
      <w:pPr>
        <w:pStyle w:val="NormalHanging12a"/>
        <w:rPr>
          <w:b/>
          <w:i/>
        </w:rPr>
      </w:pPr>
      <w:r w:rsidRPr="0031099B">
        <w:lastRenderedPageBreak/>
        <w:t>2.</w:t>
      </w:r>
      <w:r w:rsidRPr="0031099B">
        <w:tab/>
        <w:t>припомня, че Агенцията се финансира чрез такси, плащани от промишлеността, и чрез изравнителна вноска на ЕС в съответствие с Регламент (</w:t>
      </w:r>
      <w:r w:rsidR="008025BB">
        <w:t xml:space="preserve">ЕО) </w:t>
      </w:r>
      <w:r w:rsidRPr="0031099B">
        <w:t>№ 1907/2006 на Европейския парламент и на Съвета</w:t>
      </w:r>
      <w:r w:rsidRPr="0031099B">
        <w:rPr>
          <w:rStyle w:val="FootnoteReference"/>
        </w:rPr>
        <w:footnoteReference w:id="12"/>
      </w:r>
      <w:r w:rsidRPr="0031099B">
        <w:t>, Регламент (ЕО) № 1272/2008 на Европейския парламент и на Съвета</w:t>
      </w:r>
      <w:r w:rsidRPr="0031099B">
        <w:rPr>
          <w:rStyle w:val="FootnoteReference"/>
        </w:rPr>
        <w:footnoteReference w:id="13"/>
      </w:r>
      <w:r w:rsidRPr="0031099B">
        <w:t xml:space="preserve"> и Регламент (ЕС) № 528/2012 на Европейския парламент и на Съвета</w:t>
      </w:r>
      <w:r w:rsidRPr="0031099B">
        <w:rPr>
          <w:rStyle w:val="FootnoteReference"/>
        </w:rPr>
        <w:footnoteReference w:id="14"/>
      </w:r>
      <w:r w:rsidRPr="0031099B">
        <w:t>; подчертава факта, че поради еднократния характер на таксите и тяхната зависимост от стратегически решения на участниците в химическата промишленост съществува голяма несигурност по отношение на техния размер и график; припомня, че през 2020 г. Комисията обеща предложение за укрепване на управлението на Агенцията и повишаване на устойчивостта на нейния модел на финансиране; настоява Комисията да го представи незабавно;</w:t>
      </w:r>
    </w:p>
    <w:p w:rsidR="008159B5" w:rsidRPr="0031099B" w:rsidRDefault="008159B5" w:rsidP="008159B5">
      <w:pPr>
        <w:pStyle w:val="NormalHanging12a"/>
      </w:pPr>
      <w:r w:rsidRPr="0031099B">
        <w:t>3.</w:t>
      </w:r>
      <w:r w:rsidRPr="0031099B">
        <w:tab/>
        <w:t>отбелязва със задоволство, че през 2022 г., за първи път след крайния срок за регистрация съгласно Регламент (ЕО) № 1907/2006</w:t>
      </w:r>
      <w:r w:rsidRPr="0031099B">
        <w:rPr>
          <w:rStyle w:val="FootnoteReference"/>
        </w:rPr>
        <w:t xml:space="preserve"> </w:t>
      </w:r>
      <w:r w:rsidRPr="0031099B">
        <w:t>през 2018 г., приходите от такси на Агенцията са се увеличили, докато зависимостта от Съюза за финансирането на нейните операции леко е намаляла;</w:t>
      </w:r>
    </w:p>
    <w:p w:rsidR="008159B5" w:rsidRPr="0031099B" w:rsidRDefault="008159B5" w:rsidP="008159B5">
      <w:pPr>
        <w:widowControl/>
        <w:spacing w:after="240"/>
        <w:ind w:left="567" w:hanging="567"/>
        <w:rPr>
          <w:b/>
          <w:i/>
          <w:szCs w:val="24"/>
        </w:rPr>
      </w:pPr>
      <w:r w:rsidRPr="0031099B">
        <w:rPr>
          <w:b/>
          <w:i/>
        </w:rPr>
        <w:t>Резултати от изпълнението</w:t>
      </w:r>
    </w:p>
    <w:p w:rsidR="008159B5" w:rsidRPr="0031099B" w:rsidRDefault="008159B5" w:rsidP="008159B5">
      <w:pPr>
        <w:pStyle w:val="Normal12Hanging"/>
      </w:pPr>
      <w:r w:rsidRPr="0031099B">
        <w:t>4.</w:t>
      </w:r>
      <w:r w:rsidRPr="0031099B">
        <w:tab/>
        <w:t>отбелязва, че Агенцията е движещата сила при прилагането на законодателството на Съюза в областта на химикалите в полза на общественото здраве и околната среда, както и за иновациите и конкурентоспособността; отбелязва, че Агенцията събира, оценява и разпространява информация относно химикалите, помага на дружествата да спазват законодателството и насърчава безопасното използване на химикалите;</w:t>
      </w:r>
    </w:p>
    <w:p w:rsidR="008159B5" w:rsidRPr="0031099B" w:rsidRDefault="008159B5" w:rsidP="008159B5">
      <w:pPr>
        <w:pStyle w:val="NormalHanging12a"/>
        <w:widowControl/>
      </w:pPr>
      <w:r w:rsidRPr="0031099B">
        <w:t>5.</w:t>
      </w:r>
      <w:r w:rsidRPr="0031099B">
        <w:tab/>
        <w:t>отбелязва, че Агенцията е изпълн</w:t>
      </w:r>
      <w:bookmarkStart w:id="12" w:name="_GoBack"/>
      <w:bookmarkEnd w:id="12"/>
      <w:r w:rsidRPr="0031099B">
        <w:t>ила 93% от работната програма и е изпълнила 151 от 162-те конкретни действия и резултати, планирани за 2022 г., като 8 действия все още са в процес на изпълнение, както е планирано; отбелязва освен това, че трите „незавършени“ действия биха изисквали или принос от държавите членки, или намаляване на техния приоритет;</w:t>
      </w:r>
    </w:p>
    <w:p w:rsidR="008159B5" w:rsidRPr="0031099B" w:rsidRDefault="008159B5" w:rsidP="008159B5">
      <w:pPr>
        <w:pStyle w:val="NormalHanging12a"/>
      </w:pPr>
      <w:r w:rsidRPr="0031099B">
        <w:t>6.</w:t>
      </w:r>
      <w:r w:rsidRPr="0031099B">
        <w:tab/>
        <w:t xml:space="preserve">отбелязва, че Агенцията се е съсредоточила върху изпълнението на основните си задачи и върху подпомагането на Европейската комисия при изпълнението на нейната стратегия за устойчивост в областта на химикалите в съответствие с насоките, определени от управителния съвет в стратегическия план за периода </w:t>
      </w:r>
      <w:r w:rsidRPr="0031099B">
        <w:lastRenderedPageBreak/>
        <w:t>2019 – 2023 г. и в неговия преглед, извършен през 2021 г.;</w:t>
      </w:r>
    </w:p>
    <w:p w:rsidR="008159B5" w:rsidRPr="0031099B" w:rsidRDefault="008159B5" w:rsidP="008159B5">
      <w:pPr>
        <w:pStyle w:val="NormalHanging12a"/>
        <w:rPr>
          <w:szCs w:val="24"/>
        </w:rPr>
      </w:pPr>
      <w:r w:rsidRPr="0031099B">
        <w:t>7.</w:t>
      </w:r>
      <w:r w:rsidRPr="0031099B">
        <w:tab/>
        <w:t xml:space="preserve">обръща внимание на някои от предизвикателствата, пред които беше изправена Агенцията през 2022 г., включително установената през 2021 г. неефективна система за издаване на разрешения, с нарастващ брой заявления за </w:t>
      </w:r>
      <w:proofErr w:type="spellStart"/>
      <w:r w:rsidRPr="0031099B">
        <w:t>шествалентен</w:t>
      </w:r>
      <w:proofErr w:type="spellEnd"/>
      <w:r w:rsidRPr="0031099B">
        <w:t xml:space="preserve"> хром, които се очаква да продължат и през 2023 г., което ограничава капацитета на научните комитети да изготвят становища, а така също и липсата на опитни членове; отбелязва освен това, че държавите членки са представили малък брой проекти на доклади за оценка на </w:t>
      </w:r>
      <w:proofErr w:type="spellStart"/>
      <w:r w:rsidRPr="0031099B">
        <w:t>биоцидни</w:t>
      </w:r>
      <w:proofErr w:type="spellEnd"/>
      <w:r w:rsidRPr="0031099B">
        <w:t xml:space="preserve"> активни вещества, което възпрепятства приключването на оценките до края на 2024 г., както е предвидено в Регламент (ЕС) № 528/2012; подчертава факта, че в съответствие с Плана за действие за активните вещества, през последните години Агенцията е положила усилия, за да подкрепи държавите членки да постигнат по-нататъшен напредък;</w:t>
      </w:r>
    </w:p>
    <w:p w:rsidR="008159B5" w:rsidRPr="0031099B" w:rsidRDefault="008159B5" w:rsidP="008159B5">
      <w:pPr>
        <w:pStyle w:val="Normal12Hanging"/>
      </w:pPr>
      <w:r w:rsidRPr="0031099B">
        <w:t>8.</w:t>
      </w:r>
      <w:r w:rsidRPr="0031099B">
        <w:tab/>
        <w:t>приветства дейностите на Агенцията за насърчаване на алтернативи на изпитванията върху животни и стъпките, предприети за повишаване на ефективността и видимостта на тази дейност;</w:t>
      </w:r>
    </w:p>
    <w:p w:rsidR="008159B5" w:rsidRPr="0031099B" w:rsidRDefault="008159B5" w:rsidP="008159B5">
      <w:pPr>
        <w:widowControl/>
        <w:spacing w:after="240"/>
        <w:ind w:left="567" w:hanging="567"/>
        <w:rPr>
          <w:b/>
          <w:i/>
          <w:szCs w:val="24"/>
        </w:rPr>
      </w:pPr>
      <w:r w:rsidRPr="0031099B">
        <w:rPr>
          <w:b/>
          <w:i/>
        </w:rPr>
        <w:t>Ефикасност и успехи</w:t>
      </w:r>
    </w:p>
    <w:p w:rsidR="008159B5" w:rsidRPr="0031099B" w:rsidRDefault="008159B5" w:rsidP="008159B5">
      <w:pPr>
        <w:widowControl/>
        <w:spacing w:after="240"/>
        <w:ind w:left="567" w:hanging="567"/>
        <w:rPr>
          <w:szCs w:val="24"/>
        </w:rPr>
      </w:pPr>
      <w:r w:rsidRPr="0031099B">
        <w:t>9.</w:t>
      </w:r>
      <w:r w:rsidRPr="0031099B">
        <w:tab/>
        <w:t>приветства Агенцията за нейната стратегия за повишаване на ефективността, която има за цел да постигне добавена стойност чрез управление, основано на резултатите, и за разработването на нови инструменти в подкрепа на планирането и докладването, които са по-лесни за ползване, предоставят по-добри възможности за докладване и спестяват време за целия ѝ персонал; отбелязва, че показателите за докладването са преразгледани, за да отразяват по-добре работната програма на Агенцията и да дават възможност за по-добро обвързване на целите на равнището на Агенцията с тези на отделните служители;</w:t>
      </w:r>
    </w:p>
    <w:p w:rsidR="008159B5" w:rsidRPr="0031099B" w:rsidRDefault="008159B5" w:rsidP="008159B5">
      <w:pPr>
        <w:widowControl/>
        <w:spacing w:after="240"/>
        <w:ind w:left="567" w:hanging="567"/>
        <w:rPr>
          <w:szCs w:val="24"/>
        </w:rPr>
      </w:pPr>
      <w:r w:rsidRPr="0031099B">
        <w:t>10.</w:t>
      </w:r>
      <w:r w:rsidRPr="0031099B">
        <w:tab/>
        <w:t>отбелязва, че през 2022 г. Агенцията също така е започнала процес на оптимизиране на капацитета на инфраструктурата с цел свеждане до минимум на излишния капацитет в ИТ инфраструктурата; резултатите от втората половина на годината показват, че Агенцията е успяла да намали използването на такава инфраструктура (както на CPU, т.е. процесори, така и на RAM, т.е. памет) с около 25%; приветства положените усилия за оптимизиране и насърчава Агенцията да продължи работата в това отношение;</w:t>
      </w:r>
    </w:p>
    <w:p w:rsidR="008159B5" w:rsidRPr="0031099B" w:rsidRDefault="008159B5" w:rsidP="008159B5">
      <w:pPr>
        <w:widowControl/>
        <w:spacing w:after="240"/>
        <w:ind w:left="567" w:hanging="567"/>
        <w:rPr>
          <w:szCs w:val="24"/>
        </w:rPr>
      </w:pPr>
      <w:r w:rsidRPr="0031099B">
        <w:t>11.</w:t>
      </w:r>
      <w:r w:rsidRPr="0031099B">
        <w:tab/>
        <w:t>отбелязва, че Агенцията продължава да споделя своя капацитет за вътрешен одит с Агенцията на ЕС за космическата програма (бившата Европейска агенция за глобални навигационни спътникови системи); отбелязва, че Агенцията и Европейският орган за безопасност на храните поддържат редовни контакти на работно и висше управленско равнище, където редовно се оценяват и се използват възможностите за сътрудничество (чрез извършване на подробен преглед на работните програми);</w:t>
      </w:r>
    </w:p>
    <w:p w:rsidR="008159B5" w:rsidRPr="0031099B" w:rsidRDefault="008159B5" w:rsidP="008159B5">
      <w:pPr>
        <w:widowControl/>
        <w:spacing w:after="240"/>
        <w:ind w:left="567" w:hanging="567"/>
        <w:rPr>
          <w:szCs w:val="24"/>
        </w:rPr>
      </w:pPr>
      <w:r w:rsidRPr="0031099B">
        <w:t>12.</w:t>
      </w:r>
      <w:r w:rsidRPr="0031099B">
        <w:tab/>
        <w:t xml:space="preserve">отбелязва освен това, че Агенцията е продължила стратегическото си сътрудничество с Европейския орган за безопасност на храните за предоставяне на </w:t>
      </w:r>
      <w:proofErr w:type="spellStart"/>
      <w:r w:rsidRPr="0031099B">
        <w:t>форма̀та</w:t>
      </w:r>
      <w:proofErr w:type="spellEnd"/>
      <w:r w:rsidRPr="0031099B">
        <w:t xml:space="preserve"> на данни IUCLID (международна уеднаквена база данни за химическа информация) като услуга, предоставяна от нейните услуги в облак, за работата на Европейския орган за безопасност на храните съгласно Регламент (ЕО) № </w:t>
      </w:r>
      <w:r w:rsidRPr="0031099B">
        <w:lastRenderedPageBreak/>
        <w:t>1107/2009 на Европейския парламент и на Съвета</w:t>
      </w:r>
      <w:r w:rsidRPr="0031099B">
        <w:rPr>
          <w:rStyle w:val="FootnoteReference"/>
          <w:szCs w:val="24"/>
        </w:rPr>
        <w:footnoteReference w:id="15"/>
      </w:r>
      <w:r w:rsidRPr="0031099B">
        <w:t>, и в резултат на това са постигнати икономии от мащаба чрез надграждане на съществуващите ИТ платформи;</w:t>
      </w:r>
    </w:p>
    <w:p w:rsidR="008159B5" w:rsidRPr="0031099B" w:rsidRDefault="008159B5" w:rsidP="008159B5">
      <w:pPr>
        <w:pStyle w:val="NormalHanging12a"/>
      </w:pPr>
      <w:r w:rsidRPr="0031099B">
        <w:t>13.</w:t>
      </w:r>
      <w:r w:rsidRPr="0031099B">
        <w:tab/>
        <w:t xml:space="preserve">припомня, че е важно да се увеличи цифровизацията на Агенцията от гледна точка на вътрешното функциониране и управление, а също така и с цел ускоряване на цифровизацията на процедурите; подчертава необходимостта Агенцията да продължи да бъде проактивна в това отношение, за да се избегне цифрово разделение между агенциите; обръща внимание обаче, че трябва да се вземат всички необходими мерки за сигурност, за да се избегне всякакъв риск за онлайн сигурността на обработваната информация; настоява, че е необходимо да се засилят действията срещу </w:t>
      </w:r>
      <w:proofErr w:type="spellStart"/>
      <w:r w:rsidRPr="0031099B">
        <w:t>кибератаките</w:t>
      </w:r>
      <w:proofErr w:type="spellEnd"/>
      <w:r w:rsidRPr="0031099B">
        <w:t xml:space="preserve"> или опитите за проникване, и по-специално тези, които идват от Русия или Китай;</w:t>
      </w:r>
    </w:p>
    <w:p w:rsidR="008159B5" w:rsidRPr="0031099B" w:rsidRDefault="008159B5" w:rsidP="008159B5">
      <w:pPr>
        <w:pStyle w:val="NormalHanging12a"/>
      </w:pPr>
      <w:r w:rsidRPr="0031099B">
        <w:t>14.</w:t>
      </w:r>
      <w:r w:rsidRPr="0031099B">
        <w:tab/>
        <w:t>приветства факта, че Агенцията, в сътрудничество с Европейския орган за безопасност на храните, предприе стъпки за насърчаване на принципа „едно вещество – една оценка“, за да се гарантира по-голяма последователност в оценката на опасността и риска от активни вещества;</w:t>
      </w:r>
    </w:p>
    <w:p w:rsidR="008159B5" w:rsidRPr="0031099B" w:rsidRDefault="008159B5" w:rsidP="008159B5">
      <w:pPr>
        <w:widowControl/>
        <w:spacing w:after="240"/>
        <w:ind w:left="567" w:hanging="567"/>
        <w:rPr>
          <w:b/>
          <w:i/>
          <w:szCs w:val="24"/>
        </w:rPr>
      </w:pPr>
      <w:r w:rsidRPr="0031099B">
        <w:rPr>
          <w:b/>
          <w:i/>
        </w:rPr>
        <w:t>Политика относно персонала</w:t>
      </w:r>
    </w:p>
    <w:p w:rsidR="008159B5" w:rsidRPr="0031099B" w:rsidRDefault="008159B5" w:rsidP="008159B5">
      <w:pPr>
        <w:pStyle w:val="Normal12Hanging"/>
        <w:widowControl/>
        <w:rPr>
          <w:szCs w:val="24"/>
        </w:rPr>
      </w:pPr>
      <w:r w:rsidRPr="0031099B">
        <w:t>15.</w:t>
      </w:r>
      <w:r w:rsidRPr="0031099B">
        <w:tab/>
        <w:t>отбелязва, че към 31 декември 2022 г. щатното разписание е било запълнено на 98,07%, като са били назначени 458 срочно наети служители на общо 467-те работни места за тази категория служители, разрешени съгласно бюджета на Съюза (същия брой разрешени работни места както през 2021 г.); отбелязва, че освен това през 2022 г. за Агенцията са работили 128 договорно наети служители, 48 временни работници, 5 консултанти и 2 командировани национални експерти;</w:t>
      </w:r>
    </w:p>
    <w:p w:rsidR="008159B5" w:rsidRPr="0031099B" w:rsidRDefault="008159B5" w:rsidP="008159B5">
      <w:pPr>
        <w:pStyle w:val="NormalHanging12a"/>
      </w:pPr>
      <w:r w:rsidRPr="0031099B">
        <w:t>16.</w:t>
      </w:r>
      <w:r w:rsidRPr="0031099B">
        <w:tab/>
        <w:t>припомня, че е важно да се осигури баланс между половете сред служителите, и във връзка с това приветства факта, че Агенцията е въвела план за действие за изпълнение на целите на своята Харта за многообразие и приобщаване, приета през 2022 г., насочена към постигане на баланс между половете в ръководния екип, наред с други мерки за приобщаване; приканва Агенцията да докладва на органа по освобождаване от отговорност относно прилагането на този план за действие; признава, че постигането на резултати в тази област отнема време; отбелязва обаче, че балансът между половете сред висшето и средното ръководство на Агенцията леко се е влошил, като 76% от длъжностите са заети от мъже (82% през 2021 г.) и 24% от жени (18% през 2021 г.); отбелязва, че балансът между половете сред служителите като цяло е 261 мъже (45%) и 317 жени (55%);</w:t>
      </w:r>
    </w:p>
    <w:p w:rsidR="008159B5" w:rsidRPr="0031099B" w:rsidRDefault="008159B5" w:rsidP="008159B5">
      <w:pPr>
        <w:pStyle w:val="NormalHanging12a"/>
      </w:pPr>
      <w:r w:rsidRPr="0031099B">
        <w:t>17.</w:t>
      </w:r>
      <w:r w:rsidRPr="0031099B">
        <w:tab/>
        <w:t xml:space="preserve">отбелязва със задоволство, че към 31 декември 2022 г. за Агенцията са работели служители от 26 държави членки; отбелязва, че 32% от персонала са граждани на държавата членка, в която се намира Агенцията; припомня значението на географския баланс и насърчава Агенцията да продължи да предприема необходимите мерки за осигуряване на балансирано и справедливо географско представителство; изразява загриженост обаче относно географския баланс при </w:t>
      </w:r>
      <w:r w:rsidRPr="0031099B">
        <w:lastRenderedPageBreak/>
        <w:t>висшето и средното ръководство на Агенцията, тъй като има само един директор от Централна и Източна Европа; настоява, че трябва да се направят подобрения; изисква от Агенцията да докладва за това на органа по освобождаване от отговорност;</w:t>
      </w:r>
    </w:p>
    <w:p w:rsidR="008159B5" w:rsidRPr="0031099B" w:rsidRDefault="008159B5" w:rsidP="008159B5">
      <w:pPr>
        <w:pStyle w:val="NormalHanging12a"/>
      </w:pPr>
      <w:r w:rsidRPr="0031099B">
        <w:t>18.</w:t>
      </w:r>
      <w:r w:rsidRPr="0031099B">
        <w:tab/>
        <w:t>отбелязва, че Агенцията прилага политика за защита на личното достойнство и предотвратяване на психическия и сексуалния тормоз и че участва в междуведомствената работна група от доверени съветници; очаква с нетърпение да получи техния доклад и препоръки; отбелязва, че през 2022 г. не са докладвани случаи на тормоз, и насърчава Агенцията да продължи и да доразвие работата си с цел предотвратяване на такива случаи и в бъдеще;</w:t>
      </w:r>
    </w:p>
    <w:p w:rsidR="008159B5" w:rsidRPr="0031099B" w:rsidRDefault="008159B5" w:rsidP="008159B5">
      <w:pPr>
        <w:pStyle w:val="NormalHanging12a"/>
      </w:pPr>
      <w:r w:rsidRPr="0031099B">
        <w:t>19.</w:t>
      </w:r>
      <w:r w:rsidRPr="0031099B">
        <w:tab/>
        <w:t>отбелязва, че от март 2022 г. служителите на Агенцията са започнали постепенно да се връщат в помещенията на Агенцията, което е приключило с прилагането на нови хибридни правила за работа през октомври 2022 г.; отбелязва в този контекст, че новите правила насърчават гъвкавост и оправомощаване на персонала, като същевременно поддържат социалното сближаване и сътрудничеството чрез редовно седмично присъствие в офиса;</w:t>
      </w:r>
    </w:p>
    <w:p w:rsidR="008159B5" w:rsidRPr="0031099B" w:rsidRDefault="008159B5" w:rsidP="008159B5">
      <w:pPr>
        <w:pStyle w:val="NormalHanging12a"/>
        <w:widowControl/>
      </w:pPr>
      <w:r w:rsidRPr="0031099B">
        <w:t>20.</w:t>
      </w:r>
      <w:r w:rsidRPr="0031099B">
        <w:tab/>
        <w:t>отбелязва, че Агенцията е използвала повече вътрешна мобилност, за да отговори на променящите се потребности от научно-технически и административен експертен опит в своята работа; отбелязва, че това е предоставило възможности за кариерно развитие и по този начин е допринесло за мотивиране на персонала на Агенцията и за поддържане на култура на високи резултати, непрекъснато подобряване и способност за реагиране; приветства факта, че за да мотивира служителите и да изгради набор от умения, тя също така е въвела нови инициативи, включително наставничество и напътствия;</w:t>
      </w:r>
    </w:p>
    <w:p w:rsidR="008159B5" w:rsidRPr="0031099B" w:rsidRDefault="008159B5" w:rsidP="008159B5">
      <w:pPr>
        <w:pStyle w:val="NormalHanging12a"/>
      </w:pPr>
      <w:r w:rsidRPr="0031099B">
        <w:t>21.</w:t>
      </w:r>
      <w:r w:rsidRPr="0031099B">
        <w:tab/>
        <w:t>подчертава необходимостта от осигуряване на подходящ персонал, отговарящ на потребностите във връзка с Европейския зелен пакт и Стратегията на Съюза за устойчивост в областта на химикалите, Плана за действие на ЕС за кръгова икономика и по-специално целта за нулево замърсяване и свързаното с нея увеличение на задачите;</w:t>
      </w:r>
    </w:p>
    <w:p w:rsidR="008159B5" w:rsidRPr="0031099B" w:rsidRDefault="008159B5" w:rsidP="008159B5">
      <w:pPr>
        <w:widowControl/>
        <w:spacing w:after="240"/>
        <w:ind w:left="567" w:hanging="567"/>
        <w:rPr>
          <w:b/>
          <w:i/>
          <w:szCs w:val="24"/>
        </w:rPr>
      </w:pPr>
      <w:r w:rsidRPr="0031099B">
        <w:rPr>
          <w:b/>
          <w:i/>
        </w:rPr>
        <w:t>Предотвратяване и управление на конфликтите на интереси и прозрачност</w:t>
      </w:r>
    </w:p>
    <w:p w:rsidR="008159B5" w:rsidRPr="0031099B" w:rsidRDefault="008159B5" w:rsidP="008159B5">
      <w:pPr>
        <w:widowControl/>
        <w:spacing w:after="240"/>
        <w:ind w:left="567" w:hanging="567"/>
      </w:pPr>
      <w:r w:rsidRPr="0031099B">
        <w:t>22.</w:t>
      </w:r>
      <w:r w:rsidRPr="0031099B">
        <w:tab/>
        <w:t xml:space="preserve">отбелязва, че въз основа на задълбочена оценка на риска на своите дейности Агенцията е установила процесите и </w:t>
      </w:r>
      <w:proofErr w:type="spellStart"/>
      <w:r w:rsidRPr="0031099B">
        <w:t>подпроцесите</w:t>
      </w:r>
      <w:proofErr w:type="spellEnd"/>
      <w:r w:rsidRPr="0031099B">
        <w:t>, които изискват управление на конфликтите на интереси; отбелязва освен това, че при всички тези процеси отговарящият за процеса извършва преглед на годишните декларации за интереси всеки път, когато на служител бъде възложена задача, а при някои чувствителни процеси това се допълва от специална декларация от служителя за отсъствие на интерес;</w:t>
      </w:r>
    </w:p>
    <w:p w:rsidR="008159B5" w:rsidRPr="0031099B" w:rsidRDefault="008159B5" w:rsidP="008159B5">
      <w:pPr>
        <w:widowControl/>
        <w:spacing w:after="240"/>
        <w:ind w:left="567" w:hanging="567"/>
        <w:rPr>
          <w:szCs w:val="24"/>
        </w:rPr>
      </w:pPr>
      <w:r w:rsidRPr="0031099B">
        <w:t>23.</w:t>
      </w:r>
      <w:r w:rsidRPr="0031099B">
        <w:tab/>
        <w:t xml:space="preserve">приветства факта, че за да се подобри практиката в областта на конфликтите на интереси след приключване на трудовите правоотношения, политиката на Агенцията относно конфликтите на интереси беше преразгледана за последен път от управителния съвет през юни 2023 г.; отбелязва, че въведените промени засилват системния мониторинг на спазването на задълженията след приключване на трудовите правоотношения от бивши служители на Агенцията в съответствие с </w:t>
      </w:r>
      <w:r w:rsidRPr="0031099B">
        <w:lastRenderedPageBreak/>
        <w:t>препоръките на Европейската сметна палата и забележките на органа по освобождаване от отговорност през предходните години;</w:t>
      </w:r>
    </w:p>
    <w:p w:rsidR="008159B5" w:rsidRPr="0031099B" w:rsidRDefault="008159B5" w:rsidP="008159B5">
      <w:pPr>
        <w:widowControl/>
        <w:spacing w:after="240"/>
        <w:ind w:left="567" w:hanging="567"/>
        <w:rPr>
          <w:szCs w:val="24"/>
        </w:rPr>
      </w:pPr>
      <w:r w:rsidRPr="0031099B">
        <w:t>24.</w:t>
      </w:r>
      <w:r w:rsidRPr="0031099B">
        <w:tab/>
        <w:t>отбелязва, че Агенцията публикува на своя уебсайт срещите, проведени от нейното висше ръководство с представители на групи по интереси;</w:t>
      </w:r>
    </w:p>
    <w:p w:rsidR="008159B5" w:rsidRPr="0031099B" w:rsidRDefault="008159B5" w:rsidP="008159B5">
      <w:pPr>
        <w:widowControl/>
        <w:spacing w:after="240"/>
        <w:ind w:left="567" w:hanging="567"/>
      </w:pPr>
      <w:r w:rsidRPr="0031099B">
        <w:t>25.</w:t>
      </w:r>
      <w:r w:rsidRPr="0031099B">
        <w:tab/>
        <w:t>приветства факта, че през 2022 г. Агенцията е въвела нов електронен инструмент за събиране и преглед на годишните декларации за интереси на външните експерти, които допринасят за работата на Агенцията, като това предоставя допълнителни гаранции за процеса;</w:t>
      </w:r>
    </w:p>
    <w:p w:rsidR="008159B5" w:rsidRPr="0031099B" w:rsidRDefault="008159B5" w:rsidP="008159B5">
      <w:pPr>
        <w:widowControl/>
        <w:spacing w:after="240"/>
        <w:ind w:left="567" w:hanging="567"/>
        <w:rPr>
          <w:szCs w:val="24"/>
        </w:rPr>
      </w:pPr>
      <w:r w:rsidRPr="0031099B">
        <w:t>26.</w:t>
      </w:r>
      <w:r w:rsidRPr="0031099B">
        <w:tab/>
        <w:t>отбелязва със задоволство, че стратегията на Агенцията за борба с измамите беше преразгледана за последен път от нейния управителен съвет през декември 2022 г. и че тя се съсредоточава върху поддържането и по-нататъшното развитие на културата на борба с измамите в Агенцията и редовното преразглеждане на ключови политики и процедури; отбелязва, че стратегията укрепва вътрешния механизъм за борба с корупцията, като определя ролите и отговорностите за предотвратяване на измамите, както и средствата и ресурсите за борба с измамите; приветства факта, че през 2022 г. всички служители на Агенцията са участвали в обучение по борба с измамите; отбелязва със задоволство, че Агенцията е въвела насоки за лицата, подаващи сигнали за нередности, така че служителите на Агенцията да могат да уведомяват за всяка дейност, която противоречи на обществения интерес;</w:t>
      </w:r>
    </w:p>
    <w:p w:rsidR="008159B5" w:rsidRPr="0031099B" w:rsidRDefault="008159B5" w:rsidP="008159B5">
      <w:pPr>
        <w:widowControl/>
        <w:spacing w:after="240"/>
        <w:ind w:left="567" w:hanging="567"/>
        <w:rPr>
          <w:szCs w:val="24"/>
        </w:rPr>
      </w:pPr>
      <w:r w:rsidRPr="0031099B">
        <w:t>27.</w:t>
      </w:r>
      <w:r w:rsidRPr="0031099B">
        <w:tab/>
        <w:t>припомня, че процесите на вземане на решения на Агенцията са замислени така, че да бъдат ясни, открити и да гарантират балансиран резултат въз основа на обоснован научен подход; отбелязва, че информацията относно намеренията на Агенцията и на държавите членки – например да разглеждат вещества или да създават досиета – е достъпна онлайн, така че дружествата имат достъп до данните, от които се нуждаят, за да вземат информирани бизнес решения; отбелязва освен това, че акредитираните организации на заинтересованите страни могат да участват в научни срещи като наблюдатели, освен когато поради поверителна търговска информация се изисква срещите да са при закрити врати; отбелязва освен това, че разсъжденията, становищата и заключенията на научните комитети на Агенцията са отразени в становища и протоколи и се публикуват онлайн;</w:t>
      </w:r>
    </w:p>
    <w:p w:rsidR="008159B5" w:rsidRPr="0031099B" w:rsidRDefault="008159B5" w:rsidP="008159B5">
      <w:pPr>
        <w:pStyle w:val="NormalHanging12a"/>
      </w:pPr>
      <w:r w:rsidRPr="0031099B">
        <w:t>28.</w:t>
      </w:r>
      <w:r w:rsidRPr="0031099B">
        <w:tab/>
        <w:t>припомня, че е важно Агенцията да работи за постигане на по-голяма видимост в медиите, в интернет и в социалните медии, за да популяризира своята работа сред гражданите;</w:t>
      </w:r>
    </w:p>
    <w:p w:rsidR="008159B5" w:rsidRPr="0031099B" w:rsidRDefault="008159B5" w:rsidP="008159B5">
      <w:pPr>
        <w:widowControl/>
        <w:spacing w:after="240"/>
        <w:ind w:left="567" w:hanging="567"/>
        <w:rPr>
          <w:b/>
          <w:i/>
          <w:szCs w:val="24"/>
        </w:rPr>
      </w:pPr>
      <w:r w:rsidRPr="0031099B">
        <w:rPr>
          <w:b/>
          <w:i/>
        </w:rPr>
        <w:t>Други коментари</w:t>
      </w:r>
    </w:p>
    <w:p w:rsidR="008159B5" w:rsidRPr="0031099B" w:rsidRDefault="008159B5" w:rsidP="008159B5">
      <w:pPr>
        <w:widowControl/>
        <w:spacing w:after="240"/>
        <w:ind w:left="567" w:hanging="567"/>
        <w:rPr>
          <w:szCs w:val="24"/>
        </w:rPr>
      </w:pPr>
      <w:r w:rsidRPr="0031099B">
        <w:t>29.</w:t>
      </w:r>
      <w:r w:rsidRPr="0031099B">
        <w:tab/>
        <w:t>приветства факта, че през 2022 г. Агенцията е приела политика за киберсигурност и е извършила оценка на риска на всички системи за информационни технологии; отбелязва освен това, че Агенцията е въвела възможност за биометрична идентификация, подобрила е видимостта на центъра за операции по сигурността и е извършила тестове за автоматично превключване между центровете за данни;</w:t>
      </w:r>
    </w:p>
    <w:p w:rsidR="008159B5" w:rsidRPr="0031099B" w:rsidRDefault="008159B5" w:rsidP="008159B5">
      <w:pPr>
        <w:widowControl/>
        <w:spacing w:after="240"/>
        <w:ind w:left="567" w:hanging="567"/>
        <w:rPr>
          <w:szCs w:val="24"/>
        </w:rPr>
      </w:pPr>
      <w:r w:rsidRPr="0031099B">
        <w:t>30.</w:t>
      </w:r>
      <w:r w:rsidRPr="0031099B">
        <w:tab/>
        <w:t xml:space="preserve">отбелязва със задоволство, че през 2022 г. Агенцията се присъедини към пробната фаза на инструмента на Европейската комисия за управление на обществените </w:t>
      </w:r>
      <w:r w:rsidRPr="0031099B">
        <w:lastRenderedPageBreak/>
        <w:t xml:space="preserve">поръчки, за да тества този инструмент за електронни обществени поръчки (преди той да бъде напълно въведен през 2023 г.); отбелязва, че Агенцията вече е въвела други инструменти за електронни обществени поръчки, като например </w:t>
      </w:r>
      <w:proofErr w:type="spellStart"/>
      <w:r w:rsidRPr="0031099B">
        <w:t>eTendering</w:t>
      </w:r>
      <w:proofErr w:type="spellEnd"/>
      <w:r w:rsidRPr="0031099B">
        <w:t xml:space="preserve"> или </w:t>
      </w:r>
      <w:proofErr w:type="spellStart"/>
      <w:r w:rsidRPr="0031099B">
        <w:t>eSubmission</w:t>
      </w:r>
      <w:proofErr w:type="spellEnd"/>
      <w:r w:rsidRPr="0031099B">
        <w:t xml:space="preserve">, и успоредно с това през 2022 г. е подновила абонамента си за </w:t>
      </w:r>
      <w:proofErr w:type="spellStart"/>
      <w:r w:rsidRPr="0031099B">
        <w:t>Cloudia</w:t>
      </w:r>
      <w:proofErr w:type="spellEnd"/>
      <w:r w:rsidRPr="0031099B">
        <w:t xml:space="preserve"> – платформата за електронни обществени поръчки на </w:t>
      </w:r>
      <w:proofErr w:type="spellStart"/>
      <w:r w:rsidRPr="0031099B">
        <w:t>Hansel</w:t>
      </w:r>
      <w:proofErr w:type="spellEnd"/>
      <w:r w:rsidRPr="0031099B">
        <w:t xml:space="preserve"> (централния орган за покупки на финландските публични органи), така че всички административни обществени поръчки, извършени чрез </w:t>
      </w:r>
      <w:proofErr w:type="spellStart"/>
      <w:r w:rsidRPr="0031099B">
        <w:t>Hansel</w:t>
      </w:r>
      <w:proofErr w:type="spellEnd"/>
      <w:r w:rsidRPr="0031099B">
        <w:t>, са изцяло цифровизирани;</w:t>
      </w:r>
    </w:p>
    <w:p w:rsidR="008159B5" w:rsidRPr="0031099B" w:rsidRDefault="008159B5" w:rsidP="008159B5">
      <w:pPr>
        <w:widowControl/>
        <w:spacing w:after="240"/>
        <w:ind w:left="567" w:hanging="567"/>
        <w:rPr>
          <w:rFonts w:eastAsia="Calibri"/>
          <w:iCs/>
          <w:szCs w:val="24"/>
        </w:rPr>
      </w:pPr>
      <w:r w:rsidRPr="0031099B">
        <w:t>31.</w:t>
      </w:r>
      <w:r w:rsidRPr="0031099B">
        <w:tab/>
        <w:t>отбелязва, че през 2022 г. бяха успешно подновени сертификатът на Агенцията по Схемата за управление по околна среда и одит (EMAS) и сертификатът ISO 14001; отбелязва със задоволство въз основа на доклада на Палатата, че Агенцията е сред агенциите, които изготвят годишна декларация за околната среда;</w:t>
      </w:r>
    </w:p>
    <w:p w:rsidR="008159B5" w:rsidRPr="0031099B" w:rsidRDefault="008159B5" w:rsidP="008159B5">
      <w:pPr>
        <w:pStyle w:val="NormalHanging12a"/>
      </w:pPr>
      <w:r w:rsidRPr="0031099B">
        <w:t>32.</w:t>
      </w:r>
      <w:r w:rsidRPr="0031099B">
        <w:tab/>
        <w:t>подчертава факта, че Агенцията е продължила усилията си за постепенно прекратяване на изпитванията върху животни в Европа, доколкото това е възможно съгласно настоящата регулаторна рамка; отбелязва, че Агенцията насърчава алтернативи на изпитванията върху животни по три начина: съсредоточаване върху групи вещества чрез отделна стратегия, инвестиране в международни дейности, които насърчават алтернативи и нови методологии за подходи, и предоставяне на разположение на данните, с които тя разполага; отново призовава Агенцията да ускори процеса на постепенно прекратяване; отбелязва освен това, че Агенцията си сътрудничи с Комисията и други заинтересовани страни, за да подкрепи Комисията при разработването на пътна карта за пълна замяна на изпитванията за химикали върху животни;</w:t>
      </w:r>
    </w:p>
    <w:p w:rsidR="008159B5" w:rsidRDefault="008159B5" w:rsidP="00A96352">
      <w:pPr>
        <w:pStyle w:val="NormalHanging12a"/>
      </w:pPr>
      <w:r w:rsidRPr="0031099B">
        <w:t>33.</w:t>
      </w:r>
      <w:r w:rsidRPr="0031099B">
        <w:tab/>
        <w:t xml:space="preserve">приветства факта, че Агенцията е продължила да прилага различни мерки за увеличаване на своето публично и онлайн присъствие чрез нови публикации и многобройни актуализации на своя уебсайт, стартирането на съвместен канал в </w:t>
      </w:r>
      <w:proofErr w:type="spellStart"/>
      <w:r w:rsidRPr="0031099B">
        <w:t>Instagram</w:t>
      </w:r>
      <w:proofErr w:type="spellEnd"/>
      <w:r w:rsidRPr="0031099B">
        <w:t xml:space="preserve"> с четири агенции, наречен „Едно здраве, една околна среда“, и присъствието си в социалните медии; отбелязва в този контекст нарастване на общото медийно отразяване и увеличаване на показателите на Агенцията в социалните медии през 2022 г. в сравнение с 2021 г.;</w:t>
      </w:r>
    </w:p>
    <w:p w:rsidR="00A96352" w:rsidRDefault="00A96352" w:rsidP="00A96352">
      <w:pPr>
        <w:pStyle w:val="NormalHanging12a"/>
        <w:widowControl/>
        <w:ind w:left="0" w:firstLine="0"/>
        <w:jc w:val="center"/>
        <w:rPr>
          <w:szCs w:val="24"/>
        </w:rPr>
      </w:pPr>
      <w:r>
        <w:rPr>
          <w:szCs w:val="24"/>
        </w:rPr>
        <w:t>°</w:t>
      </w:r>
    </w:p>
    <w:p w:rsidR="00A96352" w:rsidRDefault="00A96352" w:rsidP="00A96352">
      <w:pPr>
        <w:pStyle w:val="NormalHanging12a"/>
        <w:widowControl/>
        <w:ind w:left="0" w:firstLine="0"/>
        <w:jc w:val="center"/>
        <w:rPr>
          <w:szCs w:val="24"/>
        </w:rPr>
      </w:pPr>
      <w:r>
        <w:rPr>
          <w:szCs w:val="24"/>
        </w:rPr>
        <w:t>°     °</w:t>
      </w:r>
    </w:p>
    <w:p w:rsidR="008159B5" w:rsidRPr="0031099B" w:rsidRDefault="008159B5" w:rsidP="008159B5">
      <w:pPr>
        <w:pStyle w:val="NormalHanging12a"/>
        <w:widowControl/>
      </w:pPr>
      <w:r w:rsidRPr="0031099B">
        <w:t>34.</w:t>
      </w:r>
      <w:r w:rsidRPr="0031099B">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A96352">
        <w:t xml:space="preserve">11 април </w:t>
      </w:r>
      <w:r w:rsidR="00A96352" w:rsidRPr="0031099B">
        <w:t>2024 г.</w:t>
      </w:r>
      <w:r w:rsidRPr="0031099B">
        <w:rPr>
          <w:vertAlign w:val="superscript"/>
        </w:rPr>
        <w:footnoteReference w:id="16"/>
      </w:r>
      <w:r w:rsidRPr="0031099B">
        <w:t xml:space="preserve"> относно резултатите от дейността, финансовото управление и контрола на агенциите.</w:t>
      </w:r>
    </w:p>
    <w:p w:rsidR="00E365E1" w:rsidRPr="0031099B" w:rsidRDefault="00E365E1" w:rsidP="00F33D1C">
      <w:bookmarkStart w:id="13" w:name="TextBodyEnd"/>
      <w:bookmarkEnd w:id="13"/>
    </w:p>
    <w:sectPr w:rsidR="00E365E1" w:rsidRPr="0031099B" w:rsidSect="0031099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D1C" w:rsidRPr="0031099B" w:rsidRDefault="00F33D1C">
      <w:r w:rsidRPr="0031099B">
        <w:separator/>
      </w:r>
    </w:p>
  </w:endnote>
  <w:endnote w:type="continuationSeparator" w:id="0">
    <w:p w:rsidR="00F33D1C" w:rsidRPr="0031099B" w:rsidRDefault="00F33D1C">
      <w:r w:rsidRPr="003109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9B5" w:rsidRPr="0031099B" w:rsidRDefault="008159B5" w:rsidP="002E67A1">
    <w:pPr>
      <w:pStyle w:val="EPFooter"/>
    </w:pPr>
    <w:r w:rsidRPr="0031099B">
      <w:t>PE</w:t>
    </w:r>
    <w:r w:rsidRPr="0031099B">
      <w:rPr>
        <w:rStyle w:val="HideTWBExt"/>
      </w:rPr>
      <w:t>&lt;</w:t>
    </w:r>
    <w:proofErr w:type="spellStart"/>
    <w:r w:rsidRPr="0031099B">
      <w:rPr>
        <w:rStyle w:val="HideTWBExt"/>
      </w:rPr>
      <w:t>NoPE</w:t>
    </w:r>
    <w:proofErr w:type="spellEnd"/>
    <w:r w:rsidRPr="0031099B">
      <w:rPr>
        <w:rStyle w:val="HideTWBExt"/>
      </w:rPr>
      <w:t>&gt;</w:t>
    </w:r>
    <w:r w:rsidRPr="0031099B">
      <w:t>753.516</w:t>
    </w:r>
    <w:r w:rsidRPr="0031099B">
      <w:rPr>
        <w:rStyle w:val="HideTWBExt"/>
      </w:rPr>
      <w:t>&lt;/</w:t>
    </w:r>
    <w:proofErr w:type="spellStart"/>
    <w:r w:rsidRPr="0031099B">
      <w:rPr>
        <w:rStyle w:val="HideTWBExt"/>
      </w:rPr>
      <w:t>NoPE</w:t>
    </w:r>
    <w:proofErr w:type="spellEnd"/>
    <w:r w:rsidRPr="0031099B">
      <w:rPr>
        <w:rStyle w:val="HideTWBExt"/>
      </w:rPr>
      <w:t>&gt;&lt;Version&gt;</w:t>
    </w:r>
    <w:r w:rsidRPr="0031099B">
      <w:t>v02-00</w:t>
    </w:r>
    <w:r w:rsidRPr="0031099B">
      <w:rPr>
        <w:rStyle w:val="HideTWBExt"/>
      </w:rPr>
      <w:t>&lt;/</w:t>
    </w:r>
    <w:proofErr w:type="spellStart"/>
    <w:r w:rsidRPr="0031099B">
      <w:rPr>
        <w:rStyle w:val="HideTWBExt"/>
      </w:rPr>
      <w:t>Version</w:t>
    </w:r>
    <w:proofErr w:type="spellEnd"/>
    <w:r w:rsidRPr="0031099B">
      <w:rPr>
        <w:rStyle w:val="HideTWBExt"/>
      </w:rPr>
      <w:t>&gt;</w:t>
    </w:r>
    <w:r w:rsidRPr="0031099B">
      <w:tab/>
    </w:r>
    <w:r w:rsidRPr="0031099B">
      <w:fldChar w:fldCharType="begin"/>
    </w:r>
    <w:r w:rsidRPr="0031099B">
      <w:instrText xml:space="preserve"> PAGE  \* MERGEFORMAT </w:instrText>
    </w:r>
    <w:r w:rsidRPr="0031099B">
      <w:fldChar w:fldCharType="separate"/>
    </w:r>
    <w:r w:rsidR="0031099B" w:rsidRPr="0031099B">
      <w:rPr>
        <w:noProof/>
      </w:rPr>
      <w:t>2</w:t>
    </w:r>
    <w:r w:rsidRPr="0031099B">
      <w:fldChar w:fldCharType="end"/>
    </w:r>
    <w:r w:rsidRPr="0031099B">
      <w:t>/</w:t>
    </w:r>
    <w:r w:rsidR="008025BB">
      <w:fldChar w:fldCharType="begin"/>
    </w:r>
    <w:r w:rsidR="008025BB">
      <w:instrText xml:space="preserve"> NUMPAGES  \* MERGEFORMAT </w:instrText>
    </w:r>
    <w:r w:rsidR="008025BB">
      <w:fldChar w:fldCharType="separate"/>
    </w:r>
    <w:r w:rsidR="0031099B" w:rsidRPr="0031099B">
      <w:rPr>
        <w:noProof/>
      </w:rPr>
      <w:t>4</w:t>
    </w:r>
    <w:r w:rsidR="008025BB">
      <w:rPr>
        <w:noProof/>
      </w:rPr>
      <w:fldChar w:fldCharType="end"/>
    </w:r>
    <w:r w:rsidRPr="0031099B">
      <w:tab/>
    </w:r>
    <w:r w:rsidRPr="0031099B">
      <w:rPr>
        <w:rStyle w:val="HideTWBExt"/>
      </w:rPr>
      <w:t>&lt;PathFdR&gt;</w:t>
    </w:r>
    <w:r w:rsidRPr="0031099B">
      <w:t>RR\1299248BG.docx</w:t>
    </w:r>
    <w:r w:rsidRPr="0031099B">
      <w:rPr>
        <w:rStyle w:val="HideTWBExt"/>
      </w:rPr>
      <w:t>&lt;/</w:t>
    </w:r>
    <w:proofErr w:type="spellStart"/>
    <w:r w:rsidRPr="0031099B">
      <w:rPr>
        <w:rStyle w:val="HideTWBExt"/>
      </w:rPr>
      <w:t>PathFdR</w:t>
    </w:r>
    <w:proofErr w:type="spellEnd"/>
    <w:r w:rsidRPr="0031099B">
      <w:rPr>
        <w:rStyle w:val="HideTWBExt"/>
      </w:rPr>
      <w:t>&gt;</w:t>
    </w:r>
  </w:p>
  <w:p w:rsidR="008159B5" w:rsidRPr="0031099B" w:rsidRDefault="008159B5" w:rsidP="002E67A1">
    <w:pPr>
      <w:pStyle w:val="EPFooter2"/>
    </w:pPr>
    <w:r w:rsidRPr="0031099B">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9B5" w:rsidRPr="0031099B" w:rsidRDefault="008159B5" w:rsidP="002E67A1">
    <w:pPr>
      <w:pStyle w:val="EPFooter"/>
    </w:pPr>
    <w:r w:rsidRPr="0031099B">
      <w:rPr>
        <w:rStyle w:val="HideTWBExt"/>
      </w:rPr>
      <w:t>&lt;PathFdR&gt;</w:t>
    </w:r>
    <w:r w:rsidRPr="0031099B">
      <w:t>RR\1299248BG.docx</w:t>
    </w:r>
    <w:r w:rsidRPr="0031099B">
      <w:rPr>
        <w:rStyle w:val="HideTWBExt"/>
      </w:rPr>
      <w:t>&lt;/</w:t>
    </w:r>
    <w:proofErr w:type="spellStart"/>
    <w:r w:rsidRPr="0031099B">
      <w:rPr>
        <w:rStyle w:val="HideTWBExt"/>
      </w:rPr>
      <w:t>PathFdR</w:t>
    </w:r>
    <w:proofErr w:type="spellEnd"/>
    <w:r w:rsidRPr="0031099B">
      <w:rPr>
        <w:rStyle w:val="HideTWBExt"/>
      </w:rPr>
      <w:t>&gt;</w:t>
    </w:r>
    <w:r w:rsidRPr="0031099B">
      <w:tab/>
    </w:r>
    <w:r w:rsidRPr="0031099B">
      <w:tab/>
      <w:t>PE</w:t>
    </w:r>
    <w:r w:rsidRPr="0031099B">
      <w:rPr>
        <w:rStyle w:val="HideTWBExt"/>
      </w:rPr>
      <w:t>&lt;</w:t>
    </w:r>
    <w:proofErr w:type="spellStart"/>
    <w:r w:rsidRPr="0031099B">
      <w:rPr>
        <w:rStyle w:val="HideTWBExt"/>
      </w:rPr>
      <w:t>NoPE</w:t>
    </w:r>
    <w:proofErr w:type="spellEnd"/>
    <w:r w:rsidRPr="0031099B">
      <w:rPr>
        <w:rStyle w:val="HideTWBExt"/>
      </w:rPr>
      <w:t>&gt;</w:t>
    </w:r>
    <w:r w:rsidRPr="0031099B">
      <w:t>753.516</w:t>
    </w:r>
    <w:r w:rsidRPr="0031099B">
      <w:rPr>
        <w:rStyle w:val="HideTWBExt"/>
      </w:rPr>
      <w:t>&lt;/</w:t>
    </w:r>
    <w:proofErr w:type="spellStart"/>
    <w:r w:rsidRPr="0031099B">
      <w:rPr>
        <w:rStyle w:val="HideTWBExt"/>
      </w:rPr>
      <w:t>NoPE</w:t>
    </w:r>
    <w:proofErr w:type="spellEnd"/>
    <w:r w:rsidRPr="0031099B">
      <w:rPr>
        <w:rStyle w:val="HideTWBExt"/>
      </w:rPr>
      <w:t>&gt;&lt;Version&gt;</w:t>
    </w:r>
    <w:r w:rsidRPr="0031099B">
      <w:t>v02-00</w:t>
    </w:r>
    <w:r w:rsidRPr="0031099B">
      <w:rPr>
        <w:rStyle w:val="HideTWBExt"/>
      </w:rPr>
      <w:t>&lt;/</w:t>
    </w:r>
    <w:proofErr w:type="spellStart"/>
    <w:r w:rsidRPr="0031099B">
      <w:rPr>
        <w:rStyle w:val="HideTWBExt"/>
      </w:rPr>
      <w:t>Version</w:t>
    </w:r>
    <w:proofErr w:type="spellEnd"/>
    <w:r w:rsidRPr="0031099B">
      <w:rPr>
        <w:rStyle w:val="HideTWBExt"/>
      </w:rPr>
      <w:t>&gt;</w:t>
    </w:r>
  </w:p>
  <w:p w:rsidR="008159B5" w:rsidRPr="0031099B" w:rsidRDefault="008159B5" w:rsidP="002E67A1">
    <w:pPr>
      <w:pStyle w:val="EPFooter2"/>
    </w:pPr>
    <w:r w:rsidRPr="0031099B">
      <w:t>BG</w:t>
    </w:r>
    <w:r w:rsidRPr="0031099B">
      <w:tab/>
    </w:r>
    <w:r w:rsidRPr="0031099B">
      <w:rPr>
        <w:b w:val="0"/>
        <w:i/>
        <w:color w:val="C0C0C0"/>
        <w:sz w:val="22"/>
      </w:rPr>
      <w:t>Единство в многообразието</w:t>
    </w:r>
    <w:r w:rsidRPr="0031099B">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99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9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9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D1C" w:rsidRPr="0031099B" w:rsidRDefault="00F33D1C">
      <w:r w:rsidRPr="0031099B">
        <w:separator/>
      </w:r>
    </w:p>
  </w:footnote>
  <w:footnote w:type="continuationSeparator" w:id="0">
    <w:p w:rsidR="00F33D1C" w:rsidRPr="0031099B" w:rsidRDefault="00F33D1C">
      <w:r w:rsidRPr="0031099B">
        <w:continuationSeparator/>
      </w:r>
    </w:p>
  </w:footnote>
  <w:footnote w:id="1">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ОВ C, C/2023/594, 27.10.2023 г.</w:t>
      </w:r>
    </w:p>
  </w:footnote>
  <w:footnote w:id="2">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ОВ C, C/2023/112, 12.10.2023 г.</w:t>
      </w:r>
    </w:p>
  </w:footnote>
  <w:footnote w:id="3">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OВ L 193, 30.7.2018 г., стр. 1.</w:t>
      </w:r>
    </w:p>
  </w:footnote>
  <w:footnote w:id="4">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ОВ L 396, 30.12.2006 г., стр. 1.</w:t>
      </w:r>
    </w:p>
  </w:footnote>
  <w:footnote w:id="5">
    <w:p w:rsidR="008159B5" w:rsidRPr="0031099B" w:rsidRDefault="008159B5" w:rsidP="0031099B">
      <w:pPr>
        <w:pStyle w:val="FootnoteText"/>
        <w:ind w:left="567" w:hanging="567"/>
        <w:rPr>
          <w:sz w:val="24"/>
          <w:szCs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ОВ L 122, 10.5.2019 г., стр. 1.</w:t>
      </w:r>
    </w:p>
  </w:footnote>
  <w:footnote w:id="6">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ОВ C, C/2023/594, 27.10.2023 г.</w:t>
      </w:r>
    </w:p>
  </w:footnote>
  <w:footnote w:id="7">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ОВ C, C/2023/112, 12.10.2023 г.</w:t>
      </w:r>
    </w:p>
  </w:footnote>
  <w:footnote w:id="8">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OВ L 193, 30.7.2018 г., стр. 1.</w:t>
      </w:r>
    </w:p>
  </w:footnote>
  <w:footnote w:id="9">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ОВ L 396, 30.12.2006 г., стр. 1.</w:t>
      </w:r>
    </w:p>
  </w:footnote>
  <w:footnote w:id="10">
    <w:p w:rsidR="008159B5" w:rsidRPr="0031099B" w:rsidRDefault="008159B5" w:rsidP="0031099B">
      <w:pPr>
        <w:pStyle w:val="FootnoteText"/>
        <w:ind w:left="567" w:hanging="567"/>
        <w:rPr>
          <w:sz w:val="24"/>
          <w:szCs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ОВ L 122, 10.5.2019 г., стр. 1.</w:t>
      </w:r>
    </w:p>
  </w:footnote>
  <w:footnote w:id="11">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ОВ C 453, 29.11.2022 г., стр. 39.</w:t>
      </w:r>
    </w:p>
  </w:footnote>
  <w:footnote w:id="12">
    <w:p w:rsidR="008159B5" w:rsidRPr="0031099B" w:rsidRDefault="008159B5" w:rsidP="0031099B">
      <w:pPr>
        <w:pStyle w:val="FootnoteText"/>
        <w:ind w:left="567" w:hanging="567"/>
        <w:rPr>
          <w:sz w:val="24"/>
          <w:lang w:val="bg-BG"/>
        </w:rPr>
      </w:pPr>
      <w:r w:rsidRPr="0031099B">
        <w:rPr>
          <w:sz w:val="24"/>
          <w:vertAlign w:val="superscript"/>
          <w:lang w:val="bg-BG"/>
        </w:rPr>
        <w:footnoteRef/>
      </w:r>
      <w:r w:rsidR="0031099B" w:rsidRPr="0031099B">
        <w:rPr>
          <w:sz w:val="24"/>
          <w:lang w:val="bg-BG"/>
        </w:rPr>
        <w:t xml:space="preserve"> </w:t>
      </w:r>
      <w:r w:rsidR="0031099B" w:rsidRPr="0031099B">
        <w:rPr>
          <w:sz w:val="24"/>
          <w:lang w:val="bg-BG"/>
        </w:rPr>
        <w:tab/>
      </w:r>
      <w:r w:rsidRPr="0031099B">
        <w:rPr>
          <w:sz w:val="24"/>
          <w:lang w:val="bg-BG"/>
        </w:rPr>
        <w:t>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стр. 1).</w:t>
      </w:r>
    </w:p>
  </w:footnote>
  <w:footnote w:id="13">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(ОВ L 353, 31.12.2008 г., стр. 1).</w:t>
      </w:r>
    </w:p>
  </w:footnote>
  <w:footnote w:id="14">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 xml:space="preserve">Регламент (ЕС) № 528/2012 на Европейския парламент и на Съвета от 22 май 2012 г. относно предоставянето на пазара и употребата на </w:t>
      </w:r>
      <w:proofErr w:type="spellStart"/>
      <w:r w:rsidRPr="0031099B">
        <w:rPr>
          <w:sz w:val="24"/>
          <w:lang w:val="bg-BG"/>
        </w:rPr>
        <w:t>биоциди</w:t>
      </w:r>
      <w:proofErr w:type="spellEnd"/>
      <w:r w:rsidRPr="0031099B">
        <w:rPr>
          <w:sz w:val="24"/>
          <w:lang w:val="bg-BG"/>
        </w:rPr>
        <w:t xml:space="preserve"> (ОВ L 167, 27.6.2012 г., стр. 1).</w:t>
      </w:r>
    </w:p>
  </w:footnote>
  <w:footnote w:id="15">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Регламент (EО) № 1107/2009 на Европейския парламент и на Съвета от 21 октомври 2009</w:t>
      </w:r>
      <w:r w:rsidR="00A96352">
        <w:rPr>
          <w:sz w:val="24"/>
          <w:lang w:val="en-GB"/>
        </w:rPr>
        <w:t> </w:t>
      </w:r>
      <w:r w:rsidR="00A96352" w:rsidRPr="0031099B">
        <w:rPr>
          <w:sz w:val="24"/>
          <w:lang w:val="bg-BG"/>
        </w:rPr>
        <w:t>г</w:t>
      </w:r>
      <w:r w:rsidR="00A96352">
        <w:rPr>
          <w:sz w:val="24"/>
          <w:lang w:val="en-GB"/>
        </w:rPr>
        <w:t>.</w:t>
      </w:r>
      <w:r w:rsidR="00A96352" w:rsidRPr="0031099B">
        <w:rPr>
          <w:sz w:val="24"/>
          <w:lang w:val="bg-BG"/>
        </w:rPr>
        <w:t xml:space="preserve"> </w:t>
      </w:r>
      <w:r w:rsidRPr="0031099B">
        <w:rPr>
          <w:sz w:val="24"/>
          <w:lang w:val="bg-BG"/>
        </w:rPr>
        <w:t>относно пускането на пазара на продукти за растителна защита и за отмяна на директиви 79/117/ЕИО и 91/414/ЕИО на Съвета (OB L 309, 24.11.2009 г., стр. 1).</w:t>
      </w:r>
    </w:p>
  </w:footnote>
  <w:footnote w:id="16">
    <w:p w:rsidR="008159B5" w:rsidRPr="0031099B" w:rsidRDefault="008159B5" w:rsidP="0031099B">
      <w:pPr>
        <w:pStyle w:val="FootnoteText"/>
        <w:ind w:left="567" w:hanging="567"/>
        <w:rPr>
          <w:sz w:val="24"/>
          <w:lang w:val="bg-BG"/>
        </w:rPr>
      </w:pPr>
      <w:r w:rsidRPr="0031099B">
        <w:rPr>
          <w:rStyle w:val="FootnoteReference"/>
          <w:sz w:val="24"/>
          <w:lang w:val="bg-BG"/>
        </w:rPr>
        <w:footnoteRef/>
      </w:r>
      <w:r w:rsidR="0031099B" w:rsidRPr="0031099B">
        <w:rPr>
          <w:sz w:val="24"/>
          <w:lang w:val="bg-BG"/>
        </w:rPr>
        <w:t xml:space="preserve"> </w:t>
      </w:r>
      <w:r w:rsidR="0031099B" w:rsidRPr="0031099B">
        <w:rPr>
          <w:sz w:val="24"/>
          <w:lang w:val="bg-BG"/>
        </w:rPr>
        <w:tab/>
      </w:r>
      <w:r w:rsidRPr="0031099B">
        <w:rPr>
          <w:sz w:val="24"/>
          <w:lang w:val="bg-BG"/>
        </w:rPr>
        <w:t>Приети текстове, P9_TA(2024)</w:t>
      </w:r>
      <w:r w:rsidR="00561C5A" w:rsidRPr="00635445">
        <w:rPr>
          <w:sz w:val="24"/>
          <w:lang w:val="bg-BG"/>
        </w:rPr>
        <w:t>0</w:t>
      </w:r>
      <w:r w:rsidR="00561C5A">
        <w:rPr>
          <w:sz w:val="24"/>
          <w:lang w:val="en-GB"/>
        </w:rPr>
        <w:t>28</w:t>
      </w:r>
      <w:r w:rsidR="00561C5A" w:rsidRPr="00635445">
        <w:rPr>
          <w:sz w:val="24"/>
          <w:lang w:val="bg-BG"/>
        </w:rPr>
        <w:t>0</w:t>
      </w:r>
      <w:r w:rsidRPr="0031099B">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9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9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9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BG"/>
    <w:docVar w:name="dvnumam" w:val="0"/>
    <w:docVar w:name="dvpe" w:val="753.516"/>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ата агенция по химикали за финансовата 2022 година(2023/2148(DEC))"/>
  </w:docVars>
  <w:rsids>
    <w:rsidRoot w:val="00F33D1C"/>
    <w:rsid w:val="00002272"/>
    <w:rsid w:val="00064002"/>
    <w:rsid w:val="000677B9"/>
    <w:rsid w:val="000831BA"/>
    <w:rsid w:val="000A42CC"/>
    <w:rsid w:val="000E7DD9"/>
    <w:rsid w:val="0010095E"/>
    <w:rsid w:val="00125B37"/>
    <w:rsid w:val="00187494"/>
    <w:rsid w:val="001F32AE"/>
    <w:rsid w:val="002767FF"/>
    <w:rsid w:val="002B18FE"/>
    <w:rsid w:val="002B5493"/>
    <w:rsid w:val="0031099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C5A"/>
    <w:rsid w:val="005C2568"/>
    <w:rsid w:val="006037C0"/>
    <w:rsid w:val="00605D9C"/>
    <w:rsid w:val="006631B6"/>
    <w:rsid w:val="00680577"/>
    <w:rsid w:val="006F74FA"/>
    <w:rsid w:val="00731ADD"/>
    <w:rsid w:val="00734777"/>
    <w:rsid w:val="00747932"/>
    <w:rsid w:val="00751A4A"/>
    <w:rsid w:val="00756632"/>
    <w:rsid w:val="00762C74"/>
    <w:rsid w:val="00786EC0"/>
    <w:rsid w:val="007D1690"/>
    <w:rsid w:val="007E22AD"/>
    <w:rsid w:val="008025BB"/>
    <w:rsid w:val="008159B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635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D4C"/>
    <w:rsid w:val="00DA7FCD"/>
    <w:rsid w:val="00E365E1"/>
    <w:rsid w:val="00E820A4"/>
    <w:rsid w:val="00EB006A"/>
    <w:rsid w:val="00EB4772"/>
    <w:rsid w:val="00ED169E"/>
    <w:rsid w:val="00ED4235"/>
    <w:rsid w:val="00F04346"/>
    <w:rsid w:val="00F075DC"/>
    <w:rsid w:val="00F149E9"/>
    <w:rsid w:val="00F33D1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07D7D"/>
  <w15:chartTrackingRefBased/>
  <w15:docId w15:val="{3BC995A2-5C7F-4C57-ACFD-4E4C7E801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159B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59B5"/>
    <w:pPr>
      <w:spacing w:before="480" w:after="240"/>
    </w:pPr>
  </w:style>
  <w:style w:type="paragraph" w:customStyle="1" w:styleId="PageHeading">
    <w:name w:val="PageHeading"/>
    <w:basedOn w:val="Normal"/>
    <w:rsid w:val="008159B5"/>
    <w:pPr>
      <w:keepNext/>
      <w:spacing w:after="480"/>
      <w:jc w:val="center"/>
    </w:pPr>
    <w:rPr>
      <w:rFonts w:ascii="Arial" w:hAnsi="Arial" w:cs="Arial"/>
      <w:b/>
    </w:rPr>
  </w:style>
  <w:style w:type="paragraph" w:customStyle="1" w:styleId="NormalBold">
    <w:name w:val="NormalBold"/>
    <w:basedOn w:val="Normal"/>
    <w:rsid w:val="008159B5"/>
    <w:rPr>
      <w:b/>
    </w:rPr>
  </w:style>
  <w:style w:type="paragraph" w:customStyle="1" w:styleId="NormalHanging12a">
    <w:name w:val="NormalHanging12a"/>
    <w:basedOn w:val="Normal"/>
    <w:link w:val="NormalHanging12aChar"/>
    <w:rsid w:val="008159B5"/>
    <w:pPr>
      <w:spacing w:after="240"/>
      <w:ind w:left="567" w:hanging="567"/>
    </w:pPr>
  </w:style>
  <w:style w:type="paragraph" w:customStyle="1" w:styleId="NormalCenter12a">
    <w:name w:val="NormalCenter12a"/>
    <w:basedOn w:val="Normal"/>
    <w:rsid w:val="008159B5"/>
    <w:pPr>
      <w:spacing w:after="240"/>
      <w:jc w:val="center"/>
    </w:pPr>
  </w:style>
  <w:style w:type="paragraph" w:styleId="Header">
    <w:name w:val="header"/>
    <w:basedOn w:val="Normal"/>
    <w:link w:val="HeaderChar"/>
    <w:rsid w:val="008159B5"/>
    <w:pPr>
      <w:tabs>
        <w:tab w:val="center" w:pos="4513"/>
        <w:tab w:val="right" w:pos="9026"/>
      </w:tabs>
    </w:pPr>
  </w:style>
  <w:style w:type="character" w:customStyle="1" w:styleId="HeaderChar">
    <w:name w:val="Header Char"/>
    <w:basedOn w:val="DefaultParagraphFont"/>
    <w:link w:val="Header"/>
    <w:rsid w:val="008159B5"/>
    <w:rPr>
      <w:sz w:val="24"/>
      <w:lang w:val="bg-BG"/>
    </w:rPr>
  </w:style>
  <w:style w:type="paragraph" w:customStyle="1" w:styleId="EPFooter">
    <w:name w:val="EPFooter"/>
    <w:basedOn w:val="Normal"/>
    <w:rsid w:val="008159B5"/>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8159B5"/>
    <w:pPr>
      <w:spacing w:after="240"/>
      <w:ind w:left="567" w:hanging="567"/>
    </w:pPr>
  </w:style>
  <w:style w:type="character" w:customStyle="1" w:styleId="NormalHanging12aChar">
    <w:name w:val="NormalHanging12a Char"/>
    <w:link w:val="NormalHanging12a"/>
    <w:locked/>
    <w:rsid w:val="008159B5"/>
    <w:rPr>
      <w:sz w:val="24"/>
      <w:lang w:val="bg-BG"/>
    </w:rPr>
  </w:style>
  <w:style w:type="character" w:customStyle="1" w:styleId="Normal12HangingChar">
    <w:name w:val="Normal12Hanging Char"/>
    <w:link w:val="Normal12Hanging"/>
    <w:locked/>
    <w:rsid w:val="008159B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FDBE7-679E-4BC6-A326-65183FFD7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3708</Words>
  <Characters>21376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2024-05-21T12:30:00Z</dcterms:created>
  <dcterms:modified xsi:type="dcterms:W3CDTF">2024-05-21T12:30:00Z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P9_TA(2024)0258_</vt:lpwstr>
  </property>
  <property fmtid="{D5CDD505-2E9C-101B-9397-08002B2CF9AE}" pid="4" name="&lt;Type&gt;">
    <vt:lpwstr>RR</vt:lpwstr>
  </property>
</Properties>
</file>