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15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15F8" w:rsidRDefault="0056322E" w:rsidP="0010095E">
            <w:pPr>
              <w:pStyle w:val="EPName"/>
            </w:pPr>
            <w:r w:rsidRPr="007415F8">
              <w:t>Evropský parlament</w:t>
            </w:r>
          </w:p>
          <w:p w:rsidR="00751A4A" w:rsidRPr="007415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15F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415F8" w:rsidRDefault="00187494" w:rsidP="0010095E">
            <w:pPr>
              <w:pStyle w:val="EPLogo"/>
            </w:pPr>
            <w:r w:rsidRPr="007415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15F8" w:rsidRDefault="00D058B8" w:rsidP="004C5D52">
      <w:pPr>
        <w:pStyle w:val="LineTop"/>
      </w:pPr>
    </w:p>
    <w:p w:rsidR="00680577" w:rsidRPr="007415F8" w:rsidRDefault="0056322E" w:rsidP="00680577">
      <w:pPr>
        <w:pStyle w:val="EPBodyTA1"/>
      </w:pPr>
      <w:r w:rsidRPr="007415F8">
        <w:t>PŘIJATÉ TEXTY</w:t>
      </w:r>
    </w:p>
    <w:p w:rsidR="00D058B8" w:rsidRPr="007415F8" w:rsidRDefault="00D058B8" w:rsidP="00D058B8">
      <w:pPr>
        <w:pStyle w:val="LineBottom"/>
      </w:pPr>
    </w:p>
    <w:p w:rsidR="0056322E" w:rsidRPr="007415F8" w:rsidRDefault="0056322E" w:rsidP="0056322E">
      <w:pPr>
        <w:pStyle w:val="ATHeading1"/>
      </w:pPr>
      <w:bookmarkStart w:id="0" w:name="TANumber"/>
      <w:r w:rsidRPr="007415F8">
        <w:t>P9_TA(2024)0</w:t>
      </w:r>
      <w:r w:rsidR="00181E56">
        <w:t>258</w:t>
      </w:r>
      <w:bookmarkEnd w:id="0"/>
    </w:p>
    <w:p w:rsidR="0056322E" w:rsidRPr="007415F8" w:rsidRDefault="0056322E" w:rsidP="0056322E">
      <w:pPr>
        <w:pStyle w:val="ATHeading2"/>
      </w:pPr>
      <w:bookmarkStart w:id="1" w:name="title"/>
      <w:r w:rsidRPr="007415F8">
        <w:t>Udělení absolutoria za rok 2022: Evropská agentura pro chemické látky</w:t>
      </w:r>
      <w:bookmarkEnd w:id="1"/>
    </w:p>
    <w:p w:rsidR="0056322E" w:rsidRPr="007415F8" w:rsidRDefault="0056322E" w:rsidP="0056322E">
      <w:pPr>
        <w:rPr>
          <w:i/>
          <w:vanish/>
        </w:rPr>
      </w:pPr>
      <w:r w:rsidRPr="007415F8">
        <w:rPr>
          <w:i/>
        </w:rPr>
        <w:fldChar w:fldCharType="begin"/>
      </w:r>
      <w:r w:rsidRPr="007415F8">
        <w:rPr>
          <w:i/>
        </w:rPr>
        <w:instrText xml:space="preserve"> TC"(</w:instrText>
      </w:r>
      <w:bookmarkStart w:id="2" w:name="DocNumber"/>
      <w:r w:rsidRPr="007415F8">
        <w:rPr>
          <w:i/>
        </w:rPr>
        <w:instrText>A9-0135/2024</w:instrText>
      </w:r>
      <w:bookmarkEnd w:id="2"/>
      <w:r w:rsidRPr="007415F8">
        <w:rPr>
          <w:i/>
        </w:rPr>
        <w:instrText xml:space="preserve"> - Zpravodaj: Petri Sarvamaa)"\l3 \n&gt; \* MERGEFORMAT </w:instrText>
      </w:r>
      <w:r w:rsidRPr="007415F8">
        <w:rPr>
          <w:i/>
        </w:rPr>
        <w:fldChar w:fldCharType="end"/>
      </w:r>
    </w:p>
    <w:p w:rsidR="0056322E" w:rsidRPr="007415F8" w:rsidRDefault="0056322E" w:rsidP="0056322E">
      <w:pPr>
        <w:rPr>
          <w:vanish/>
        </w:rPr>
      </w:pPr>
      <w:bookmarkStart w:id="3" w:name="Commission"/>
      <w:r w:rsidRPr="007415F8">
        <w:rPr>
          <w:vanish/>
        </w:rPr>
        <w:t>Výbor pro rozpočtovou kontrolu</w:t>
      </w:r>
      <w:bookmarkEnd w:id="3"/>
    </w:p>
    <w:p w:rsidR="0056322E" w:rsidRPr="007415F8" w:rsidRDefault="0056322E" w:rsidP="0056322E">
      <w:pPr>
        <w:rPr>
          <w:vanish/>
        </w:rPr>
      </w:pPr>
      <w:bookmarkStart w:id="4" w:name="PE"/>
      <w:r w:rsidRPr="007415F8">
        <w:rPr>
          <w:vanish/>
        </w:rPr>
        <w:t>PE753.516</w:t>
      </w:r>
      <w:bookmarkEnd w:id="4"/>
    </w:p>
    <w:p w:rsidR="0056322E" w:rsidRPr="007415F8" w:rsidRDefault="0056322E" w:rsidP="0056322E">
      <w:pPr>
        <w:pStyle w:val="ATHeading3"/>
      </w:pPr>
      <w:bookmarkStart w:id="5" w:name="Sujet"/>
      <w:r w:rsidRPr="007415F8">
        <w:t>1. Rozhodnutí Evropského parlamentu ze dne 11. dubna 2024 o udělení absolutoria za plnění rozpočtu Evropské agentury pro na rozpočtový rok 2022</w:t>
      </w:r>
      <w:bookmarkEnd w:id="5"/>
      <w:r w:rsidRPr="007415F8">
        <w:t xml:space="preserve"> </w:t>
      </w:r>
      <w:bookmarkStart w:id="6" w:name="References"/>
      <w:r w:rsidRPr="007415F8">
        <w:t>(2023/2148(DEC))</w:t>
      </w:r>
      <w:bookmarkEnd w:id="6"/>
    </w:p>
    <w:p w:rsidR="00E900EE" w:rsidRPr="007415F8" w:rsidRDefault="00E900EE" w:rsidP="00E900EE">
      <w:pPr>
        <w:pStyle w:val="EPComma"/>
      </w:pPr>
      <w:bookmarkStart w:id="7" w:name="TextBodyBegin"/>
      <w:bookmarkEnd w:id="7"/>
      <w:r w:rsidRPr="007415F8">
        <w:rPr>
          <w:i/>
        </w:rPr>
        <w:t>Evropský parlament</w:t>
      </w:r>
      <w:r w:rsidRPr="007415F8">
        <w:t>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konečnou roční účetní závěrku Evropské agentury pro chemické látky za rozpočtový rok 2022,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výroční zprávu Účetního dvora o agenturách EU za rozpočtový rok 2022 spolu s odpověďmi agentur</w:t>
      </w:r>
      <w:r w:rsidRPr="007415F8">
        <w:rPr>
          <w:rStyle w:val="FootnoteReference"/>
        </w:rPr>
        <w:footnoteReference w:id="1"/>
      </w:r>
      <w:r w:rsidRPr="007415F8">
        <w:t>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prohlášení o věrohodnosti</w:t>
      </w:r>
      <w:r w:rsidRPr="007415F8">
        <w:rPr>
          <w:rStyle w:val="FootnoteReference"/>
        </w:rPr>
        <w:footnoteReference w:id="2"/>
      </w:r>
      <w:r w:rsidRPr="007415F8">
        <w:t xml:space="preserve"> účetnictví a o legalitě a správnosti uskutečněných operací, které předložil Účetní dvůr za rozpočtový rok 2022 podle článku 287 Smlouvy o fungování Evropské unie,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doporučení Rady ze dne 22. února 2024 udělení absolutoria agentuře za plnění rozpočtu na rozpočtový rok 2022 (0</w:t>
      </w:r>
      <w:r w:rsidR="00A21B35">
        <w:t>6</w:t>
      </w:r>
      <w:r w:rsidR="00575361">
        <w:t>1</w:t>
      </w:r>
      <w:r w:rsidR="00A21B35">
        <w:t>8</w:t>
      </w:r>
      <w:r w:rsidRPr="007415F8">
        <w:t>0/2024 – C9</w:t>
      </w:r>
      <w:r w:rsidRPr="007415F8">
        <w:noBreakHyphen/>
        <w:t>0</w:t>
      </w:r>
      <w:r w:rsidR="00A21B35">
        <w:t>086</w:t>
      </w:r>
      <w:r w:rsidRPr="007415F8">
        <w:t>/2024),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článek 319 Smlouvy o fungování Evropské unie,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415F8">
        <w:rPr>
          <w:rStyle w:val="FootnoteReference"/>
        </w:rPr>
        <w:footnoteReference w:id="3"/>
      </w:r>
      <w:r w:rsidRPr="007415F8">
        <w:t>, a zejména na článek 70 tohoto nařízení,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nařízení Evropského parlamentu a Rady (ES) č. 1907/2006 ze dne 18. prosince 2006 o registraci, hodnocení, povolování a omezování chemických látek, o zřízení Evropské agentury pro chemické látky, o změně směrnice 1999/45/ES a o zrušení nařízení Rady (EHS) č. 793/93, nařízení Komise (ES) č. 1488/94, směrnice Rady 76/769/EHS a směrnic Komise 91/155/EHS, 93/67/EHS, 93/105/ES a 2000/21/ES</w:t>
      </w:r>
      <w:r w:rsidRPr="007415F8">
        <w:rPr>
          <w:rStyle w:val="FootnoteReference"/>
        </w:rPr>
        <w:footnoteReference w:id="4"/>
      </w:r>
      <w:r w:rsidRPr="007415F8">
        <w:t>, a zejména na článek 97 tohoto nařízení,</w:t>
      </w:r>
    </w:p>
    <w:p w:rsidR="00E900EE" w:rsidRPr="007415F8" w:rsidRDefault="00E900EE" w:rsidP="00E900EE">
      <w:pPr>
        <w:pStyle w:val="NormalHanging12a"/>
      </w:pPr>
      <w:r w:rsidRPr="007415F8">
        <w:lastRenderedPageBreak/>
        <w:t>–</w:t>
      </w:r>
      <w:r w:rsidRPr="007415F8">
        <w:tab/>
        <w:t>s ohledem na nařízení Komise v přenesené pravomoci (EU) 2019/715 ze dne 18. prosince 2018 o rámcovém finančním nařízení pro subjekty zřízené podle S</w:t>
      </w:r>
      <w:r w:rsidR="00942DB5">
        <w:t xml:space="preserve">mlouvy o fungování </w:t>
      </w:r>
      <w:r w:rsidRPr="007415F8">
        <w:t>E</w:t>
      </w:r>
      <w:r w:rsidR="00942DB5">
        <w:t>vropské unie</w:t>
      </w:r>
      <w:r w:rsidRPr="007415F8">
        <w:t xml:space="preserve"> a Smlouvy o Euratomu a uvedené v článku 70 nařízení Evropského parlamentu a Rady (EU, Euratom) 2018/1046</w:t>
      </w:r>
      <w:r w:rsidRPr="007415F8">
        <w:rPr>
          <w:rStyle w:val="FootnoteReference"/>
        </w:rPr>
        <w:footnoteReference w:id="5"/>
      </w:r>
      <w:r w:rsidRPr="007415F8">
        <w:t>, a zejména na článek 105 tohoto nařízení,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článek 100 a přílohu V jednacího řádu,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stanovisko Výboru pro životní prostředí, veřejné zdraví a bezpečnost potravin,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zprávu Výboru pro rozpočtovou kontrolu (A9</w:t>
      </w:r>
      <w:r w:rsidRPr="007415F8">
        <w:noBreakHyphen/>
        <w:t>0135/2024),</w:t>
      </w:r>
    </w:p>
    <w:p w:rsidR="00E900EE" w:rsidRPr="007415F8" w:rsidRDefault="00E900EE" w:rsidP="00E900EE">
      <w:pPr>
        <w:pStyle w:val="NormalHanging12a"/>
      </w:pPr>
      <w:r w:rsidRPr="007415F8">
        <w:t>1.</w:t>
      </w:r>
      <w:r w:rsidRPr="007415F8">
        <w:tab/>
        <w:t>uděluje absolutorium výkonné ředitelce Evropské agentury pro chemické látky za plnění rozpočtu agentury na rozpočtový rok 2022;</w:t>
      </w:r>
    </w:p>
    <w:p w:rsidR="00E900EE" w:rsidRPr="007415F8" w:rsidRDefault="00E900EE" w:rsidP="00E900EE">
      <w:pPr>
        <w:pStyle w:val="NormalHanging12a"/>
      </w:pPr>
      <w:r w:rsidRPr="007415F8">
        <w:t>2.</w:t>
      </w:r>
      <w:r w:rsidRPr="007415F8">
        <w:tab/>
        <w:t>předkládá své připomínky v níže uvedeném usnesení;</w:t>
      </w:r>
    </w:p>
    <w:p w:rsidR="00E900EE" w:rsidRPr="007415F8" w:rsidRDefault="00E900EE" w:rsidP="00E900EE">
      <w:pPr>
        <w:pStyle w:val="NormalHanging12a"/>
      </w:pPr>
      <w:r w:rsidRPr="007415F8">
        <w:t>3.</w:t>
      </w:r>
      <w:r w:rsidRPr="007415F8">
        <w:tab/>
        <w:t xml:space="preserve">pověřuje svou předsedkyni, aby předala toto rozhodnutí a usnesení, které je jeho nedílnou součástí, výkonné ředitelce Evropské agentury pro chemické látky, Radě, Komisi a Účetnímu dvoru a aby zajistila jejich zveřejnění v </w:t>
      </w:r>
      <w:r w:rsidRPr="007415F8">
        <w:rPr>
          <w:i/>
        </w:rPr>
        <w:t>Úředním věstníku Evropské unie</w:t>
      </w:r>
      <w:r w:rsidRPr="007415F8">
        <w:t xml:space="preserve"> (řada L).</w:t>
      </w:r>
    </w:p>
    <w:p w:rsidR="00E900EE" w:rsidRPr="007415F8" w:rsidRDefault="00E900EE" w:rsidP="00E900EE"/>
    <w:p w:rsidR="00E900EE" w:rsidRPr="007415F8" w:rsidRDefault="00E900EE" w:rsidP="00E900EE">
      <w:pPr>
        <w:pStyle w:val="PageHeading"/>
        <w:sectPr w:rsidR="00E900EE" w:rsidRPr="007415F8" w:rsidSect="007415F8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900EE" w:rsidRPr="007415F8" w:rsidRDefault="00E900EE" w:rsidP="00B04E02">
      <w:pPr>
        <w:pStyle w:val="ATHeading3"/>
      </w:pPr>
      <w:bookmarkStart w:id="8" w:name="_Toc161999943"/>
      <w:r w:rsidRPr="007415F8">
        <w:lastRenderedPageBreak/>
        <w:t xml:space="preserve">2. </w:t>
      </w:r>
      <w:r w:rsidR="00B04E02" w:rsidRPr="007415F8">
        <w:t>Rozhodnutí Evropského parlamentu</w:t>
      </w:r>
      <w:bookmarkEnd w:id="8"/>
      <w:r w:rsidR="00B04E02">
        <w:t xml:space="preserve"> </w:t>
      </w:r>
      <w:r w:rsidR="00B46479" w:rsidRPr="00E02DC7">
        <w:t xml:space="preserve">ze dne 11. dubna 2024 </w:t>
      </w:r>
      <w:r w:rsidRPr="007415F8">
        <w:t>o uzavření účtů Evropské agentury pro chemické látky za rozpočtový rok 2022</w:t>
      </w:r>
      <w:r w:rsidR="00B04E02">
        <w:t xml:space="preserve"> </w:t>
      </w:r>
      <w:r w:rsidRPr="007415F8">
        <w:t>(2023/2148(DEC))</w:t>
      </w:r>
    </w:p>
    <w:p w:rsidR="00E900EE" w:rsidRPr="007415F8" w:rsidRDefault="00E900EE" w:rsidP="00E900EE">
      <w:pPr>
        <w:pStyle w:val="EPComma"/>
      </w:pPr>
      <w:r w:rsidRPr="007415F8">
        <w:rPr>
          <w:i/>
        </w:rPr>
        <w:t>Evropský parlament</w:t>
      </w:r>
      <w:r w:rsidRPr="007415F8">
        <w:t>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konečnou roční účetní závěrku Evropské agentury pro chemické látky za rozpočtový rok 2022,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výroční zprávu Účetního dvora o agenturách EU za rozpočtový rok 2022 spolu s odpověďmi agentur</w:t>
      </w:r>
      <w:r w:rsidRPr="007415F8">
        <w:rPr>
          <w:rStyle w:val="FootnoteReference"/>
        </w:rPr>
        <w:footnoteReference w:id="6"/>
      </w:r>
      <w:r w:rsidRPr="007415F8">
        <w:t>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prohlášení o věrohodnosti</w:t>
      </w:r>
      <w:r w:rsidRPr="007415F8">
        <w:rPr>
          <w:rStyle w:val="FootnoteReference"/>
        </w:rPr>
        <w:footnoteReference w:id="7"/>
      </w:r>
      <w:r w:rsidRPr="007415F8">
        <w:t xml:space="preserve"> účetnictví a o legalitě a správnosti uskutečněných operací, které předložil Účetní dvůr za rozpočtový rok 2022 podle článku 287 Smlouvy o fungování Evropské unie,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doporučení Rady ze dne 22. února 2024 o udělení absolutoria agentuře za plnění rozpočtu na rozpočtový rok 2022 (0</w:t>
      </w:r>
      <w:r w:rsidR="00A21B35">
        <w:t>618</w:t>
      </w:r>
      <w:r w:rsidRPr="007415F8">
        <w:t>0/2024 – C9</w:t>
      </w:r>
      <w:r w:rsidRPr="007415F8">
        <w:noBreakHyphen/>
        <w:t>0</w:t>
      </w:r>
      <w:r w:rsidR="00A21B35">
        <w:t>086</w:t>
      </w:r>
      <w:r w:rsidRPr="007415F8">
        <w:t>/2024),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článek 319 Smlouvy o fungování Evropské unie,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415F8">
        <w:rPr>
          <w:rStyle w:val="FootnoteReference"/>
        </w:rPr>
        <w:footnoteReference w:id="8"/>
      </w:r>
      <w:r w:rsidRPr="007415F8">
        <w:t>, a zejména na článek 70 tohoto nařízení,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nařízení Evropského parlamentu a Rady (ES) č. 1907/2006 ze dne 18. prosince 2006 o registraci, hodnocení, povolování a omezování chemických látek, o zřízení Evropské agentury pro chemické látky, o změně směrnice 1999/45/ES a o zrušení nařízení Rady (EHS) č. 793/93, nařízení Komise (ES) č. 1488/94, směrnice Rady 76/769/EHS a směrnic Komise 91/155/EHS, 93/67/EHS, 93/105/ES a 2000/21/ES</w:t>
      </w:r>
      <w:r w:rsidRPr="007415F8">
        <w:rPr>
          <w:rStyle w:val="FootnoteReference"/>
        </w:rPr>
        <w:footnoteReference w:id="9"/>
      </w:r>
      <w:r w:rsidRPr="007415F8">
        <w:t>, a zejména na článek 97 tohoto nařízení,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nařízení Komise v přenesené pravomoci (EU) 2019/715 ze dne 18. prosince 2018 o rámcovém finančním nařízení pro subjekty zřízené podle S</w:t>
      </w:r>
      <w:r w:rsidR="00942DB5">
        <w:t>mlouvy o fungování Evropské unie</w:t>
      </w:r>
      <w:r w:rsidRPr="007415F8">
        <w:t xml:space="preserve"> a Smlouvy o Euratomu a uvedené v článku 70 nařízení Evropského parlamentu a Rady (EU, Euratom) 2018/1046</w:t>
      </w:r>
      <w:r w:rsidRPr="007415F8">
        <w:rPr>
          <w:rStyle w:val="FootnoteReference"/>
        </w:rPr>
        <w:footnoteReference w:id="10"/>
      </w:r>
      <w:r w:rsidRPr="007415F8">
        <w:t>, a zejména na článek 105 tohoto nařízení,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článek 100 a přílohu V jednacího řádu,</w:t>
      </w:r>
    </w:p>
    <w:p w:rsidR="00E900EE" w:rsidRPr="007415F8" w:rsidRDefault="00E900EE" w:rsidP="00E900EE">
      <w:pPr>
        <w:pStyle w:val="NormalHanging12a"/>
      </w:pPr>
      <w:r w:rsidRPr="007415F8">
        <w:t>–</w:t>
      </w:r>
      <w:r w:rsidRPr="007415F8">
        <w:tab/>
        <w:t>s ohledem na stanovisko Výboru pro životní prostředí, veřejné zdraví a bezpečnost potravin,</w:t>
      </w:r>
    </w:p>
    <w:p w:rsidR="00E900EE" w:rsidRPr="007415F8" w:rsidRDefault="00E900EE" w:rsidP="00E900EE">
      <w:pPr>
        <w:pStyle w:val="NormalHanging12a"/>
      </w:pPr>
      <w:r w:rsidRPr="007415F8">
        <w:lastRenderedPageBreak/>
        <w:t>–</w:t>
      </w:r>
      <w:r w:rsidRPr="007415F8">
        <w:tab/>
        <w:t>s ohledem na zprávu Výboru pro rozpočtovou kontrolu (A9</w:t>
      </w:r>
      <w:r w:rsidRPr="007415F8">
        <w:noBreakHyphen/>
        <w:t>0135/2024),</w:t>
      </w:r>
    </w:p>
    <w:p w:rsidR="00E900EE" w:rsidRPr="007415F8" w:rsidRDefault="00E900EE" w:rsidP="00E900EE">
      <w:pPr>
        <w:pStyle w:val="NormalHanging12a"/>
      </w:pPr>
      <w:r w:rsidRPr="007415F8">
        <w:t>1.</w:t>
      </w:r>
      <w:r w:rsidRPr="007415F8">
        <w:tab/>
        <w:t>schvaluje uzavření účtů Evropské agentury pro chemické látky za rozpočtový rok 2022;</w:t>
      </w:r>
    </w:p>
    <w:p w:rsidR="00E900EE" w:rsidRPr="007415F8" w:rsidRDefault="00E900EE" w:rsidP="00E900EE">
      <w:pPr>
        <w:pStyle w:val="NormalHanging12a"/>
      </w:pPr>
      <w:r w:rsidRPr="007415F8">
        <w:t>2.</w:t>
      </w:r>
      <w:r w:rsidRPr="007415F8">
        <w:tab/>
        <w:t xml:space="preserve">pověřuje svou předsedkyni, aby předala toto rozhodnutí výkonné ředitelce Evropské agentury pro chemické látky, Radě, Komisi a Účetnímu dvoru a aby zajistila jeho zveřejnění v </w:t>
      </w:r>
      <w:r w:rsidRPr="007415F8">
        <w:rPr>
          <w:i/>
        </w:rPr>
        <w:t>Úředním věstníku Evropské unie</w:t>
      </w:r>
      <w:r w:rsidRPr="007415F8">
        <w:t xml:space="preserve"> (řada L).</w:t>
      </w:r>
    </w:p>
    <w:p w:rsidR="00E900EE" w:rsidRPr="007415F8" w:rsidRDefault="00E900EE" w:rsidP="00E900EE"/>
    <w:p w:rsidR="00E900EE" w:rsidRPr="007415F8" w:rsidRDefault="00E900EE" w:rsidP="00E900EE">
      <w:pPr>
        <w:pStyle w:val="PageHeading"/>
        <w:sectPr w:rsidR="00E900EE" w:rsidRPr="007415F8" w:rsidSect="007415F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E900EE" w:rsidRPr="007415F8" w:rsidRDefault="00E900EE" w:rsidP="00B04E02">
      <w:pPr>
        <w:pStyle w:val="ATHeading3"/>
      </w:pPr>
      <w:bookmarkStart w:id="10" w:name="_Toc161999944"/>
      <w:r w:rsidRPr="007415F8">
        <w:lastRenderedPageBreak/>
        <w:t xml:space="preserve">3. </w:t>
      </w:r>
      <w:r w:rsidR="00B04E02" w:rsidRPr="007415F8">
        <w:t>Usnesení Evropského parlamentu</w:t>
      </w:r>
      <w:bookmarkEnd w:id="10"/>
      <w:r w:rsidR="00B04E02">
        <w:t xml:space="preserve"> </w:t>
      </w:r>
      <w:r w:rsidR="00B46479" w:rsidRPr="00E02DC7">
        <w:t xml:space="preserve">ze dne 11. dubna 2024 </w:t>
      </w:r>
      <w:r w:rsidRPr="007415F8">
        <w:t>obsahující připomínky, které jsou nedílnou součástí rozhodnutí o udělení absolutoria za plnění rozpočtu Evropské agentury pro chemické látky na rozpočtový rok 2022</w:t>
      </w:r>
      <w:r w:rsidR="00B04E02">
        <w:t xml:space="preserve"> </w:t>
      </w:r>
      <w:r w:rsidRPr="007415F8">
        <w:t>(2023/2148(DEC))</w:t>
      </w:r>
    </w:p>
    <w:p w:rsidR="00E900EE" w:rsidRPr="007415F8" w:rsidRDefault="00E900EE" w:rsidP="00E900EE">
      <w:pPr>
        <w:pStyle w:val="EPComma"/>
      </w:pPr>
      <w:r w:rsidRPr="007415F8">
        <w:rPr>
          <w:i/>
        </w:rPr>
        <w:t>Evropský parlament</w:t>
      </w:r>
      <w:r w:rsidRPr="007415F8">
        <w:t>,</w:t>
      </w:r>
    </w:p>
    <w:p w:rsidR="00E900EE" w:rsidRPr="007415F8" w:rsidRDefault="00E900EE" w:rsidP="00B04E02">
      <w:pPr>
        <w:pStyle w:val="NormalHanging12a"/>
      </w:pPr>
      <w:r w:rsidRPr="007415F8">
        <w:t>–</w:t>
      </w:r>
      <w:r w:rsidRPr="007415F8">
        <w:tab/>
        <w:t>s ohledem na své rozhodnutí o udělení absolutoria za plnění rozpočtu Evropské agentury pro chemické látky na rozpočtový rok 2022,</w:t>
      </w:r>
    </w:p>
    <w:p w:rsidR="00E900EE" w:rsidRPr="007415F8" w:rsidRDefault="00E900EE" w:rsidP="00B04E02">
      <w:pPr>
        <w:pStyle w:val="NormalHanging12a"/>
      </w:pPr>
      <w:r w:rsidRPr="007415F8">
        <w:t>–</w:t>
      </w:r>
      <w:r w:rsidRPr="007415F8">
        <w:tab/>
        <w:t>s ohledem na článek 100 a přílohu V jednacího řádu,</w:t>
      </w:r>
    </w:p>
    <w:p w:rsidR="00E900EE" w:rsidRPr="007415F8" w:rsidRDefault="00E900EE" w:rsidP="00B04E02">
      <w:pPr>
        <w:pStyle w:val="NormalHanging12a"/>
      </w:pPr>
      <w:r w:rsidRPr="007415F8">
        <w:t>–</w:t>
      </w:r>
      <w:r w:rsidRPr="007415F8">
        <w:tab/>
        <w:t>s ohledem na stanovisko Výboru pro životní prostředí, veřejné zdraví a bezpečnost potravin,</w:t>
      </w:r>
    </w:p>
    <w:p w:rsidR="00E900EE" w:rsidRPr="007415F8" w:rsidRDefault="00E900EE" w:rsidP="00B04E02">
      <w:pPr>
        <w:pStyle w:val="NormalHanging12a"/>
      </w:pPr>
      <w:r w:rsidRPr="007415F8">
        <w:t>–</w:t>
      </w:r>
      <w:r w:rsidRPr="007415F8">
        <w:tab/>
        <w:t>s ohledem na zprávu Výboru pro rozpočtovou kontrolu (A9</w:t>
      </w:r>
      <w:r w:rsidRPr="007415F8">
        <w:noBreakHyphen/>
        <w:t>0135/2024),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A.</w:t>
      </w:r>
      <w:r w:rsidRPr="007415F8">
        <w:tab/>
        <w:t>vzhledem k tomu, že podle výkazu příjmů a výdajů</w:t>
      </w:r>
      <w:r w:rsidRPr="007415F8">
        <w:rPr>
          <w:rStyle w:val="FootnoteReference"/>
          <w:szCs w:val="24"/>
        </w:rPr>
        <w:footnoteReference w:id="11"/>
      </w:r>
      <w:r w:rsidRPr="007415F8">
        <w:t>, Evropské agentury pro chemické látky (dále jen „agentura“) dosáhl její konečný rozpočet na rozpočtový rok 2022 výše 114 777 691 EUR, což ve srovnání s rokem 2021 představuje nárůst o 5,83 %; vzhledem k tomu, že rozpočet agentury je financován převážně ze dvou zdrojů příjmů, kterými jsou vybrané poplatky a příspěvek ze souhrnného rozpočtu Unie;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B.</w:t>
      </w:r>
      <w:r w:rsidRPr="007415F8">
        <w:tab/>
        <w:t>vzhledem k tomu, že Účetní dvůr ve své zprávě o roční účetní závěrce agentury za rozpočtový rok 2022 (dále jen „zpráva Účetního dvora“) prohlásil, že získal přiměřenou jistotu, že roční účetní závěrka agentury je spolehlivá a uskutečněné operace jsou legální a správné;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C.</w:t>
      </w:r>
      <w:r w:rsidRPr="007415F8">
        <w:tab/>
        <w:t>vzhledem k tomu, že pokud jde o zadávání veřejných zakázek agentury, nebyly za rok 2022 hlášeny žádné problémy vyžadující nápravná opatření, přičemž v současnosti nejsou prováděna ani žádná nápravná opatření vyplývající z auditů a hodnocení z posledních let, ani žádná taková opatření nezbývá provést;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D.</w:t>
      </w:r>
      <w:r w:rsidRPr="007415F8">
        <w:tab/>
        <w:t>vzhledem k tomu, že pokud jde o interní kontrolní systémy agentury, nebyly za rok 2022 hlášeny žádné problémy vyžadující nápravná opatření, přičemž v současnosti nejsou prováděna ani žádná nápravná opatření vyplývající z auditů a hodnocení z posledních let, ani žádná taková opatření nezbývá provést;</w:t>
      </w:r>
    </w:p>
    <w:p w:rsidR="00E900EE" w:rsidRPr="007415F8" w:rsidRDefault="00E900EE" w:rsidP="00B04E02">
      <w:pPr>
        <w:widowControl/>
        <w:spacing w:after="240"/>
        <w:ind w:left="567" w:hanging="567"/>
        <w:rPr>
          <w:b/>
          <w:i/>
          <w:szCs w:val="24"/>
        </w:rPr>
      </w:pPr>
      <w:r w:rsidRPr="007415F8">
        <w:rPr>
          <w:b/>
          <w:i/>
        </w:rPr>
        <w:t>Rozpočtové a finanční řízení</w:t>
      </w:r>
    </w:p>
    <w:p w:rsidR="00E900EE" w:rsidRPr="007415F8" w:rsidRDefault="00E900EE" w:rsidP="00B04E02">
      <w:pPr>
        <w:pStyle w:val="Normal12Hanging"/>
        <w:widowControl/>
        <w:rPr>
          <w:szCs w:val="24"/>
        </w:rPr>
      </w:pPr>
      <w:r w:rsidRPr="007415F8">
        <w:t>1.</w:t>
      </w:r>
      <w:r w:rsidRPr="007415F8">
        <w:tab/>
        <w:t>s uspokojením bere na vědomí, že díky monitorování rozpočtu v rozpočtovém roce 2022 dosáhla míra plnění položek závazků v běžném roce 98,61 %, což představuje oproti roku 2021 mírný pokles o 0,23 %, a že míra plnění prostředků na platby dosáhla 85,06 %, což ve srovnání s rokem 2021 představuje snížení o 1,17 %;</w:t>
      </w:r>
    </w:p>
    <w:p w:rsidR="00E900EE" w:rsidRPr="007415F8" w:rsidRDefault="00E900EE" w:rsidP="00B04E02">
      <w:pPr>
        <w:pStyle w:val="NormalHanging12a"/>
        <w:rPr>
          <w:b/>
          <w:i/>
        </w:rPr>
      </w:pPr>
      <w:r w:rsidRPr="007415F8">
        <w:t>2.</w:t>
      </w:r>
      <w:r w:rsidRPr="007415F8">
        <w:tab/>
        <w:t xml:space="preserve">připomíná, že agentura je financována z poplatků hrazených průmyslem a z vyrovnávacího příspěvku EU v souladu s nařízením Evropského parlamentu a Rady </w:t>
      </w:r>
      <w:r w:rsidRPr="007415F8">
        <w:lastRenderedPageBreak/>
        <w:t>(ES) č. 1907/2006</w:t>
      </w:r>
      <w:r w:rsidRPr="007415F8">
        <w:rPr>
          <w:rStyle w:val="FootnoteReference"/>
        </w:rPr>
        <w:footnoteReference w:id="12"/>
      </w:r>
      <w:r w:rsidRPr="007415F8">
        <w:t>, nařízením Evropského parlamentu a Rady (ES) č. 1272/2008</w:t>
      </w:r>
      <w:r w:rsidRPr="007415F8">
        <w:rPr>
          <w:rStyle w:val="FootnoteReference"/>
        </w:rPr>
        <w:footnoteReference w:id="13"/>
      </w:r>
      <w:r w:rsidRPr="007415F8">
        <w:t xml:space="preserve"> a nařízením Evropského parlamentu a Rady (EU) č. 528/2012</w:t>
      </w:r>
      <w:r w:rsidRPr="007415F8">
        <w:rPr>
          <w:rStyle w:val="FootnoteReference"/>
        </w:rPr>
        <w:footnoteReference w:id="14"/>
      </w:r>
      <w:r w:rsidRPr="007415F8">
        <w:t>; zdůrazňuje, že vzhledem k jednorázové povaze poplatků a jejich závislosti na strategických rozhodnutích aktérů chemického průmyslu panuje vysoká nejistota, pokud jde o jejich výši a načasování; připomíná, že Komise přislíbila návrh na posílení řízení agentury a na zvýšení udržitelnosti jejího modelu financování v roce 2020; trvá na tom, aby jej Komise neprodleně předložila;</w:t>
      </w:r>
    </w:p>
    <w:p w:rsidR="00E900EE" w:rsidRPr="007415F8" w:rsidRDefault="00E900EE" w:rsidP="00B04E02">
      <w:pPr>
        <w:pStyle w:val="NormalHanging12a"/>
      </w:pPr>
      <w:r w:rsidRPr="007415F8">
        <w:t>3.</w:t>
      </w:r>
      <w:r w:rsidRPr="007415F8">
        <w:tab/>
        <w:t>s uspokojením konstatuje, že v roce 2022 se poprvé od konečné lhůty pro registraci podle nařízení (ES) č. 1907/2006</w:t>
      </w:r>
      <w:r w:rsidRPr="007415F8">
        <w:rPr>
          <w:rStyle w:val="FootnoteReference"/>
        </w:rPr>
        <w:t xml:space="preserve"> </w:t>
      </w:r>
      <w:r w:rsidRPr="007415F8">
        <w:t xml:space="preserve"> v roce 2018 zvýšily příjmy agentury z poplatků, zatímco závislost na financování její činnosti ze strany Unie se mírně snížila;</w:t>
      </w:r>
    </w:p>
    <w:p w:rsidR="00E900EE" w:rsidRPr="007415F8" w:rsidRDefault="00E900EE" w:rsidP="00B04E02">
      <w:pPr>
        <w:widowControl/>
        <w:spacing w:after="240"/>
        <w:ind w:left="567" w:hanging="567"/>
        <w:rPr>
          <w:b/>
          <w:i/>
          <w:szCs w:val="24"/>
        </w:rPr>
      </w:pPr>
      <w:r w:rsidRPr="007415F8">
        <w:rPr>
          <w:b/>
          <w:i/>
        </w:rPr>
        <w:t>Výkonnost</w:t>
      </w:r>
    </w:p>
    <w:p w:rsidR="00E900EE" w:rsidRPr="007415F8" w:rsidRDefault="00E900EE" w:rsidP="00B04E02">
      <w:pPr>
        <w:pStyle w:val="Normal12Hanging"/>
      </w:pPr>
      <w:r w:rsidRPr="007415F8">
        <w:t>4.</w:t>
      </w:r>
      <w:r w:rsidRPr="007415F8">
        <w:tab/>
        <w:t>připomíná, že agentura je hnací silou při provádění právních předpisů Unie týkajících se chemických látek ve prospěch veřejného zdraví a životního prostředí, inovace a konkurenceschopnosti; konstatuje, že agentura shromažďuje, posuzuje a šíří informace o chemických látkách, pomáhá společnostem při dodržování právních předpisů a přispívá k bezpečnému používání chemických látek;</w:t>
      </w:r>
    </w:p>
    <w:p w:rsidR="00E900EE" w:rsidRPr="007415F8" w:rsidRDefault="00E900EE" w:rsidP="00B04E02">
      <w:pPr>
        <w:pStyle w:val="NormalHanging12a"/>
        <w:widowControl/>
      </w:pPr>
      <w:r w:rsidRPr="007415F8">
        <w:t>5.</w:t>
      </w:r>
      <w:r w:rsidRPr="007415F8">
        <w:tab/>
        <w:t>konstatuje, že agentura provedla 93 % pracovního programu a dosáhla 151 ze 162 konkrétních opatření a výstupů plánovaných na rok 2022, přičemž osm opatření stále probíhá, jak bylo plánováno; dále konstatuje, že tři „nedokončená“ opatření by vyžadovala buď příspěvek členských států, nebo změnu priorit v pracovní činnosti;</w:t>
      </w:r>
    </w:p>
    <w:p w:rsidR="00E900EE" w:rsidRPr="007415F8" w:rsidRDefault="00E900EE" w:rsidP="00B04E02">
      <w:pPr>
        <w:pStyle w:val="NormalHanging12a"/>
      </w:pPr>
      <w:r w:rsidRPr="007415F8">
        <w:t>6.</w:t>
      </w:r>
      <w:r w:rsidRPr="007415F8">
        <w:tab/>
        <w:t>konstatuje, že se agentura zaměřila na plnění svých hlavních úkolů a na podporu Evropské komise při provádění její strategie pro udržitelnost v oblasti chemických látek v souladu se směry stanovenými správní radou ve strategickém plánu na období 2019–2023 a v jejím přezkumu provedeném v roce 2021;</w:t>
      </w:r>
    </w:p>
    <w:p w:rsidR="00E900EE" w:rsidRPr="007415F8" w:rsidRDefault="00E900EE" w:rsidP="00B04E02">
      <w:pPr>
        <w:pStyle w:val="NormalHanging12a"/>
        <w:rPr>
          <w:szCs w:val="24"/>
        </w:rPr>
      </w:pPr>
      <w:r w:rsidRPr="007415F8">
        <w:t>7.</w:t>
      </w:r>
      <w:r w:rsidRPr="007415F8">
        <w:tab/>
        <w:t xml:space="preserve">upozorňuje na některé výzvy, kterým agentura čelila v roce 2022, včetně neefektivního systému povolování, který byl zjištěn v roce 2021, přičemž rostoucí počet žádostí týkajících se šestimocného chromu pokračuje i v roce 2023, což je výzvou pro schopnost vědeckých výborů vypracovávat stanoviska, a nedostatku zkušených pracovníků; dále konstatuje, že členské státy předložily malý počet návrhů zpráv o posouzení biocidních účinných látek, což brání dokončení hodnocení do konce roku 2024, jak stanoví nařízení (EU) č. 528/2012, zdůrazňuje skutečnost, že v souladu s akčním plánem pro účinné látky agentura v posledních letech vyvinula úsilí na podporu </w:t>
      </w:r>
      <w:r w:rsidRPr="007415F8">
        <w:lastRenderedPageBreak/>
        <w:t>členských států při dosahování dalšího pokroku;</w:t>
      </w:r>
    </w:p>
    <w:p w:rsidR="00E900EE" w:rsidRPr="007415F8" w:rsidRDefault="00E900EE" w:rsidP="00B04E02">
      <w:pPr>
        <w:pStyle w:val="Normal12Hanging"/>
      </w:pPr>
      <w:r w:rsidRPr="007415F8">
        <w:t>8.</w:t>
      </w:r>
      <w:r w:rsidRPr="007415F8">
        <w:tab/>
        <w:t>vítá aktivity agentury na podporu alternativ ke zkouškám na zvířatech a kroky přijaté ke zvýšení účinnosti a ke zviditelnění této činnosti;</w:t>
      </w:r>
    </w:p>
    <w:p w:rsidR="00E900EE" w:rsidRPr="007415F8" w:rsidRDefault="00E900EE" w:rsidP="00B04E02">
      <w:pPr>
        <w:widowControl/>
        <w:spacing w:after="240"/>
        <w:ind w:left="567" w:hanging="567"/>
        <w:rPr>
          <w:b/>
          <w:i/>
          <w:szCs w:val="24"/>
        </w:rPr>
      </w:pPr>
      <w:r w:rsidRPr="007415F8">
        <w:rPr>
          <w:b/>
          <w:i/>
        </w:rPr>
        <w:t>Efektivita a související přínosy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9.</w:t>
      </w:r>
      <w:r w:rsidRPr="007415F8">
        <w:tab/>
        <w:t>chválí agenturu za její strategii pro zvýšení efektivity, která usiluje o dosažení přidané hodnoty prostřednictvím správy založené na výkonnosti, a za vývoj nových nástrojů na podporu plánování a podávání zpráv, které jsou uživatelsky vstřícnější, poskytují lepší možnosti podávání zpráv a ušetří čas všem zaměstnancům; konstatuje, že aspekty podávání zpráv byly revidovány tak, aby lépe odrážely pracovní program agentury a umožnily lepší propojení cílů na úrovni agentury a cílů jednotlivých zaměstnanců;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10.</w:t>
      </w:r>
      <w:r w:rsidRPr="007415F8">
        <w:tab/>
        <w:t>konstatuje, že v roce 2022 agentura rovněž zahájila optimalizaci kapacity infrastruktury s cílem minimalizovat nadbytečnou kapacitu infrastruktury IT a že z výsledků z druhé poloviny roku vyplývá, že agentura byla schopna snížit využívání této infrastruktury (jak procesorů, tak RAM, tj. paměti) přibližně o 25 %; vítá úsilí o optimalizaci a vybízí agenturu, aby v tomto ohledu pokračovala ve svém úsilí;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11.</w:t>
      </w:r>
      <w:r w:rsidRPr="007415F8">
        <w:tab/>
        <w:t>konstatuje, že agentura i nadále sdílí své oddělení interního auditu s Agenturou EU pro kosmický program (dříve Agentura pro evropský globální navigační družicový systém); konstatuje, že agentura a Evropský úřad pro bezpečnost potravin (EFSA) udržují pravidelné kontakty na pracovní úrovni a na úrovni vrcholného vedení, kde jsou příležitosti ke spolupráci pravidelně vyhodnocovány (provádějí podrobný přezkum pracovních programů) a využívány;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12.</w:t>
      </w:r>
      <w:r w:rsidRPr="007415F8">
        <w:tab/>
        <w:t xml:space="preserve">dále konstatuje, že agentura pokračovala ve strategické spolupráci s úřadem EFSA, pokud jde o poskytování datového formátu IUCLID jako služby poskytované jejími </w:t>
      </w:r>
      <w:proofErr w:type="spellStart"/>
      <w:r w:rsidRPr="007415F8">
        <w:t>cloudovými</w:t>
      </w:r>
      <w:proofErr w:type="spellEnd"/>
      <w:r w:rsidRPr="007415F8">
        <w:t xml:space="preserve"> službami pro práci úřadu EFSA podle nařízení Evropského parlamentu a Rady (ES) č. 1107/2009</w:t>
      </w:r>
      <w:r w:rsidRPr="007415F8">
        <w:rPr>
          <w:rStyle w:val="FootnoteReference"/>
          <w:szCs w:val="24"/>
        </w:rPr>
        <w:footnoteReference w:id="15"/>
      </w:r>
      <w:r w:rsidRPr="007415F8">
        <w:t>, a v důsledku toho bylo dosaženo úspor z rozsahu na základě stávajících IT platforem;</w:t>
      </w:r>
    </w:p>
    <w:p w:rsidR="00E900EE" w:rsidRPr="007415F8" w:rsidRDefault="00E900EE" w:rsidP="00B04E02">
      <w:pPr>
        <w:pStyle w:val="NormalHanging12a"/>
      </w:pPr>
      <w:r w:rsidRPr="007415F8">
        <w:t>13.</w:t>
      </w:r>
      <w:r w:rsidRPr="007415F8">
        <w:tab/>
        <w:t>připomíná, že je důležité rozšířit digitalizaci agentury, pokud jde o její vnitřní chod a řízení i rychlejší digitalizaci postupů; zdůrazňuje, že je třeba, aby byla agentura v tomto ohledu nadále aktivní, aby se zabránilo rozdílům v digitalizaci jednotlivých agentur; upozorňuje však na skutečnost, že je třeba přijmout veškerá nezbytná bezpečnostní opatření s cílem předejít jakýmkoli rizikům ohrožujícím on-line bezpečnost zpracovávaných informací; zdůrazňuje, že je třeba zintenzivnit opatření proti kybernetickým útokům nebo pokusům o infiltraci, zejména proti těm, které pocházejí z Ruska nebo Číny;</w:t>
      </w:r>
    </w:p>
    <w:p w:rsidR="00E900EE" w:rsidRPr="007415F8" w:rsidRDefault="00E900EE" w:rsidP="00B04E02">
      <w:pPr>
        <w:pStyle w:val="NormalHanging12a"/>
      </w:pPr>
      <w:r w:rsidRPr="007415F8">
        <w:t>14.</w:t>
      </w:r>
      <w:r w:rsidRPr="007415F8">
        <w:tab/>
        <w:t>oceňuje, že agentura ve spolupráci s úřadem EFSA podnikla kroky na podporu přístupu „jedna látka, jedno posouzení“ s cílem zajistit větší soudržnost při posuzování nebezpečnosti a rizik účinných látek;</w:t>
      </w:r>
    </w:p>
    <w:p w:rsidR="00E900EE" w:rsidRPr="007415F8" w:rsidRDefault="00E900EE" w:rsidP="00B04E02">
      <w:pPr>
        <w:widowControl/>
        <w:spacing w:after="240"/>
        <w:ind w:left="567" w:hanging="567"/>
        <w:rPr>
          <w:b/>
          <w:i/>
          <w:szCs w:val="24"/>
        </w:rPr>
      </w:pPr>
      <w:r w:rsidRPr="007415F8">
        <w:rPr>
          <w:b/>
          <w:i/>
        </w:rPr>
        <w:t>Personální politika</w:t>
      </w:r>
    </w:p>
    <w:p w:rsidR="00E900EE" w:rsidRPr="007415F8" w:rsidRDefault="00E900EE" w:rsidP="00B04E02">
      <w:pPr>
        <w:pStyle w:val="Normal12Hanging"/>
        <w:widowControl/>
        <w:rPr>
          <w:szCs w:val="24"/>
        </w:rPr>
      </w:pPr>
      <w:r w:rsidRPr="007415F8">
        <w:lastRenderedPageBreak/>
        <w:t>15.</w:t>
      </w:r>
      <w:r w:rsidRPr="007415F8">
        <w:tab/>
        <w:t>bere na vědomí, že ke dni 31. prosince 2022 byl plán pracovních míst naplněn z 98,07 %, přičemž ze 467 míst pro dočasné zaměstnance povolených v rozpočtu Unie (tj. stejného počtu povolených míst jako v roce 2021) jich bylo obsazeno 458; konstatuje, že v roce 2022 pracovalo pro agenturu také 128 smluvních zaměstnanců, 48 zaměstnanců agentury práce, 5 konzultantů a 2 vyslaní národní odborníci;</w:t>
      </w:r>
    </w:p>
    <w:p w:rsidR="00E900EE" w:rsidRPr="007415F8" w:rsidRDefault="00E900EE" w:rsidP="00B04E02">
      <w:pPr>
        <w:pStyle w:val="NormalHanging12a"/>
      </w:pPr>
      <w:r w:rsidRPr="007415F8">
        <w:t>16.</w:t>
      </w:r>
      <w:r w:rsidRPr="007415F8">
        <w:tab/>
        <w:t>připomíná, že je důležité zajistit vyvážené zastoupení mužů a žen a vítá v tomto ohledu skutečnost, že agentura provedla akční plán pro provádění cílů své Charty o rozmanitosti a začleňování přijaté v roce 2022, jejímž cílem je mimo jiné dosáhnout vyváženého zastoupení žen a mužů ve vedení; žádá agenturu, aby orgánu příslušnému k udělení absolutoria předložila zprávu o plnění tohoto akčního plánu; uznává, že dosažení výsledků v této oblasti vyžaduje čas; konstatuje, že genderová vyváženost ve vrcholném a středním vedení agentury se přesto mírně zlepšila, přičemž 76 % pozic zastávají muži (82 % v roce 2021) a 24 % ženy (18 % v roce 2021); v souvislosti se zastoupením žen a mužů mezi zaměstnanci konstatuje, že je zde 261 mužů (45 %) a 317 žen (55 %);</w:t>
      </w:r>
    </w:p>
    <w:p w:rsidR="00E900EE" w:rsidRPr="007415F8" w:rsidRDefault="00E900EE" w:rsidP="00B04E02">
      <w:pPr>
        <w:pStyle w:val="NormalHanging12a"/>
      </w:pPr>
      <w:r w:rsidRPr="007415F8">
        <w:t>17.</w:t>
      </w:r>
      <w:r w:rsidRPr="007415F8">
        <w:tab/>
        <w:t>s uspokojením konstatuje, že k 31. prosinci 2022 zaměstnávala agentura zaměstnance z 26 členských států; konstatuje, že 32 % jejích zaměstnanců jsou státní příslušníci členského státu, v němž se agentura nachází; připomíná význam zeměpisné vyváženosti a vyzývá agenturu, aby i nadále přijímala nezbytná opatření pro vyvážené a spravedlivé zeměpisné zastoupení; vyjadřuje však znepokojení nad geografickou nevyvážeností vrcholného a středního vedení agentury, kdy pouze jeden z ředitelů je ze střední a východní Evropy; trvá na tom, že je třeba tuto situaci zlepšit; žádá agenturu, aby orgánu příslušnému k udělení absolutoria podala v této souvislosti vysvětlení;</w:t>
      </w:r>
    </w:p>
    <w:p w:rsidR="00E900EE" w:rsidRPr="007415F8" w:rsidRDefault="00E900EE" w:rsidP="00B04E02">
      <w:pPr>
        <w:pStyle w:val="NormalHanging12a"/>
      </w:pPr>
      <w:r w:rsidRPr="007415F8">
        <w:t>18.</w:t>
      </w:r>
      <w:r w:rsidRPr="007415F8">
        <w:tab/>
        <w:t xml:space="preserve">bere na vědomí, že agentura uplatňuje politiku na ochranu lidské důstojnosti a k předcházení psychickému a sexuálnímu obtěžování a že je součástí </w:t>
      </w:r>
      <w:proofErr w:type="spellStart"/>
      <w:r w:rsidRPr="007415F8">
        <w:t>meziagenturní</w:t>
      </w:r>
      <w:proofErr w:type="spellEnd"/>
      <w:r w:rsidRPr="007415F8">
        <w:t xml:space="preserve"> pracovní skupiny důvěrných poradců; se zájmem očekává jejich zprávu a doporučení; konstatuje, že v roce 2022 nebyly hlášeny žádné případy obtěžování, a vybízí agenturu, aby pokračovala v práci na předcházení těmto případům i v budoucnu a rozvíjela ji;</w:t>
      </w:r>
    </w:p>
    <w:p w:rsidR="00E900EE" w:rsidRPr="007415F8" w:rsidRDefault="00E900EE" w:rsidP="00B04E02">
      <w:pPr>
        <w:pStyle w:val="NormalHanging12a"/>
      </w:pPr>
      <w:r w:rsidRPr="007415F8">
        <w:t>19.</w:t>
      </w:r>
      <w:r w:rsidRPr="007415F8">
        <w:tab/>
        <w:t>konstatuje, že od března 2022 se zaměstnanci agentury začali postupně vracet do prostor agentury a posléze, v říjnu 2022, byla zavedena nová pravidla hybridního způsobu práce; v této souvislosti konstatuje, že nová pravidla podporují flexibilitu a posílení postavení zaměstnanců a zároveň zachovávají sociální soudržnost a spolupráci prostřednictvím pravidelné týdenní přítomnosti v kanceláři;</w:t>
      </w:r>
    </w:p>
    <w:p w:rsidR="00E900EE" w:rsidRPr="007415F8" w:rsidRDefault="00E900EE" w:rsidP="00B04E02">
      <w:pPr>
        <w:pStyle w:val="NormalHanging12a"/>
        <w:widowControl/>
      </w:pPr>
      <w:r w:rsidRPr="007415F8">
        <w:t>20.</w:t>
      </w:r>
      <w:r w:rsidRPr="007415F8">
        <w:tab/>
        <w:t>konstatuje, že agentura využívala více interní mobility, aby reagovala na vyvíjející se potřeby vědecko-technického a administrativního poradenství ve své činnosti; konstatuje, že to nabízí příležitosti k lepší kariéře, a přispívá tak k motivaci zaměstnanců agentury a zachování kultury vysoké výkonnosti, neustálého zlepšování a schopnosti reagovat; vítá skutečnost, že s cílem motivovat zaměstnance a budovat soubory dovedností zavedla také nové iniciativy, včetně mentorství a koučování;</w:t>
      </w:r>
    </w:p>
    <w:p w:rsidR="00E900EE" w:rsidRPr="007415F8" w:rsidRDefault="00E900EE" w:rsidP="00B04E02">
      <w:pPr>
        <w:pStyle w:val="NormalHanging12a"/>
      </w:pPr>
      <w:r w:rsidRPr="007415F8">
        <w:t>21.</w:t>
      </w:r>
      <w:r w:rsidRPr="007415F8">
        <w:tab/>
        <w:t>zdůrazňuje, že je nezbytné zajistit odpovídající počet zaměstnanců, který bude odrážet potřeby Zelené dohody pro Evropu a Strategie Unie pro udržitelnost v oblasti chemických látek, akčního plánu pro oběhové hospodářství a zejména cíle nulového znečištění a s nimi související nárůst objemu úkolů;</w:t>
      </w:r>
    </w:p>
    <w:p w:rsidR="00E900EE" w:rsidRPr="007415F8" w:rsidRDefault="00E900EE" w:rsidP="00B04E02">
      <w:pPr>
        <w:widowControl/>
        <w:spacing w:after="240"/>
        <w:ind w:left="567" w:hanging="567"/>
        <w:rPr>
          <w:b/>
          <w:i/>
          <w:szCs w:val="24"/>
        </w:rPr>
      </w:pPr>
      <w:r w:rsidRPr="007415F8">
        <w:rPr>
          <w:b/>
          <w:i/>
        </w:rPr>
        <w:t>Prevence a řešení střetů zájmů a transparentnost</w:t>
      </w:r>
    </w:p>
    <w:p w:rsidR="00E900EE" w:rsidRPr="007415F8" w:rsidRDefault="00E900EE" w:rsidP="00B04E02">
      <w:pPr>
        <w:widowControl/>
        <w:spacing w:after="240"/>
        <w:ind w:left="567" w:hanging="567"/>
      </w:pPr>
      <w:r w:rsidRPr="007415F8">
        <w:lastRenderedPageBreak/>
        <w:t>22.</w:t>
      </w:r>
      <w:r w:rsidRPr="007415F8">
        <w:tab/>
        <w:t>konstatuje, že agentura na základě důkladného posouzení rizik svých činností určila procesy a dílčí procesy, které vyžadují řešení střetů zájmů; dále konstatuje, že u všech těchto procesů provádí osoba odpovědná za daný proces přezkum ročních prohlášení o zájmech pokaždé, když je pracovníkovi přidělen úkol, a u některých citlivých procesů je navíc třeba doplnit prohlášení dotčeného pracovníka o neexistenci zájmu v daném konkrétním případě;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23.</w:t>
      </w:r>
      <w:r w:rsidRPr="007415F8">
        <w:tab/>
        <w:t>vítá skutečnost, že v zájmu zlepšení praxe v oblasti střetu zájmů po skončení pracovního poměru byla politika agentury v oblasti střetu zájmů naposledy revidována správní radou v červnu 2023; konstatuje, že zavedené změny posilují systematické monitorování toho, zda bývalí zaměstnanci agentury dodržují své povinnosti po skončení pracovního poměru v souladu s doporučeními Evropského účetního dvora a připomínkami orgánu příslušného k udělení absolutoria z předchozích let;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24.</w:t>
      </w:r>
      <w:r w:rsidRPr="007415F8">
        <w:tab/>
        <w:t>všímá si, že agentura na svých internetových stránkách zveřejňuje setkání svého vrcholného vedení se zástupci zájmových skupin;</w:t>
      </w:r>
    </w:p>
    <w:p w:rsidR="00E900EE" w:rsidRPr="007415F8" w:rsidRDefault="00E900EE" w:rsidP="00B04E02">
      <w:pPr>
        <w:widowControl/>
        <w:spacing w:after="240"/>
        <w:ind w:left="567" w:hanging="567"/>
      </w:pPr>
      <w:r w:rsidRPr="007415F8">
        <w:t>25.</w:t>
      </w:r>
      <w:r w:rsidRPr="007415F8">
        <w:tab/>
        <w:t>vítá skutečnost, že během roku 2022 agentura zavedla nový elektronický nástroj pro shromažďování a přezkum ročních prohlášení o zájmech externích odborníků podílejících se na činnosti agentury, což přispívá ke zlepšení spolehlivosti procesu;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26.</w:t>
      </w:r>
      <w:r w:rsidRPr="007415F8">
        <w:tab/>
        <w:t>s uspokojením konstatuje, že strategie agentury pro boj proti podvodům byla naposledy revidována její správní radou v prosinci 2022 a zaměřuje se na zachování a další rozvoj kultury boje proti podvodům v agentuře a na pravidelný přezkum klíčových politik a postupů; konstatuje, že tato strategie posiluje vnitřní protikorupční mechanismus tím, že stanoví úlohy a povinnosti v oblasti předcházení podvodům a prostředky a zdroje, které se podílejí na boji proti podvodům; vítá skutečnost, že všichni zaměstnanci agentury se v roce 2022 zúčastnili školení o boji proti podvodům; s uspokojením konstatuje, že agentura zavedla pokyny pro oznamovatele, aby zaměstnanci agentury mohli informovat o jakékoli činnosti, která je v rozporu s veřejným zájmem;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27.</w:t>
      </w:r>
      <w:r w:rsidRPr="007415F8">
        <w:tab/>
        <w:t>připomíná, že rozhodovací procesy agentury jsou navrženy tak, aby byly jasné, otevřené a aby zajišťovaly vyvážený výsledek založený na odůvodněném vědeckém přístupu; konstatuje, že informace o záměrech agentury a členských států zkoumat látky nebo vytvářet dokumentaci jsou k dispozici on-line, takže společnosti mají přístup k údajům, které potřebují k přijímání informovaných obchodních rozhodnutí; dále konstatuje, že akreditované organizace zúčastněných stran se mohou účastnit vědeckých setkání jako pozorovatelé, s výjimkou případů, kdy důvěrné obchodní informace vyžadují neveřejná setkání; dále konstatuje, že úvahy, stanoviska a závěry vědeckých výborů agentury jsou zaznamenány ve stanoviscích a zápisech a jsou zveřejňovány on-line;</w:t>
      </w:r>
    </w:p>
    <w:p w:rsidR="00E900EE" w:rsidRPr="007415F8" w:rsidRDefault="00E900EE" w:rsidP="00B04E02">
      <w:pPr>
        <w:pStyle w:val="NormalHanging12a"/>
      </w:pPr>
      <w:r w:rsidRPr="007415F8">
        <w:t>28.</w:t>
      </w:r>
      <w:r w:rsidRPr="007415F8">
        <w:tab/>
        <w:t>připomíná, že je důležité, aby se agentura více zviditelňovala ve sdělovacích prostředcích, na internetu a v sociálních médiích, a občané se tak mohli blíže seznámit s činností, kterou vykonává;</w:t>
      </w:r>
    </w:p>
    <w:p w:rsidR="00E900EE" w:rsidRPr="007415F8" w:rsidRDefault="00E900EE" w:rsidP="00B04E02">
      <w:pPr>
        <w:widowControl/>
        <w:spacing w:after="240"/>
        <w:ind w:left="567" w:hanging="567"/>
        <w:rPr>
          <w:b/>
          <w:i/>
          <w:szCs w:val="24"/>
        </w:rPr>
      </w:pPr>
      <w:r w:rsidRPr="007415F8">
        <w:rPr>
          <w:b/>
          <w:i/>
        </w:rPr>
        <w:t>Další připomínky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t>29.</w:t>
      </w:r>
      <w:r w:rsidRPr="007415F8">
        <w:tab/>
        <w:t>vítá skutečnost, že agentura v roce 2022 přijala politiku kybernetické bezpečnosti a provedla hodnocení rizik v rámci celého IT systému; dále konstatuje, že agentura zavedla možnost biometrické autentizace, zlepšila viditelnost bezpečnostního operačního střediska a otestovala fungování datových center v případě selhání;</w:t>
      </w:r>
    </w:p>
    <w:p w:rsidR="00E900EE" w:rsidRPr="007415F8" w:rsidRDefault="00E900EE" w:rsidP="00B04E02">
      <w:pPr>
        <w:widowControl/>
        <w:spacing w:after="240"/>
        <w:ind w:left="567" w:hanging="567"/>
        <w:rPr>
          <w:szCs w:val="24"/>
        </w:rPr>
      </w:pPr>
      <w:r w:rsidRPr="007415F8">
        <w:lastRenderedPageBreak/>
        <w:t>30.</w:t>
      </w:r>
      <w:r w:rsidRPr="007415F8">
        <w:tab/>
        <w:t xml:space="preserve">s uspokojením konstatuje, že v roce 2022 se agentura zapojila do testování nástroje Evropské komise pro řízení zadávání veřejných zakázek (PPMT) před jeho plným zavedením v roce 2023; konstatuje, že agentura již v minulosti zavedla další nástroje elektronického zadávání veřejných zakázek, jako je </w:t>
      </w:r>
      <w:proofErr w:type="spellStart"/>
      <w:r w:rsidRPr="007415F8">
        <w:t>eTendering</w:t>
      </w:r>
      <w:proofErr w:type="spellEnd"/>
      <w:r w:rsidRPr="007415F8">
        <w:t xml:space="preserve"> nebo </w:t>
      </w:r>
      <w:proofErr w:type="spellStart"/>
      <w:r w:rsidRPr="007415F8">
        <w:t>eSubmission</w:t>
      </w:r>
      <w:proofErr w:type="spellEnd"/>
      <w:r w:rsidRPr="007415F8">
        <w:t xml:space="preserve">, a současně v roce 2022 obnovila své předplatné pro platformu </w:t>
      </w:r>
      <w:proofErr w:type="spellStart"/>
      <w:r w:rsidRPr="007415F8">
        <w:t>Cloudia</w:t>
      </w:r>
      <w:proofErr w:type="spellEnd"/>
      <w:r w:rsidRPr="007415F8">
        <w:t xml:space="preserve"> – platformu pro elektronické zadávání veřejných zakázek skupiny </w:t>
      </w:r>
      <w:proofErr w:type="spellStart"/>
      <w:r w:rsidRPr="007415F8">
        <w:t>Hansel</w:t>
      </w:r>
      <w:proofErr w:type="spellEnd"/>
      <w:r w:rsidRPr="007415F8">
        <w:t xml:space="preserve"> (centrální nákupní subjekt pro finské veřejné orgány), aby bylo veškeré administrativní zadávání veřejných zakázek prostřednictvím skupiny </w:t>
      </w:r>
      <w:proofErr w:type="spellStart"/>
      <w:r w:rsidRPr="007415F8">
        <w:t>Hansel</w:t>
      </w:r>
      <w:proofErr w:type="spellEnd"/>
      <w:r w:rsidRPr="007415F8">
        <w:t xml:space="preserve"> plně digitalizováno;</w:t>
      </w:r>
    </w:p>
    <w:p w:rsidR="00E900EE" w:rsidRPr="007415F8" w:rsidRDefault="00E900EE" w:rsidP="00B04E02">
      <w:pPr>
        <w:widowControl/>
        <w:spacing w:after="240"/>
        <w:ind w:left="567" w:hanging="567"/>
        <w:rPr>
          <w:rFonts w:eastAsia="Calibri"/>
          <w:iCs/>
          <w:szCs w:val="24"/>
        </w:rPr>
      </w:pPr>
      <w:r w:rsidRPr="007415F8">
        <w:t>31.</w:t>
      </w:r>
      <w:r w:rsidRPr="007415F8">
        <w:tab/>
        <w:t>bere na vědomí, že systém pro environmentální řízení podniků a audit (EMAS) a osvědčení ISO 14001 byly v případě agentury v roce 2022 úspěšně obnoveny; na základě zprávy Účetního dvora s uspokojením konstatuje, že agentura patří k těm, které vydávají výroční environmentální prohlášení;</w:t>
      </w:r>
    </w:p>
    <w:p w:rsidR="00E900EE" w:rsidRPr="007415F8" w:rsidRDefault="00E900EE" w:rsidP="00B04E02">
      <w:pPr>
        <w:pStyle w:val="NormalHanging12a"/>
      </w:pPr>
      <w:r w:rsidRPr="007415F8">
        <w:t>32.</w:t>
      </w:r>
      <w:r w:rsidRPr="007415F8">
        <w:tab/>
        <w:t>zdůrazňuje, že v rozsahu, který je možný v rámci stávajícího regulačního rámce, agentura usiluje o postupné ukončení testování na zvířatech v Evropě; konstatuje, že agentura podporuje alternativy ke zkouškám na zvířatech třemi způsoby: tím, že se zaměřuje na skupiny látek prostřednictvím samostatné strategie, investuje do mezinárodních činností, které podporují alternativy a metodiky nového přístupu, a zpřístupňuje údaje, které má k dispozici; opakuje svou výzvu agentuře, aby proces postupného ukončování zkoušek na zvířatech urychlila; dále konstatuje, že agentura spolupracuje s Komisí a dalšími zúčastněnými stranami s cílem podpořit Komisi při vypracování plánu na úplné nahrazení zkoušek chemických látek na zvířatech;</w:t>
      </w:r>
    </w:p>
    <w:p w:rsidR="00E900EE" w:rsidRPr="007415F8" w:rsidRDefault="00E900EE" w:rsidP="00B04E02">
      <w:pPr>
        <w:pStyle w:val="NormalHanging12a"/>
      </w:pPr>
      <w:r w:rsidRPr="007415F8">
        <w:t>33.</w:t>
      </w:r>
      <w:r w:rsidRPr="007415F8">
        <w:tab/>
        <w:t xml:space="preserve">vítá, že agentura pokračuje v provádění různých opatření ke zvýšení své viditelnosti na veřejnosti a on-line prostřednictvím nových verzí svých webových stránek a četné aktualizace jejich obsahu, spuštění společného </w:t>
      </w:r>
      <w:proofErr w:type="spellStart"/>
      <w:r w:rsidRPr="007415F8">
        <w:t>instagramového</w:t>
      </w:r>
      <w:proofErr w:type="spellEnd"/>
      <w:r w:rsidRPr="007415F8">
        <w:t xml:space="preserve"> kanálu se čtyřmi agenturami s názvem „</w:t>
      </w:r>
      <w:proofErr w:type="spellStart"/>
      <w:r w:rsidRPr="007415F8">
        <w:t>One</w:t>
      </w:r>
      <w:proofErr w:type="spellEnd"/>
      <w:r w:rsidRPr="007415F8">
        <w:t xml:space="preserve"> </w:t>
      </w:r>
      <w:proofErr w:type="spellStart"/>
      <w:r w:rsidRPr="007415F8">
        <w:t>Health</w:t>
      </w:r>
      <w:proofErr w:type="spellEnd"/>
      <w:r w:rsidRPr="007415F8">
        <w:t xml:space="preserve"> </w:t>
      </w:r>
      <w:proofErr w:type="spellStart"/>
      <w:r w:rsidRPr="007415F8">
        <w:t>One</w:t>
      </w:r>
      <w:proofErr w:type="spellEnd"/>
      <w:r w:rsidRPr="007415F8">
        <w:t xml:space="preserve"> </w:t>
      </w:r>
      <w:proofErr w:type="spellStart"/>
      <w:r w:rsidRPr="007415F8">
        <w:t>Environment</w:t>
      </w:r>
      <w:proofErr w:type="spellEnd"/>
      <w:r w:rsidRPr="007415F8">
        <w:t>“ a své přítomnosti v sociálních médiích; v této souvislosti konstatuje nárůst počtu „zmínek“ v sociálních médiích a nárůst měřeného výskytu agentury v sociálních médiích v roce 2022 ve srovnání s rokem 2021;</w:t>
      </w:r>
    </w:p>
    <w:p w:rsidR="00B04E02" w:rsidRDefault="00B04E02" w:rsidP="00B04E02">
      <w:pPr>
        <w:pStyle w:val="NormalCenter12a"/>
        <w:widowControl/>
      </w:pPr>
      <w:r>
        <w:t>°</w:t>
      </w:r>
    </w:p>
    <w:p w:rsidR="00B04E02" w:rsidRDefault="00B04E02" w:rsidP="00B04E02">
      <w:pPr>
        <w:pStyle w:val="NormalCenter12a"/>
        <w:widowControl/>
      </w:pPr>
      <w:r>
        <w:t>°     °</w:t>
      </w:r>
    </w:p>
    <w:p w:rsidR="00E900EE" w:rsidRPr="007415F8" w:rsidRDefault="00E900EE" w:rsidP="00B04E02">
      <w:pPr>
        <w:pStyle w:val="Normal12Hanging"/>
      </w:pPr>
      <w:r w:rsidRPr="007415F8">
        <w:t>34.</w:t>
      </w:r>
      <w:r w:rsidRPr="007415F8">
        <w:tab/>
        <w:t xml:space="preserve">pokud jde o další připomínky, které jsou připojeny k rozhodnutí o udělení absolutoria a jsou horizontální povahy, odkazuje na své usnesení ze dne </w:t>
      </w:r>
      <w:r w:rsidR="00840D85">
        <w:t>11. dubna 2024</w:t>
      </w:r>
      <w:r w:rsidRPr="007415F8">
        <w:rPr>
          <w:vertAlign w:val="superscript"/>
        </w:rPr>
        <w:footnoteReference w:id="16"/>
      </w:r>
      <w:r w:rsidRPr="007415F8">
        <w:t xml:space="preserve"> o výkonnosti, finančním řízení a kontrole agentur.</w:t>
      </w:r>
    </w:p>
    <w:sectPr w:rsidR="00E900EE" w:rsidRPr="007415F8" w:rsidSect="007415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22E" w:rsidRPr="007415F8" w:rsidRDefault="0056322E">
      <w:r w:rsidRPr="007415F8">
        <w:separator/>
      </w:r>
    </w:p>
  </w:endnote>
  <w:endnote w:type="continuationSeparator" w:id="0">
    <w:p w:rsidR="0056322E" w:rsidRPr="007415F8" w:rsidRDefault="0056322E">
      <w:r w:rsidRPr="007415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0EE" w:rsidRPr="007415F8" w:rsidRDefault="00E900EE" w:rsidP="009C4931">
    <w:pPr>
      <w:pStyle w:val="EPFooter"/>
    </w:pPr>
    <w:r w:rsidRPr="007415F8">
      <w:t>PE</w:t>
    </w:r>
    <w:r w:rsidRPr="007415F8">
      <w:rPr>
        <w:rStyle w:val="HideTWBExt"/>
      </w:rPr>
      <w:t>&lt;NoPE&gt;</w:t>
    </w:r>
    <w:r w:rsidRPr="007415F8">
      <w:t>753.516</w:t>
    </w:r>
    <w:r w:rsidRPr="007415F8">
      <w:rPr>
        <w:rStyle w:val="HideTWBExt"/>
      </w:rPr>
      <w:t>&lt;/NoPE&gt;&lt;Version&gt;</w:t>
    </w:r>
    <w:r w:rsidRPr="007415F8">
      <w:t>v02-00</w:t>
    </w:r>
    <w:r w:rsidRPr="007415F8">
      <w:rPr>
        <w:rStyle w:val="HideTWBExt"/>
      </w:rPr>
      <w:t>&lt;/Version&gt;</w:t>
    </w:r>
    <w:r w:rsidRPr="007415F8">
      <w:tab/>
    </w:r>
    <w:r w:rsidRPr="007415F8">
      <w:fldChar w:fldCharType="begin"/>
    </w:r>
    <w:r w:rsidRPr="007415F8">
      <w:instrText xml:space="preserve"> PAGE  \* MERGEFORMAT </w:instrText>
    </w:r>
    <w:r w:rsidRPr="007415F8">
      <w:fldChar w:fldCharType="separate"/>
    </w:r>
    <w:r w:rsidR="007415F8" w:rsidRPr="007415F8">
      <w:rPr>
        <w:noProof/>
      </w:rPr>
      <w:t>2</w:t>
    </w:r>
    <w:r w:rsidRPr="007415F8">
      <w:fldChar w:fldCharType="end"/>
    </w:r>
    <w:r w:rsidRPr="007415F8">
      <w:t>/</w:t>
    </w:r>
    <w:fldSimple w:instr=" NUMPAGES  \* MERGEFORMAT ">
      <w:r w:rsidR="007415F8" w:rsidRPr="007415F8">
        <w:rPr>
          <w:noProof/>
        </w:rPr>
        <w:t>4</w:t>
      </w:r>
    </w:fldSimple>
    <w:r w:rsidRPr="007415F8">
      <w:tab/>
    </w:r>
    <w:r w:rsidRPr="007415F8">
      <w:rPr>
        <w:rStyle w:val="HideTWBExt"/>
      </w:rPr>
      <w:t>&lt;PathFdR&gt;</w:t>
    </w:r>
    <w:r w:rsidRPr="007415F8">
      <w:t>RR\1299248CS.docx</w:t>
    </w:r>
    <w:r w:rsidRPr="007415F8">
      <w:rPr>
        <w:rStyle w:val="HideTWBExt"/>
      </w:rPr>
      <w:t>&lt;/PathFdR&gt;</w:t>
    </w:r>
  </w:p>
  <w:p w:rsidR="00E900EE" w:rsidRPr="007415F8" w:rsidRDefault="00E900EE" w:rsidP="009C4931">
    <w:pPr>
      <w:pStyle w:val="EPFooter2"/>
    </w:pPr>
    <w:r w:rsidRPr="007415F8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0EE" w:rsidRPr="007415F8" w:rsidRDefault="00E900EE" w:rsidP="009C4931">
    <w:pPr>
      <w:pStyle w:val="EPFooter"/>
    </w:pPr>
    <w:r w:rsidRPr="007415F8">
      <w:rPr>
        <w:rStyle w:val="HideTWBExt"/>
      </w:rPr>
      <w:t>&lt;PathFdR&gt;</w:t>
    </w:r>
    <w:r w:rsidRPr="007415F8">
      <w:t>RR\1299248CS.docx</w:t>
    </w:r>
    <w:r w:rsidRPr="007415F8">
      <w:rPr>
        <w:rStyle w:val="HideTWBExt"/>
      </w:rPr>
      <w:t>&lt;/PathFdR&gt;</w:t>
    </w:r>
    <w:r w:rsidRPr="007415F8">
      <w:tab/>
    </w:r>
    <w:r w:rsidRPr="007415F8">
      <w:tab/>
      <w:t>PE</w:t>
    </w:r>
    <w:r w:rsidRPr="007415F8">
      <w:rPr>
        <w:rStyle w:val="HideTWBExt"/>
      </w:rPr>
      <w:t>&lt;NoPE&gt;</w:t>
    </w:r>
    <w:r w:rsidRPr="007415F8">
      <w:t>753.516</w:t>
    </w:r>
    <w:r w:rsidRPr="007415F8">
      <w:rPr>
        <w:rStyle w:val="HideTWBExt"/>
      </w:rPr>
      <w:t>&lt;/NoPE&gt;&lt;Version&gt;</w:t>
    </w:r>
    <w:r w:rsidRPr="007415F8">
      <w:t>v02-00</w:t>
    </w:r>
    <w:r w:rsidRPr="007415F8">
      <w:rPr>
        <w:rStyle w:val="HideTWBExt"/>
      </w:rPr>
      <w:t>&lt;/Version&gt;</w:t>
    </w:r>
  </w:p>
  <w:p w:rsidR="00E900EE" w:rsidRPr="007415F8" w:rsidRDefault="00E900EE" w:rsidP="009C4931">
    <w:pPr>
      <w:pStyle w:val="EPFooter2"/>
    </w:pPr>
    <w:r w:rsidRPr="007415F8">
      <w:t>CS</w:t>
    </w:r>
    <w:r w:rsidRPr="007415F8">
      <w:tab/>
    </w:r>
    <w:r w:rsidRPr="007415F8">
      <w:rPr>
        <w:b w:val="0"/>
        <w:i/>
        <w:color w:val="C0C0C0"/>
        <w:sz w:val="22"/>
      </w:rPr>
      <w:t>Jednotná v rozmanitosti</w:t>
    </w:r>
    <w:r w:rsidRPr="007415F8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15F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15F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15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22E" w:rsidRPr="007415F8" w:rsidRDefault="0056322E">
      <w:r w:rsidRPr="007415F8">
        <w:separator/>
      </w:r>
    </w:p>
  </w:footnote>
  <w:footnote w:type="continuationSeparator" w:id="0">
    <w:p w:rsidR="0056322E" w:rsidRPr="007415F8" w:rsidRDefault="0056322E">
      <w:r w:rsidRPr="007415F8">
        <w:continuationSeparator/>
      </w:r>
    </w:p>
  </w:footnote>
  <w:footnote w:id="1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C, C/2023/594, </w:t>
      </w:r>
      <w:proofErr w:type="gramStart"/>
      <w:r w:rsidRPr="007415F8">
        <w:rPr>
          <w:sz w:val="24"/>
          <w:lang w:val="cs-CZ"/>
        </w:rPr>
        <w:t>27.10.2023</w:t>
      </w:r>
      <w:proofErr w:type="gramEnd"/>
      <w:r w:rsidRPr="007415F8">
        <w:rPr>
          <w:sz w:val="24"/>
          <w:lang w:val="cs-CZ"/>
        </w:rPr>
        <w:t>.</w:t>
      </w:r>
    </w:p>
  </w:footnote>
  <w:footnote w:id="2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C, C/2023/594, </w:t>
      </w:r>
      <w:proofErr w:type="gramStart"/>
      <w:r w:rsidRPr="007415F8">
        <w:rPr>
          <w:sz w:val="24"/>
          <w:lang w:val="cs-CZ"/>
        </w:rPr>
        <w:t>12.10.2023</w:t>
      </w:r>
      <w:proofErr w:type="gramEnd"/>
      <w:r w:rsidRPr="007415F8">
        <w:rPr>
          <w:sz w:val="24"/>
          <w:lang w:val="cs-CZ"/>
        </w:rPr>
        <w:t>.</w:t>
      </w:r>
    </w:p>
  </w:footnote>
  <w:footnote w:id="3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L 193, </w:t>
      </w:r>
      <w:proofErr w:type="gramStart"/>
      <w:r w:rsidRPr="007415F8">
        <w:rPr>
          <w:sz w:val="24"/>
          <w:lang w:val="cs-CZ"/>
        </w:rPr>
        <w:t>30.7.2018</w:t>
      </w:r>
      <w:proofErr w:type="gramEnd"/>
      <w:r w:rsidRPr="007415F8">
        <w:rPr>
          <w:sz w:val="24"/>
          <w:lang w:val="cs-CZ"/>
        </w:rPr>
        <w:t>, s. 1.</w:t>
      </w:r>
    </w:p>
  </w:footnote>
  <w:footnote w:id="4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L 396, </w:t>
      </w:r>
      <w:proofErr w:type="gramStart"/>
      <w:r w:rsidRPr="007415F8">
        <w:rPr>
          <w:sz w:val="24"/>
          <w:lang w:val="cs-CZ"/>
        </w:rPr>
        <w:t>30.12.2006</w:t>
      </w:r>
      <w:proofErr w:type="gramEnd"/>
      <w:r w:rsidRPr="007415F8">
        <w:rPr>
          <w:sz w:val="24"/>
          <w:lang w:val="cs-CZ"/>
        </w:rPr>
        <w:t>, s. 1.</w:t>
      </w:r>
    </w:p>
  </w:footnote>
  <w:footnote w:id="5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L 122, </w:t>
      </w:r>
      <w:proofErr w:type="gramStart"/>
      <w:r w:rsidRPr="007415F8">
        <w:rPr>
          <w:sz w:val="24"/>
          <w:lang w:val="cs-CZ"/>
        </w:rPr>
        <w:t>10.5.2019</w:t>
      </w:r>
      <w:proofErr w:type="gramEnd"/>
      <w:r w:rsidRPr="007415F8">
        <w:rPr>
          <w:sz w:val="24"/>
          <w:lang w:val="cs-CZ"/>
        </w:rPr>
        <w:t>, s. 1.</w:t>
      </w:r>
    </w:p>
  </w:footnote>
  <w:footnote w:id="6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C, C/2023/594, </w:t>
      </w:r>
      <w:proofErr w:type="gramStart"/>
      <w:r w:rsidRPr="007415F8">
        <w:rPr>
          <w:sz w:val="24"/>
          <w:lang w:val="cs-CZ"/>
        </w:rPr>
        <w:t>27.10.2023</w:t>
      </w:r>
      <w:proofErr w:type="gramEnd"/>
      <w:r w:rsidRPr="007415F8">
        <w:rPr>
          <w:sz w:val="24"/>
          <w:lang w:val="cs-CZ"/>
        </w:rPr>
        <w:t>,.</w:t>
      </w:r>
    </w:p>
  </w:footnote>
  <w:footnote w:id="7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>. C</w:t>
      </w:r>
      <w:r w:rsidR="000700DF">
        <w:rPr>
          <w:sz w:val="24"/>
          <w:lang w:val="cs-CZ"/>
        </w:rPr>
        <w:t>,</w:t>
      </w:r>
      <w:bookmarkStart w:id="9" w:name="_GoBack"/>
      <w:bookmarkEnd w:id="9"/>
      <w:r w:rsidRPr="007415F8">
        <w:rPr>
          <w:sz w:val="24"/>
          <w:lang w:val="cs-CZ"/>
        </w:rPr>
        <w:t xml:space="preserve"> C/2023/594, 12.10.2023.</w:t>
      </w:r>
    </w:p>
  </w:footnote>
  <w:footnote w:id="8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L 193, </w:t>
      </w:r>
      <w:proofErr w:type="gramStart"/>
      <w:r w:rsidRPr="007415F8">
        <w:rPr>
          <w:sz w:val="24"/>
          <w:lang w:val="cs-CZ"/>
        </w:rPr>
        <w:t>30.7.2018</w:t>
      </w:r>
      <w:proofErr w:type="gramEnd"/>
      <w:r w:rsidRPr="007415F8">
        <w:rPr>
          <w:sz w:val="24"/>
          <w:lang w:val="cs-CZ"/>
        </w:rPr>
        <w:t>, s. 1.</w:t>
      </w:r>
    </w:p>
  </w:footnote>
  <w:footnote w:id="9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L 396, </w:t>
      </w:r>
      <w:proofErr w:type="gramStart"/>
      <w:r w:rsidRPr="007415F8">
        <w:rPr>
          <w:sz w:val="24"/>
          <w:lang w:val="cs-CZ"/>
        </w:rPr>
        <w:t>30.12.2006</w:t>
      </w:r>
      <w:proofErr w:type="gramEnd"/>
      <w:r w:rsidRPr="007415F8">
        <w:rPr>
          <w:sz w:val="24"/>
          <w:lang w:val="cs-CZ"/>
        </w:rPr>
        <w:t>, s. 1.</w:t>
      </w:r>
    </w:p>
  </w:footnote>
  <w:footnote w:id="10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L 122, </w:t>
      </w:r>
      <w:proofErr w:type="gramStart"/>
      <w:r w:rsidRPr="007415F8">
        <w:rPr>
          <w:sz w:val="24"/>
          <w:lang w:val="cs-CZ"/>
        </w:rPr>
        <w:t>10.5.2019</w:t>
      </w:r>
      <w:proofErr w:type="gramEnd"/>
      <w:r w:rsidRPr="007415F8">
        <w:rPr>
          <w:sz w:val="24"/>
          <w:lang w:val="cs-CZ"/>
        </w:rPr>
        <w:t>, s. 1.</w:t>
      </w:r>
    </w:p>
  </w:footnote>
  <w:footnote w:id="11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C 453, </w:t>
      </w:r>
      <w:proofErr w:type="gramStart"/>
      <w:r w:rsidRPr="007415F8">
        <w:rPr>
          <w:sz w:val="24"/>
          <w:lang w:val="cs-CZ"/>
        </w:rPr>
        <w:t>29.11.2022</w:t>
      </w:r>
      <w:proofErr w:type="gramEnd"/>
      <w:r w:rsidRPr="007415F8">
        <w:rPr>
          <w:sz w:val="24"/>
          <w:lang w:val="cs-CZ"/>
        </w:rPr>
        <w:t>, s. 39.</w:t>
      </w:r>
    </w:p>
  </w:footnote>
  <w:footnote w:id="12">
    <w:p w:rsidR="00E900EE" w:rsidRPr="00942DB5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sz w:val="24"/>
          <w:vertAlign w:val="superscript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r w:rsidRPr="00942DB5">
        <w:rPr>
          <w:sz w:val="24"/>
          <w:lang w:val="cs-CZ"/>
        </w:rPr>
        <w:t>Nařízení Evropského parlamentu a Rady (ES) č. 1907/2006 ze dne 18. prosince 2006 o registraci, hodnocení, povolování a omezování chemických látek, o zřízení Evropské agentury pro chemické látky, o změně směrnice 1999/45/ES a o zrušení nařízení Rady (EHS) č. 793/93, nařízení Komise (ES) č. 1488/94, směrnice Rady 76/769/EHS a směrnic Komise 91/155/EHS, 93/67/EHS, 93/105/ES a 2000/21/ES (</w:t>
      </w:r>
      <w:proofErr w:type="spellStart"/>
      <w:r w:rsidRPr="00942DB5">
        <w:rPr>
          <w:sz w:val="24"/>
          <w:lang w:val="cs-CZ"/>
        </w:rPr>
        <w:t>Úř</w:t>
      </w:r>
      <w:proofErr w:type="spellEnd"/>
      <w:r w:rsidRPr="00942DB5">
        <w:rPr>
          <w:sz w:val="24"/>
          <w:lang w:val="cs-CZ"/>
        </w:rPr>
        <w:t xml:space="preserve">. </w:t>
      </w:r>
      <w:proofErr w:type="spellStart"/>
      <w:proofErr w:type="gramStart"/>
      <w:r w:rsidRPr="00942DB5">
        <w:rPr>
          <w:sz w:val="24"/>
          <w:lang w:val="cs-CZ"/>
        </w:rPr>
        <w:t>věst</w:t>
      </w:r>
      <w:proofErr w:type="spellEnd"/>
      <w:proofErr w:type="gramEnd"/>
      <w:r w:rsidRPr="00942DB5">
        <w:rPr>
          <w:sz w:val="24"/>
          <w:lang w:val="cs-CZ"/>
        </w:rPr>
        <w:t xml:space="preserve">. L 396, </w:t>
      </w:r>
      <w:proofErr w:type="gramStart"/>
      <w:r w:rsidRPr="00942DB5">
        <w:rPr>
          <w:sz w:val="24"/>
          <w:lang w:val="cs-CZ"/>
        </w:rPr>
        <w:t>30.12.2006</w:t>
      </w:r>
      <w:proofErr w:type="gramEnd"/>
      <w:r w:rsidRPr="00942DB5">
        <w:rPr>
          <w:sz w:val="24"/>
          <w:lang w:val="cs-CZ"/>
        </w:rPr>
        <w:t>, s. 1).</w:t>
      </w:r>
    </w:p>
  </w:footnote>
  <w:footnote w:id="13">
    <w:p w:rsidR="00E900EE" w:rsidRPr="00942DB5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942DB5">
        <w:rPr>
          <w:rStyle w:val="FootnoteReference"/>
          <w:sz w:val="24"/>
          <w:lang w:val="cs-CZ"/>
        </w:rPr>
        <w:footnoteRef/>
      </w:r>
      <w:r w:rsidR="007415F8" w:rsidRPr="00942DB5">
        <w:rPr>
          <w:sz w:val="24"/>
          <w:lang w:val="cs-CZ"/>
        </w:rPr>
        <w:t xml:space="preserve"> </w:t>
      </w:r>
      <w:r w:rsidR="007415F8" w:rsidRPr="00942DB5">
        <w:rPr>
          <w:sz w:val="24"/>
          <w:lang w:val="cs-CZ"/>
        </w:rPr>
        <w:tab/>
      </w:r>
      <w:r w:rsidRPr="00942DB5">
        <w:rPr>
          <w:sz w:val="24"/>
          <w:lang w:val="cs-CZ"/>
        </w:rPr>
        <w:t xml:space="preserve">Nařízení Evropského parlamentu a Rady (ES) č. 1272/2008 ze dne 16. prosince 2008 o klasifikaci, označování a balení látek a směsí, o změně a zrušení směrnic 67/548/EHS a 1999/45/ES a o změně nařízení (ES) č. </w:t>
      </w:r>
      <w:r w:rsidR="00575361">
        <w:rPr>
          <w:sz w:val="24"/>
          <w:lang w:val="cs-CZ"/>
        </w:rPr>
        <w:t>1907/2006 (</w:t>
      </w:r>
      <w:proofErr w:type="spellStart"/>
      <w:r w:rsidR="00575361">
        <w:rPr>
          <w:sz w:val="24"/>
          <w:lang w:val="cs-CZ"/>
        </w:rPr>
        <w:t>Úř</w:t>
      </w:r>
      <w:proofErr w:type="spellEnd"/>
      <w:r w:rsidR="00575361">
        <w:rPr>
          <w:sz w:val="24"/>
          <w:lang w:val="cs-CZ"/>
        </w:rPr>
        <w:t xml:space="preserve">. </w:t>
      </w:r>
      <w:proofErr w:type="spellStart"/>
      <w:proofErr w:type="gramStart"/>
      <w:r w:rsidR="00575361">
        <w:rPr>
          <w:sz w:val="24"/>
          <w:lang w:val="cs-CZ"/>
        </w:rPr>
        <w:t>věst</w:t>
      </w:r>
      <w:proofErr w:type="spellEnd"/>
      <w:proofErr w:type="gramEnd"/>
      <w:r w:rsidR="00575361">
        <w:rPr>
          <w:sz w:val="24"/>
          <w:lang w:val="cs-CZ"/>
        </w:rPr>
        <w:t xml:space="preserve">. L 353, </w:t>
      </w:r>
      <w:proofErr w:type="gramStart"/>
      <w:r w:rsidR="00575361">
        <w:rPr>
          <w:sz w:val="24"/>
          <w:lang w:val="cs-CZ"/>
        </w:rPr>
        <w:t>31.12.</w:t>
      </w:r>
      <w:r w:rsidRPr="00942DB5">
        <w:rPr>
          <w:sz w:val="24"/>
          <w:lang w:val="cs-CZ"/>
        </w:rPr>
        <w:t>2008</w:t>
      </w:r>
      <w:proofErr w:type="gramEnd"/>
      <w:r w:rsidRPr="00942DB5">
        <w:rPr>
          <w:sz w:val="24"/>
          <w:lang w:val="cs-CZ"/>
        </w:rPr>
        <w:t>, s. 1).</w:t>
      </w:r>
    </w:p>
  </w:footnote>
  <w:footnote w:id="14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942DB5">
        <w:rPr>
          <w:rStyle w:val="FootnoteReference"/>
          <w:sz w:val="24"/>
          <w:lang w:val="cs-CZ"/>
        </w:rPr>
        <w:footnoteRef/>
      </w:r>
      <w:r w:rsidR="007415F8" w:rsidRPr="00942DB5">
        <w:rPr>
          <w:sz w:val="24"/>
          <w:lang w:val="cs-CZ"/>
        </w:rPr>
        <w:t xml:space="preserve"> </w:t>
      </w:r>
      <w:r w:rsidR="007415F8" w:rsidRPr="00942DB5">
        <w:rPr>
          <w:sz w:val="24"/>
          <w:lang w:val="cs-CZ"/>
        </w:rPr>
        <w:tab/>
      </w:r>
      <w:r w:rsidRPr="00942DB5">
        <w:rPr>
          <w:sz w:val="24"/>
          <w:lang w:val="cs-CZ"/>
        </w:rPr>
        <w:t xml:space="preserve">Nařízení Evropského parlamentu </w:t>
      </w:r>
      <w:r w:rsidRPr="007415F8">
        <w:rPr>
          <w:sz w:val="24"/>
          <w:lang w:val="cs-CZ"/>
        </w:rPr>
        <w:t>a Rady (EU) č. 528/2012 ze dne 22. května 2012 o dodávání biocidních přípravků na trh a jejich používání (</w:t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L 167, </w:t>
      </w:r>
      <w:proofErr w:type="gramStart"/>
      <w:r w:rsidRPr="007415F8">
        <w:rPr>
          <w:sz w:val="24"/>
          <w:lang w:val="cs-CZ"/>
        </w:rPr>
        <w:t>27.6.2012</w:t>
      </w:r>
      <w:proofErr w:type="gramEnd"/>
      <w:r w:rsidRPr="007415F8">
        <w:rPr>
          <w:sz w:val="24"/>
          <w:lang w:val="cs-CZ"/>
        </w:rPr>
        <w:t>, s. 1).</w:t>
      </w:r>
    </w:p>
  </w:footnote>
  <w:footnote w:id="15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r w:rsidRPr="007415F8">
        <w:rPr>
          <w:sz w:val="24"/>
          <w:lang w:val="cs-CZ"/>
        </w:rPr>
        <w:t>Nařízení Evropského parlamentu a Rady (ES) č. 1107/2009 ze dne 21. října 2009 o uvádění přípravků na ochranu rostlin na trh a o zrušení směrnic Rady 79/117/EHS a 91/414/EHS (</w:t>
      </w:r>
      <w:proofErr w:type="spellStart"/>
      <w:r w:rsidRPr="007415F8">
        <w:rPr>
          <w:sz w:val="24"/>
          <w:lang w:val="cs-CZ"/>
        </w:rPr>
        <w:t>Úř</w:t>
      </w:r>
      <w:proofErr w:type="spellEnd"/>
      <w:r w:rsidRPr="007415F8">
        <w:rPr>
          <w:sz w:val="24"/>
          <w:lang w:val="cs-CZ"/>
        </w:rPr>
        <w:t xml:space="preserve">. </w:t>
      </w:r>
      <w:proofErr w:type="spellStart"/>
      <w:proofErr w:type="gramStart"/>
      <w:r w:rsidRPr="007415F8">
        <w:rPr>
          <w:sz w:val="24"/>
          <w:lang w:val="cs-CZ"/>
        </w:rPr>
        <w:t>věst</w:t>
      </w:r>
      <w:proofErr w:type="spellEnd"/>
      <w:proofErr w:type="gramEnd"/>
      <w:r w:rsidRPr="007415F8">
        <w:rPr>
          <w:sz w:val="24"/>
          <w:lang w:val="cs-CZ"/>
        </w:rPr>
        <w:t xml:space="preserve">. L 309, </w:t>
      </w:r>
      <w:proofErr w:type="gramStart"/>
      <w:r w:rsidRPr="007415F8">
        <w:rPr>
          <w:sz w:val="24"/>
          <w:lang w:val="cs-CZ"/>
        </w:rPr>
        <w:t>24.11.2009</w:t>
      </w:r>
      <w:proofErr w:type="gramEnd"/>
      <w:r w:rsidRPr="007415F8">
        <w:rPr>
          <w:sz w:val="24"/>
          <w:lang w:val="cs-CZ"/>
        </w:rPr>
        <w:t>, s. 1).</w:t>
      </w:r>
    </w:p>
  </w:footnote>
  <w:footnote w:id="16">
    <w:p w:rsidR="00E900EE" w:rsidRPr="007415F8" w:rsidRDefault="00E900EE" w:rsidP="007415F8">
      <w:pPr>
        <w:pStyle w:val="FootnoteText"/>
        <w:ind w:left="567" w:hanging="567"/>
        <w:rPr>
          <w:sz w:val="24"/>
          <w:lang w:val="cs-CZ"/>
        </w:rPr>
      </w:pPr>
      <w:r w:rsidRPr="007415F8">
        <w:rPr>
          <w:rStyle w:val="FootnoteReference"/>
          <w:sz w:val="24"/>
          <w:lang w:val="cs-CZ"/>
        </w:rPr>
        <w:footnoteRef/>
      </w:r>
      <w:r w:rsidR="007415F8" w:rsidRPr="007415F8">
        <w:rPr>
          <w:sz w:val="24"/>
          <w:lang w:val="cs-CZ"/>
        </w:rPr>
        <w:t xml:space="preserve"> </w:t>
      </w:r>
      <w:r w:rsidR="007415F8" w:rsidRPr="007415F8">
        <w:rPr>
          <w:sz w:val="24"/>
          <w:lang w:val="cs-CZ"/>
        </w:rPr>
        <w:tab/>
      </w:r>
      <w:r w:rsidRPr="007415F8">
        <w:rPr>
          <w:sz w:val="24"/>
          <w:lang w:val="cs-CZ"/>
        </w:rPr>
        <w:t>Přijaté texty, P9_TA(2024)0</w:t>
      </w:r>
      <w:r w:rsidR="00181E56">
        <w:rPr>
          <w:sz w:val="24"/>
          <w:lang w:val="cs-CZ"/>
        </w:rPr>
        <w:t>28</w:t>
      </w:r>
      <w:r w:rsidRPr="007415F8">
        <w:rPr>
          <w:sz w:val="24"/>
          <w:lang w:val="cs-CZ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15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15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15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5/2024"/>
    <w:docVar w:name="dvlangue" w:val="CS"/>
    <w:docVar w:name="dvnumam" w:val="0"/>
    <w:docVar w:name="dvpe" w:val="753.516"/>
    <w:docVar w:name="dvrapporteur" w:val="Zpravodaj: "/>
    <w:docVar w:name="dvtitre" w:val="1. Rozhodnutí Evropského parlamentu ze dne 11. dubna 2024 o udělení absolutoria za plnění rozpočtu Evropské agentury pro na rozpočtový rok 2022(2023/2148(DEC))"/>
  </w:docVars>
  <w:rsids>
    <w:rsidRoot w:val="0056322E"/>
    <w:rsid w:val="00002272"/>
    <w:rsid w:val="00064002"/>
    <w:rsid w:val="000677B9"/>
    <w:rsid w:val="000700DF"/>
    <w:rsid w:val="000831BA"/>
    <w:rsid w:val="000A42CC"/>
    <w:rsid w:val="000E7DD9"/>
    <w:rsid w:val="0010095E"/>
    <w:rsid w:val="00125B37"/>
    <w:rsid w:val="00181E56"/>
    <w:rsid w:val="00187494"/>
    <w:rsid w:val="001B5B6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22E"/>
    <w:rsid w:val="00575361"/>
    <w:rsid w:val="005C2568"/>
    <w:rsid w:val="006037C0"/>
    <w:rsid w:val="006631B6"/>
    <w:rsid w:val="00680577"/>
    <w:rsid w:val="006F74FA"/>
    <w:rsid w:val="00731ADD"/>
    <w:rsid w:val="00734777"/>
    <w:rsid w:val="007415F8"/>
    <w:rsid w:val="00747932"/>
    <w:rsid w:val="00751A4A"/>
    <w:rsid w:val="00756632"/>
    <w:rsid w:val="00762C74"/>
    <w:rsid w:val="00786EC0"/>
    <w:rsid w:val="007D1690"/>
    <w:rsid w:val="007E22AD"/>
    <w:rsid w:val="00817416"/>
    <w:rsid w:val="00840D85"/>
    <w:rsid w:val="00842779"/>
    <w:rsid w:val="00865F67"/>
    <w:rsid w:val="00881A7B"/>
    <w:rsid w:val="008840E5"/>
    <w:rsid w:val="00887B3E"/>
    <w:rsid w:val="008C2AC6"/>
    <w:rsid w:val="00930C23"/>
    <w:rsid w:val="0093193B"/>
    <w:rsid w:val="00942DB5"/>
    <w:rsid w:val="009509D8"/>
    <w:rsid w:val="00950B64"/>
    <w:rsid w:val="00981893"/>
    <w:rsid w:val="00A1687D"/>
    <w:rsid w:val="00A21B35"/>
    <w:rsid w:val="00A43E52"/>
    <w:rsid w:val="00A4678D"/>
    <w:rsid w:val="00A778C7"/>
    <w:rsid w:val="00AB441E"/>
    <w:rsid w:val="00AB6293"/>
    <w:rsid w:val="00AE0928"/>
    <w:rsid w:val="00AF3B82"/>
    <w:rsid w:val="00B04E02"/>
    <w:rsid w:val="00B12E95"/>
    <w:rsid w:val="00B22876"/>
    <w:rsid w:val="00B4647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0E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32FB7"/>
  <w15:chartTrackingRefBased/>
  <w15:docId w15:val="{49B745F2-8E61-42EF-B246-0AE3DE68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900E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900EE"/>
    <w:pPr>
      <w:spacing w:before="480" w:after="240"/>
    </w:pPr>
  </w:style>
  <w:style w:type="paragraph" w:customStyle="1" w:styleId="PageHeading">
    <w:name w:val="PageHeading"/>
    <w:basedOn w:val="Normal"/>
    <w:rsid w:val="00E900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900EE"/>
    <w:rPr>
      <w:b/>
    </w:rPr>
  </w:style>
  <w:style w:type="paragraph" w:customStyle="1" w:styleId="NormalHanging12a">
    <w:name w:val="NormalHanging12a"/>
    <w:basedOn w:val="Normal"/>
    <w:link w:val="NormalHanging12aChar"/>
    <w:rsid w:val="00E900E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900EE"/>
    <w:pPr>
      <w:spacing w:after="240"/>
      <w:jc w:val="center"/>
    </w:pPr>
  </w:style>
  <w:style w:type="paragraph" w:styleId="Header">
    <w:name w:val="header"/>
    <w:basedOn w:val="Normal"/>
    <w:link w:val="HeaderChar"/>
    <w:rsid w:val="00E900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900EE"/>
    <w:rPr>
      <w:sz w:val="24"/>
      <w:lang w:val="cs-CZ"/>
    </w:rPr>
  </w:style>
  <w:style w:type="paragraph" w:customStyle="1" w:styleId="EPFooter">
    <w:name w:val="EPFooter"/>
    <w:basedOn w:val="Normal"/>
    <w:rsid w:val="00E900E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rsid w:val="00E900EE"/>
    <w:pPr>
      <w:spacing w:after="240"/>
      <w:ind w:left="567" w:hanging="567"/>
    </w:pPr>
  </w:style>
  <w:style w:type="character" w:customStyle="1" w:styleId="NormalHanging12aChar">
    <w:name w:val="NormalHanging12a Char"/>
    <w:link w:val="NormalHanging12a"/>
    <w:locked/>
    <w:rsid w:val="00E900EE"/>
    <w:rPr>
      <w:sz w:val="24"/>
      <w:lang w:val="cs-CZ"/>
    </w:rPr>
  </w:style>
  <w:style w:type="character" w:customStyle="1" w:styleId="Normal12HangingChar">
    <w:name w:val="Normal12Hanging Char"/>
    <w:link w:val="Normal12Hanging"/>
    <w:locked/>
    <w:rsid w:val="00E900EE"/>
    <w:rPr>
      <w:sz w:val="24"/>
      <w:lang w:val="cs-CZ"/>
    </w:rPr>
  </w:style>
  <w:style w:type="paragraph" w:styleId="Footer">
    <w:name w:val="footer"/>
    <w:basedOn w:val="Normal"/>
    <w:link w:val="FooterChar"/>
    <w:rsid w:val="00B04E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04E02"/>
    <w:rPr>
      <w:sz w:val="24"/>
      <w:lang w:val="cs-CZ"/>
    </w:rPr>
  </w:style>
  <w:style w:type="paragraph" w:styleId="BalloonText">
    <w:name w:val="Balloon Text"/>
    <w:basedOn w:val="Normal"/>
    <w:link w:val="BalloonTextChar"/>
    <w:rsid w:val="00942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2DB5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16EF4-9C6D-4F0A-9670-1C1F590A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3252</Words>
  <Characters>19105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Karina Pesa</cp:lastModifiedBy>
  <cp:revision>3</cp:revision>
  <cp:lastPrinted>2004-11-19T15:42:00Z</cp:lastPrinted>
  <dcterms:created xsi:type="dcterms:W3CDTF">2024-05-15T11:50:00Z</dcterms:created>
  <dcterms:modified xsi:type="dcterms:W3CDTF">2024-10-30T16:59:00Z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P9_TA(2024)0258_</vt:lpwstr>
  </property>
  <property fmtid="{D5CDD505-2E9C-101B-9397-08002B2CF9AE}" pid="4" name="&lt;Type&gt;">
    <vt:lpwstr>RR</vt:lpwstr>
  </property>
</Properties>
</file>