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082F" w:rsidTr="0010095E">
        <w:trPr>
          <w:trHeight w:hRule="exact" w:val="1418"/>
        </w:trPr>
        <w:tc>
          <w:tcPr>
            <w:tcW w:w="6804" w:type="dxa"/>
            <w:shd w:val="clear" w:color="auto" w:fill="auto"/>
            <w:vAlign w:val="center"/>
          </w:tcPr>
          <w:p w:rsidR="00751A4A" w:rsidRPr="0071082F" w:rsidRDefault="004E696F" w:rsidP="0010095E">
            <w:pPr>
              <w:pStyle w:val="EPName"/>
            </w:pPr>
            <w:r w:rsidRPr="0071082F">
              <w:t>Ευρωπαϊκό Κοινοβούλιο</w:t>
            </w:r>
          </w:p>
          <w:p w:rsidR="00751A4A" w:rsidRPr="0071082F" w:rsidRDefault="00817416" w:rsidP="00756632">
            <w:pPr>
              <w:pStyle w:val="EPTerm"/>
              <w:rPr>
                <w:rStyle w:val="HideTWBExt"/>
                <w:noProof w:val="0"/>
                <w:vanish w:val="0"/>
                <w:color w:val="auto"/>
              </w:rPr>
            </w:pPr>
            <w:r w:rsidRPr="0071082F">
              <w:t>2019-2024</w:t>
            </w:r>
          </w:p>
        </w:tc>
        <w:tc>
          <w:tcPr>
            <w:tcW w:w="2268" w:type="dxa"/>
            <w:shd w:val="clear" w:color="auto" w:fill="auto"/>
          </w:tcPr>
          <w:p w:rsidR="00751A4A" w:rsidRPr="0071082F" w:rsidRDefault="00187494" w:rsidP="0010095E">
            <w:pPr>
              <w:pStyle w:val="EPLogo"/>
            </w:pPr>
            <w:r w:rsidRPr="0071082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1082F" w:rsidRDefault="00D058B8" w:rsidP="004C5D52">
      <w:pPr>
        <w:pStyle w:val="LineTop"/>
      </w:pPr>
    </w:p>
    <w:p w:rsidR="00680577" w:rsidRPr="0071082F" w:rsidRDefault="004E696F" w:rsidP="00680577">
      <w:pPr>
        <w:pStyle w:val="EPBodyTA1"/>
      </w:pPr>
      <w:r w:rsidRPr="0071082F">
        <w:t>ΚΕΙΜΕΝΑ ΠΟΥ ΕΓΚΡΙΘΗΚΑΝ</w:t>
      </w:r>
    </w:p>
    <w:p w:rsidR="00D058B8" w:rsidRPr="0071082F" w:rsidRDefault="00D058B8" w:rsidP="00D058B8">
      <w:pPr>
        <w:pStyle w:val="LineBottom"/>
      </w:pPr>
    </w:p>
    <w:p w:rsidR="004E696F" w:rsidRPr="0071082F" w:rsidRDefault="004E696F" w:rsidP="004E696F">
      <w:pPr>
        <w:pStyle w:val="ATHeading1"/>
      </w:pPr>
      <w:bookmarkStart w:id="0" w:name="TANumber"/>
      <w:r w:rsidRPr="0071082F">
        <w:t>P9_TA(2024)</w:t>
      </w:r>
      <w:bookmarkEnd w:id="0"/>
      <w:r w:rsidR="00BC2E70" w:rsidRPr="0071082F">
        <w:t>0</w:t>
      </w:r>
      <w:r w:rsidR="00BC2E70">
        <w:t>258</w:t>
      </w:r>
    </w:p>
    <w:p w:rsidR="004E696F" w:rsidRPr="0071082F" w:rsidRDefault="004E696F" w:rsidP="004E696F">
      <w:pPr>
        <w:pStyle w:val="ATHeading2"/>
      </w:pPr>
      <w:bookmarkStart w:id="1" w:name="title"/>
      <w:r w:rsidRPr="0071082F">
        <w:t>Απαλλαγή 2022: Ευρωπαϊκός Οργανισμός Χημικών Προϊόντων</w:t>
      </w:r>
      <w:bookmarkEnd w:id="1"/>
    </w:p>
    <w:p w:rsidR="004E696F" w:rsidRPr="0071082F" w:rsidRDefault="004E696F" w:rsidP="004E696F">
      <w:pPr>
        <w:rPr>
          <w:i/>
          <w:vanish/>
        </w:rPr>
      </w:pPr>
      <w:r w:rsidRPr="0071082F">
        <w:rPr>
          <w:i/>
        </w:rPr>
        <w:fldChar w:fldCharType="begin"/>
      </w:r>
      <w:r w:rsidRPr="0071082F">
        <w:rPr>
          <w:i/>
        </w:rPr>
        <w:instrText xml:space="preserve"> TC"(</w:instrText>
      </w:r>
      <w:bookmarkStart w:id="2" w:name="DocNumber"/>
      <w:r w:rsidRPr="0071082F">
        <w:rPr>
          <w:i/>
        </w:rPr>
        <w:instrText>A9-0135/2024</w:instrText>
      </w:r>
      <w:bookmarkEnd w:id="2"/>
      <w:r w:rsidRPr="0071082F">
        <w:rPr>
          <w:i/>
        </w:rPr>
        <w:instrText xml:space="preserve"> - Εισηγητής: </w:instrText>
      </w:r>
      <w:proofErr w:type="spellStart"/>
      <w:r w:rsidRPr="0071082F">
        <w:rPr>
          <w:i/>
        </w:rPr>
        <w:instrText>Petri</w:instrText>
      </w:r>
      <w:proofErr w:type="spellEnd"/>
      <w:r w:rsidRPr="0071082F">
        <w:rPr>
          <w:i/>
        </w:rPr>
        <w:instrText xml:space="preserve"> </w:instrText>
      </w:r>
      <w:proofErr w:type="spellStart"/>
      <w:r w:rsidRPr="0071082F">
        <w:rPr>
          <w:i/>
        </w:rPr>
        <w:instrText>Sarvamaa</w:instrText>
      </w:r>
      <w:proofErr w:type="spellEnd"/>
      <w:r w:rsidRPr="0071082F">
        <w:rPr>
          <w:i/>
        </w:rPr>
        <w:instrText xml:space="preserve">)"\l3 \n&gt; \* MERGEFORMAT </w:instrText>
      </w:r>
      <w:r w:rsidRPr="0071082F">
        <w:rPr>
          <w:i/>
        </w:rPr>
        <w:fldChar w:fldCharType="end"/>
      </w:r>
    </w:p>
    <w:p w:rsidR="004E696F" w:rsidRPr="0071082F" w:rsidRDefault="004E696F" w:rsidP="004E696F">
      <w:pPr>
        <w:rPr>
          <w:vanish/>
        </w:rPr>
      </w:pPr>
      <w:bookmarkStart w:id="3" w:name="Commission"/>
      <w:r w:rsidRPr="0071082F">
        <w:rPr>
          <w:vanish/>
        </w:rPr>
        <w:t>Επιτροπή Ελέγχου του Προϋπολογισμού</w:t>
      </w:r>
      <w:bookmarkEnd w:id="3"/>
    </w:p>
    <w:p w:rsidR="004E696F" w:rsidRPr="0071082F" w:rsidRDefault="004E696F" w:rsidP="004E696F">
      <w:pPr>
        <w:rPr>
          <w:vanish/>
        </w:rPr>
      </w:pPr>
      <w:bookmarkStart w:id="4" w:name="PE"/>
      <w:r w:rsidRPr="0071082F">
        <w:rPr>
          <w:vanish/>
        </w:rPr>
        <w:t>PE753.516</w:t>
      </w:r>
      <w:bookmarkEnd w:id="4"/>
    </w:p>
    <w:p w:rsidR="004E696F" w:rsidRPr="0071082F" w:rsidRDefault="00F14953" w:rsidP="004E696F">
      <w:pPr>
        <w:pStyle w:val="ATHeading3"/>
      </w:pPr>
      <w:bookmarkStart w:id="5" w:name="Sujet"/>
      <w:r w:rsidRPr="00F14953">
        <w:t xml:space="preserve">1. </w:t>
      </w:r>
      <w:r w:rsidR="004E696F" w:rsidRPr="0071082F">
        <w:t xml:space="preserve">Απόφαση του Ευρωπαϊκού Κοινοβουλίου </w:t>
      </w:r>
      <w:r>
        <w:t xml:space="preserve">της 11ης Απριλίου 2024 </w:t>
      </w:r>
      <w:r w:rsidR="004E696F" w:rsidRPr="0071082F">
        <w:t>σχετικά με την απαλλαγή όσον αφορά την εκτέλεση του προϋπολογισμού του Ευρωπαϊκού Οργανισμού Χημικών Προϊόντων για το οικονομικό έτος 2022</w:t>
      </w:r>
      <w:bookmarkEnd w:id="5"/>
      <w:r w:rsidR="004E696F" w:rsidRPr="0071082F">
        <w:t xml:space="preserve"> </w:t>
      </w:r>
      <w:bookmarkStart w:id="6" w:name="References"/>
      <w:r w:rsidR="004E696F" w:rsidRPr="0071082F">
        <w:t>(2023/2148(DEC))</w:t>
      </w:r>
      <w:bookmarkEnd w:id="6"/>
    </w:p>
    <w:p w:rsidR="00FE3515" w:rsidRPr="0071082F" w:rsidRDefault="00FE3515" w:rsidP="00FE3515">
      <w:pPr>
        <w:pStyle w:val="EPComma"/>
      </w:pPr>
      <w:bookmarkStart w:id="7" w:name="TextBodyBegin"/>
      <w:bookmarkEnd w:id="7"/>
      <w:r w:rsidRPr="0071082F">
        <w:rPr>
          <w:i/>
        </w:rPr>
        <w:t>Το Ευρωπαϊκό Κοινοβούλιο</w:t>
      </w:r>
      <w:r w:rsidRPr="0071082F">
        <w:t>,</w:t>
      </w:r>
    </w:p>
    <w:p w:rsidR="00FE3515" w:rsidRPr="0071082F" w:rsidRDefault="00FE3515" w:rsidP="00FE3515">
      <w:pPr>
        <w:pStyle w:val="NormalHanging12a"/>
      </w:pPr>
      <w:r w:rsidRPr="0071082F">
        <w:t>–</w:t>
      </w:r>
      <w:r w:rsidRPr="0071082F">
        <w:tab/>
        <w:t>έχοντας υπόψη τους οριστικούς ετήσιους λογαριασμούς του Ευρωπαϊκού Οργανισμού Χημικών Προϊόντων για το οικονομικό έτος 2022,</w:t>
      </w:r>
    </w:p>
    <w:p w:rsidR="00FE3515" w:rsidRPr="0071082F" w:rsidRDefault="00FE3515" w:rsidP="00FE3515">
      <w:pPr>
        <w:pStyle w:val="NormalHanging12a"/>
      </w:pPr>
      <w:r w:rsidRPr="0071082F">
        <w:t>–</w:t>
      </w:r>
      <w:r w:rsidRPr="0071082F">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71082F">
        <w:rPr>
          <w:rStyle w:val="FootnoteReference"/>
        </w:rPr>
        <w:footnoteReference w:id="1"/>
      </w:r>
      <w:r w:rsidRPr="0071082F">
        <w:t>,</w:t>
      </w:r>
    </w:p>
    <w:p w:rsidR="00FE3515" w:rsidRPr="0071082F" w:rsidRDefault="00FE3515" w:rsidP="00FE3515">
      <w:pPr>
        <w:pStyle w:val="NormalHanging12a"/>
      </w:pPr>
      <w:r w:rsidRPr="0071082F">
        <w:t>–</w:t>
      </w:r>
      <w:r w:rsidRPr="0071082F">
        <w:tab/>
        <w:t>έχοντας υπόψη τη δήλωση αξιοπιστίας</w:t>
      </w:r>
      <w:r w:rsidRPr="0071082F">
        <w:rPr>
          <w:rStyle w:val="FootnoteReference"/>
        </w:rPr>
        <w:footnoteReference w:id="2"/>
      </w:r>
      <w:r w:rsidRPr="0071082F">
        <w:t xml:space="preserve"> η οποία βεβαιώνει την ακρίβεια των λογαριασμών και τη νομιμότητα και κανονικότητα των σχετικών πράξεων, την οποία </w:t>
      </w:r>
      <w:proofErr w:type="spellStart"/>
      <w:r w:rsidRPr="0071082F">
        <w:t>ενεχείρισε</w:t>
      </w:r>
      <w:proofErr w:type="spellEnd"/>
      <w:r w:rsidRPr="0071082F">
        <w:t xml:space="preserve"> το Ελεγκτικό Συνέδριο για το οικονομικό έτος 2022, σύμφωνα με το άρθρο 287 της Συνθήκης για τη λειτουργία της Ευρωπαϊκής Ένωσης,</w:t>
      </w:r>
    </w:p>
    <w:p w:rsidR="00FE3515" w:rsidRPr="0071082F" w:rsidRDefault="00FE3515" w:rsidP="00FE3515">
      <w:pPr>
        <w:pStyle w:val="NormalHanging12a"/>
      </w:pPr>
      <w:r w:rsidRPr="0071082F">
        <w:t>–</w:t>
      </w:r>
      <w:r w:rsidRPr="0071082F">
        <w:tab/>
        <w:t>έχοντας υπόψη τη σύσταση του Συμβουλίου, της 22ας Φεβρουαρίου 2024, σχετικά με την απαλλαγή του Οργανισμού όσον αφορά την εκτέλεση του προϋπολογισμού για το οικονομικό έτος 2022 (</w:t>
      </w:r>
      <w:r w:rsidR="00F201FA" w:rsidRPr="0071082F">
        <w:t>0</w:t>
      </w:r>
      <w:r w:rsidR="00F201FA" w:rsidRPr="00BC2E70">
        <w:t>6180</w:t>
      </w:r>
      <w:r w:rsidRPr="0071082F">
        <w:t>/2024 – C9</w:t>
      </w:r>
      <w:r w:rsidRPr="0071082F">
        <w:noBreakHyphen/>
      </w:r>
      <w:r w:rsidR="00F201FA" w:rsidRPr="0071082F">
        <w:t>0</w:t>
      </w:r>
      <w:r w:rsidR="00F201FA" w:rsidRPr="00BC2E70">
        <w:t>086</w:t>
      </w:r>
      <w:r w:rsidRPr="0071082F">
        <w:t>/2024),</w:t>
      </w:r>
    </w:p>
    <w:p w:rsidR="00FE3515" w:rsidRPr="0071082F" w:rsidRDefault="00FE3515" w:rsidP="00FE3515">
      <w:pPr>
        <w:pStyle w:val="NormalHanging12a"/>
      </w:pPr>
      <w:r w:rsidRPr="0071082F">
        <w:t>–</w:t>
      </w:r>
      <w:r w:rsidRPr="0071082F">
        <w:tab/>
        <w:t>έχοντας υπόψη το άρθρο 319 της Συνθήκης για τη λειτουργία της Ευρωπαϊκής Ένωσης,</w:t>
      </w:r>
    </w:p>
    <w:p w:rsidR="00FE3515" w:rsidRPr="0071082F" w:rsidRDefault="00FE3515" w:rsidP="00FE3515">
      <w:pPr>
        <w:pStyle w:val="NormalHanging12a"/>
      </w:pPr>
      <w:r w:rsidRPr="0071082F">
        <w:t>–</w:t>
      </w:r>
      <w:r w:rsidRPr="0071082F">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w:t>
      </w:r>
      <w:r w:rsidRPr="0071082F">
        <w:lastRenderedPageBreak/>
        <w:t>αριθ. 966/2012</w:t>
      </w:r>
      <w:r w:rsidRPr="0071082F">
        <w:rPr>
          <w:rStyle w:val="FootnoteReference"/>
        </w:rPr>
        <w:footnoteReference w:id="3"/>
      </w:r>
      <w:r w:rsidRPr="0071082F">
        <w:t>, και ιδίως το άρθρο 70,</w:t>
      </w:r>
    </w:p>
    <w:p w:rsidR="00FE3515" w:rsidRPr="0071082F" w:rsidRDefault="00FE3515" w:rsidP="00FE3515">
      <w:pPr>
        <w:pStyle w:val="NormalHanging12a"/>
      </w:pPr>
      <w:r w:rsidRPr="0071082F">
        <w:t>–</w:t>
      </w:r>
      <w:r w:rsidRPr="0071082F">
        <w:tab/>
        <w:t>έχοντας υπόψη τον κανονισμό (ΕΚ) αριθ. 1907/2006 του Ευρωπαϊκού Κοινοβουλίου και του Συμβουλίου, της 18ης Δεκεμβρίου 2006, για την καταχώριση, την αξιολόγηση, την αδειοδότηση και τους περιορισμούς των χημικών προϊόντων (REACH) και για την ίδρυση του Ευρωπαϊκού Οργανισμού Χημικών Προϊόντων καθώς και για την τροποποίηση της οδηγίας 1999/45/ΕΚ και για την κατάργηση του κανονισμού (ΕΟΚ) αριθ. 793/93 του Συμβουλίου και του κανονισμού (ΕΚ) αριθ. 1488/94 της Επιτροπής καθώς και της οδηγίας 76/769/ΕΟΚ του Συμβουλίου και των οδηγιών της Επιτροπής 91/155/ΕΟΚ, 93/67/ΕΟΚ, 93/105/ΕΚ και 2000/21/ΕΚ</w:t>
      </w:r>
      <w:r w:rsidRPr="0071082F">
        <w:rPr>
          <w:rStyle w:val="FootnoteReference"/>
        </w:rPr>
        <w:footnoteReference w:id="4"/>
      </w:r>
      <w:r w:rsidRPr="0071082F">
        <w:t>, και ιδίως το άρθρο 97,</w:t>
      </w:r>
    </w:p>
    <w:p w:rsidR="00FE3515" w:rsidRPr="0071082F" w:rsidRDefault="00FE3515" w:rsidP="00FE3515">
      <w:pPr>
        <w:pStyle w:val="NormalHanging12a"/>
      </w:pPr>
      <w:r w:rsidRPr="0071082F">
        <w:t>–</w:t>
      </w:r>
      <w:r w:rsidRPr="0071082F">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71082F">
        <w:rPr>
          <w:rStyle w:val="FootnoteReference"/>
        </w:rPr>
        <w:footnoteReference w:id="5"/>
      </w:r>
      <w:r w:rsidRPr="0071082F">
        <w:t>, και ιδίως το άρθρο 105,</w:t>
      </w:r>
    </w:p>
    <w:p w:rsidR="00FE3515" w:rsidRPr="0071082F" w:rsidRDefault="00FE3515" w:rsidP="00FE3515">
      <w:pPr>
        <w:pStyle w:val="NormalHanging12a"/>
      </w:pPr>
      <w:r w:rsidRPr="0071082F">
        <w:t>–</w:t>
      </w:r>
      <w:r w:rsidRPr="0071082F">
        <w:tab/>
        <w:t>έχοντας υπόψη το άρθρο 100 και το παράρτημα V του Κανονισμού του,</w:t>
      </w:r>
    </w:p>
    <w:p w:rsidR="00FE3515" w:rsidRPr="0071082F" w:rsidRDefault="00FE3515" w:rsidP="00FE3515">
      <w:pPr>
        <w:pStyle w:val="NormalHanging12a"/>
      </w:pPr>
      <w:r w:rsidRPr="0071082F">
        <w:t>–</w:t>
      </w:r>
      <w:r w:rsidRPr="0071082F">
        <w:tab/>
        <w:t>έχοντας υπόψη τη γνωμοδότηση της Επιτροπής Περιβάλλοντος, Δημόσιας Υγείας και Ασφάλειας των Τροφίμων,</w:t>
      </w:r>
    </w:p>
    <w:p w:rsidR="00FE3515" w:rsidRPr="0071082F" w:rsidRDefault="00FE3515" w:rsidP="00FE3515">
      <w:pPr>
        <w:pStyle w:val="NormalHanging12a"/>
      </w:pPr>
      <w:r w:rsidRPr="0071082F">
        <w:t>–</w:t>
      </w:r>
      <w:r w:rsidRPr="0071082F">
        <w:tab/>
        <w:t>έχοντας υπόψη την έκθεση της Επιτροπής Ελέγχου του Προϋπολογισμού (A9‑0135/2024),</w:t>
      </w:r>
    </w:p>
    <w:p w:rsidR="00FE3515" w:rsidRPr="0071082F" w:rsidRDefault="00BC2E70" w:rsidP="00BC2E70">
      <w:pPr>
        <w:pStyle w:val="NormalHanging12a"/>
        <w:ind w:hanging="570"/>
      </w:pPr>
      <w:r w:rsidRPr="0071082F">
        <w:t>1.</w:t>
      </w:r>
      <w:r w:rsidRPr="0071082F">
        <w:tab/>
      </w:r>
      <w:r w:rsidR="00FE3515" w:rsidRPr="0071082F">
        <w:t>χορηγεί απαλλαγή στην εκτελεστική διευθύντρια του Ευρωπαϊκού Οργανισμού Χημικών Προϊόντων όσον αφορά την εκτέλεση του προϋπολογισμού του Οργανισμού για το οικονομικό έτος 2022·</w:t>
      </w:r>
    </w:p>
    <w:p w:rsidR="00FE3515" w:rsidRPr="0071082F" w:rsidRDefault="00BC2E70" w:rsidP="00BC2E70">
      <w:pPr>
        <w:pStyle w:val="NormalHanging12a"/>
        <w:ind w:hanging="570"/>
      </w:pPr>
      <w:r w:rsidRPr="0071082F">
        <w:t>2.</w:t>
      </w:r>
      <w:r w:rsidRPr="0071082F">
        <w:tab/>
      </w:r>
      <w:r w:rsidR="00FE3515" w:rsidRPr="0071082F">
        <w:t>εκθέτει τις παρατηρήσεις του στο ψήφισμα που ακολουθεί·</w:t>
      </w:r>
    </w:p>
    <w:p w:rsidR="00FE3515" w:rsidRPr="0071082F" w:rsidRDefault="00BC2E70" w:rsidP="00BC2E70">
      <w:pPr>
        <w:pStyle w:val="NormalHanging12a"/>
        <w:ind w:hanging="570"/>
      </w:pPr>
      <w:r w:rsidRPr="0071082F">
        <w:t>3.</w:t>
      </w:r>
      <w:r w:rsidRPr="0071082F">
        <w:tab/>
      </w:r>
      <w:r w:rsidR="00FE3515" w:rsidRPr="0071082F">
        <w:t>αναθέτει στην Πρόεδρό του να διαβιβάσει την παρούσα απόφαση και το ψήφισμα που αποτελεί αναπόσπαστο μέρος της στην εκτελεστική διευθύντρια του Ευρωπαϊκού Οργανισμού Χημικών Προϊόντων, στο Συμβούλιο, στην Επιτροπή και στο Ελεγκτικό Συνέδριο, και να μεριμνήσει για τη δημοσίευσή τους στην Επίσημη Εφημερίδα της Ευρωπαϊκής Ένωσης (σειρά L).</w:t>
      </w:r>
    </w:p>
    <w:p w:rsidR="00FE3515" w:rsidRPr="0071082F" w:rsidRDefault="00FE3515" w:rsidP="00FE3515"/>
    <w:p w:rsidR="00FE3515" w:rsidRPr="0071082F" w:rsidRDefault="00FE3515" w:rsidP="00FE3515">
      <w:pPr>
        <w:widowControl/>
        <w:rPr>
          <w:rFonts w:ascii="Arial" w:hAnsi="Arial" w:cs="Arial"/>
          <w:b/>
        </w:rPr>
        <w:sectPr w:rsidR="00FE3515" w:rsidRPr="0071082F" w:rsidSect="0071082F">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FE3515" w:rsidRPr="0071082F" w:rsidRDefault="00F14953" w:rsidP="00F14953">
      <w:pPr>
        <w:pStyle w:val="ATHeading3"/>
      </w:pPr>
      <w:r w:rsidRPr="00F14953">
        <w:lastRenderedPageBreak/>
        <w:t xml:space="preserve">2. </w:t>
      </w:r>
      <w:r>
        <w:t xml:space="preserve">Απόφαση του Ευρωπαϊκού Κοινοβουλίου της 11ης Απριλίου 2024 </w:t>
      </w:r>
      <w:r w:rsidR="00FE3515" w:rsidRPr="0071082F">
        <w:t>σχετικά με το κλείσιμο των λογαριασμών του Ευρωπαϊκού Οργανισμού Χημικών Προϊόντων για το οικονομικό έτος 2022</w:t>
      </w:r>
      <w:r>
        <w:t xml:space="preserve"> </w:t>
      </w:r>
      <w:r w:rsidR="00FE3515" w:rsidRPr="0071082F">
        <w:t>(2023/2148(DEC))</w:t>
      </w:r>
    </w:p>
    <w:p w:rsidR="00FE3515" w:rsidRPr="0071082F" w:rsidRDefault="00FE3515" w:rsidP="00FE3515">
      <w:pPr>
        <w:pStyle w:val="EPComma"/>
      </w:pPr>
      <w:r w:rsidRPr="0071082F">
        <w:rPr>
          <w:i/>
        </w:rPr>
        <w:t>Το Ευρωπαϊκό Κοινοβούλιο</w:t>
      </w:r>
      <w:r w:rsidRPr="0071082F">
        <w:t>,</w:t>
      </w:r>
    </w:p>
    <w:p w:rsidR="00FE3515" w:rsidRPr="0071082F" w:rsidRDefault="00FE3515" w:rsidP="00FE3515">
      <w:pPr>
        <w:pStyle w:val="NormalHanging12a"/>
      </w:pPr>
      <w:r w:rsidRPr="0071082F">
        <w:t>–</w:t>
      </w:r>
      <w:r w:rsidRPr="0071082F">
        <w:tab/>
        <w:t>έχοντας υπόψη τους οριστικούς ετήσιους λογαριασμούς του Ευρωπαϊκού Οργανισμού Χημικών Προϊόντων για το οικονομικό έτος 2022,</w:t>
      </w:r>
    </w:p>
    <w:p w:rsidR="00FE3515" w:rsidRPr="0071082F" w:rsidRDefault="00FE3515" w:rsidP="00FE3515">
      <w:pPr>
        <w:pStyle w:val="NormalHanging12a"/>
      </w:pPr>
      <w:r w:rsidRPr="0071082F">
        <w:t>–</w:t>
      </w:r>
      <w:r w:rsidRPr="0071082F">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71082F">
        <w:rPr>
          <w:rStyle w:val="FootnoteReference"/>
        </w:rPr>
        <w:footnoteReference w:id="6"/>
      </w:r>
      <w:r w:rsidRPr="0071082F">
        <w:t>,</w:t>
      </w:r>
    </w:p>
    <w:p w:rsidR="00FE3515" w:rsidRPr="0071082F" w:rsidRDefault="00FE3515" w:rsidP="00FE3515">
      <w:pPr>
        <w:pStyle w:val="NormalHanging12a"/>
      </w:pPr>
      <w:r w:rsidRPr="0071082F">
        <w:t>–</w:t>
      </w:r>
      <w:r w:rsidRPr="0071082F">
        <w:tab/>
        <w:t>έχοντας υπόψη τη δήλωση αξιοπιστίας</w:t>
      </w:r>
      <w:r w:rsidRPr="0071082F">
        <w:rPr>
          <w:rStyle w:val="FootnoteReference"/>
        </w:rPr>
        <w:footnoteReference w:id="7"/>
      </w:r>
      <w:r w:rsidRPr="0071082F">
        <w:t xml:space="preserve"> η οποία βεβαιώνει την ακρίβεια των λογαριασμών και τη νομιμότητα και κανονικότητα των σχετικών πράξεων, την οποία </w:t>
      </w:r>
      <w:proofErr w:type="spellStart"/>
      <w:r w:rsidRPr="0071082F">
        <w:t>ενεχείρισε</w:t>
      </w:r>
      <w:proofErr w:type="spellEnd"/>
      <w:r w:rsidRPr="0071082F">
        <w:t xml:space="preserve"> το Ελεγκτικό Συνέδριο για το οικονομικό έτος 2022, σύμφωνα με το άρθρο 287 της Συνθήκης για τη λειτουργία της Ευρωπαϊκής Ένωσης,</w:t>
      </w:r>
    </w:p>
    <w:p w:rsidR="00FE3515" w:rsidRPr="0071082F" w:rsidRDefault="00FE3515" w:rsidP="00FE3515">
      <w:pPr>
        <w:pStyle w:val="NormalHanging12a"/>
      </w:pPr>
      <w:r w:rsidRPr="0071082F">
        <w:t>–</w:t>
      </w:r>
      <w:r w:rsidRPr="0071082F">
        <w:tab/>
        <w:t>έχοντας υπόψη τη σύσταση του Συμβουλίου, της 22ας Φεβρουαρίου 2024, σχετικά με την απαλλαγή του Οργανισμού όσον αφορά την εκτέλεση του προϋπολογισμού για το οικονομικό έτος 2022 (</w:t>
      </w:r>
      <w:r w:rsidR="00F201FA" w:rsidRPr="0071082F">
        <w:t>0</w:t>
      </w:r>
      <w:r w:rsidR="00F201FA" w:rsidRPr="000D424C">
        <w:t>6180</w:t>
      </w:r>
      <w:r w:rsidRPr="0071082F">
        <w:t>/2024 – C9</w:t>
      </w:r>
      <w:r w:rsidRPr="0071082F">
        <w:noBreakHyphen/>
      </w:r>
      <w:r w:rsidR="00F201FA" w:rsidRPr="0071082F">
        <w:t>0</w:t>
      </w:r>
      <w:r w:rsidR="00F201FA" w:rsidRPr="00BC2E70">
        <w:t>086</w:t>
      </w:r>
      <w:r w:rsidRPr="0071082F">
        <w:t>/2024),</w:t>
      </w:r>
    </w:p>
    <w:p w:rsidR="00FE3515" w:rsidRPr="0071082F" w:rsidRDefault="00FE3515" w:rsidP="00FE3515">
      <w:pPr>
        <w:pStyle w:val="NormalHanging12a"/>
      </w:pPr>
      <w:r w:rsidRPr="0071082F">
        <w:t>–</w:t>
      </w:r>
      <w:r w:rsidRPr="0071082F">
        <w:tab/>
        <w:t>έχοντας υπόψη το άρθρο 319 της Συνθήκης για τη λειτουργία της Ευρωπαϊκής Ένωσης,</w:t>
      </w:r>
    </w:p>
    <w:p w:rsidR="00FE3515" w:rsidRPr="0071082F" w:rsidRDefault="00FE3515" w:rsidP="00FE3515">
      <w:pPr>
        <w:pStyle w:val="NormalHanging12a"/>
      </w:pPr>
      <w:r w:rsidRPr="0071082F">
        <w:t>–</w:t>
      </w:r>
      <w:r w:rsidRPr="0071082F">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71082F">
        <w:rPr>
          <w:rStyle w:val="FootnoteReference"/>
        </w:rPr>
        <w:footnoteReference w:id="8"/>
      </w:r>
      <w:r w:rsidRPr="0071082F">
        <w:t>, και ιδίως το άρθρο 70,</w:t>
      </w:r>
    </w:p>
    <w:p w:rsidR="00FE3515" w:rsidRPr="0071082F" w:rsidRDefault="00FE3515" w:rsidP="00FE3515">
      <w:pPr>
        <w:pStyle w:val="NormalHanging12a"/>
      </w:pPr>
      <w:r w:rsidRPr="0071082F">
        <w:t>–</w:t>
      </w:r>
      <w:r w:rsidRPr="0071082F">
        <w:tab/>
        <w:t>έχοντας υπόψη τον κανονισμό (ΕΚ) αριθ. 1907/2006 του Ευρωπαϊκού Κοινοβουλίου και του Συμβουλίου, της 18ης Δεκεμβρίου 2006, για την καταχώριση, την αξιολόγηση, την αδειοδότηση και τους περιορισμούς των χημικών προϊόντων (REACH) και για την ίδρυση του Ευρωπαϊκού Οργανισμού Χημικών Προϊόντων καθώς και για την τροποποίηση της οδηγίας 1999/45/ΕΚ και για την κατάργηση του κανονισμού (ΕΟΚ) αριθ. 793/93 του Συμβουλίου και του κανονισμού (ΕΚ) αριθ. 1488/94 της Επιτροπής καθώς και της οδηγίας 76/769/ΕΟΚ του Συμβουλίου και των οδηγιών της Επιτροπής 91/155/ΕΟΚ, 93/67/ΕΟΚ, 93/105/ΕΚ και 2000/21/ΕΚ</w:t>
      </w:r>
      <w:r w:rsidRPr="0071082F">
        <w:rPr>
          <w:rStyle w:val="FootnoteReference"/>
        </w:rPr>
        <w:footnoteReference w:id="9"/>
      </w:r>
      <w:r w:rsidRPr="0071082F">
        <w:t>, και ιδίως το άρθρο 97,</w:t>
      </w:r>
    </w:p>
    <w:p w:rsidR="00FE3515" w:rsidRPr="0071082F" w:rsidRDefault="00FE3515" w:rsidP="00FE3515">
      <w:pPr>
        <w:pStyle w:val="NormalHanging12a"/>
      </w:pPr>
      <w:r w:rsidRPr="0071082F">
        <w:t>–</w:t>
      </w:r>
      <w:r w:rsidRPr="0071082F">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71082F">
        <w:lastRenderedPageBreak/>
        <w:t>Ευρωπαϊκού Κοινοβουλίου και του Συμβουλίου</w:t>
      </w:r>
      <w:r w:rsidRPr="0071082F">
        <w:rPr>
          <w:rStyle w:val="FootnoteReference"/>
        </w:rPr>
        <w:footnoteReference w:id="10"/>
      </w:r>
      <w:r w:rsidRPr="0071082F">
        <w:t>, και ιδίως το άρθρο 105,</w:t>
      </w:r>
    </w:p>
    <w:p w:rsidR="00FE3515" w:rsidRPr="0071082F" w:rsidRDefault="00FE3515" w:rsidP="00FE3515">
      <w:pPr>
        <w:pStyle w:val="NormalHanging12a"/>
      </w:pPr>
      <w:r w:rsidRPr="0071082F">
        <w:t>–</w:t>
      </w:r>
      <w:r w:rsidRPr="0071082F">
        <w:tab/>
        <w:t>έχοντας υπόψη το άρθρο 100 και το παράρτημα V του Κανονισμού του,</w:t>
      </w:r>
    </w:p>
    <w:p w:rsidR="00FE3515" w:rsidRPr="0071082F" w:rsidRDefault="00FE3515" w:rsidP="00FE3515">
      <w:pPr>
        <w:pStyle w:val="NormalHanging12a"/>
      </w:pPr>
      <w:r w:rsidRPr="0071082F">
        <w:t>–</w:t>
      </w:r>
      <w:r w:rsidRPr="0071082F">
        <w:tab/>
        <w:t>έχοντας υπόψη τη γνωμοδότηση της Επιτροπής Περιβάλλοντος, Δημόσιας Υγείας και Ασφάλειας των Τροφίμων,</w:t>
      </w:r>
    </w:p>
    <w:p w:rsidR="00FE3515" w:rsidRPr="0071082F" w:rsidRDefault="00FE3515" w:rsidP="00FE3515">
      <w:pPr>
        <w:pStyle w:val="NormalHanging12a"/>
      </w:pPr>
      <w:r w:rsidRPr="0071082F">
        <w:t>–</w:t>
      </w:r>
      <w:r w:rsidRPr="0071082F">
        <w:tab/>
        <w:t>έχοντας υπόψη την έκθεση της Επιτροπής Ελέγχου του Προϋπολογισμού (A9‑0135/2024),</w:t>
      </w:r>
    </w:p>
    <w:p w:rsidR="00FE3515" w:rsidRPr="0071082F" w:rsidRDefault="00BC2E70" w:rsidP="00BC2E70">
      <w:pPr>
        <w:pStyle w:val="NormalHanging12a"/>
        <w:ind w:hanging="570"/>
      </w:pPr>
      <w:r w:rsidRPr="0071082F">
        <w:t>1.</w:t>
      </w:r>
      <w:r w:rsidRPr="0071082F">
        <w:tab/>
      </w:r>
      <w:r w:rsidR="00FE3515" w:rsidRPr="0071082F">
        <w:t>εγκρίνει το κλείσιμο των λογαριασμών του Ευρωπαϊκού Οργανισμού Χημικών Προϊόντων για το οικονομικό έτος 2022·</w:t>
      </w:r>
    </w:p>
    <w:p w:rsidR="00FE3515" w:rsidRPr="0071082F" w:rsidRDefault="00BC2E70" w:rsidP="00BC2E70">
      <w:pPr>
        <w:pStyle w:val="NormalHanging12a"/>
        <w:ind w:hanging="570"/>
      </w:pPr>
      <w:r w:rsidRPr="0071082F">
        <w:t>2.</w:t>
      </w:r>
      <w:r w:rsidRPr="0071082F">
        <w:tab/>
      </w:r>
      <w:r w:rsidR="00FE3515" w:rsidRPr="0071082F">
        <w:t>αναθέτει στην Πρόεδρό του να διαβιβάσει την παρούσα απόφαση στην εκτελεστική διευθύντρια του Ευρωπαϊκού Οργανισμού Χημικών Προϊόντων, στο Συμβούλιο, στην Επιτροπή και στο Ελεγκτικό Συνέδριο, και να μεριμνήσει για τη δημοσίευσή της στην Επίσημη Εφημερίδα της Ευρωπαϊκής Ένωσης (σειρά L).</w:t>
      </w:r>
    </w:p>
    <w:p w:rsidR="00FE3515" w:rsidRPr="0071082F" w:rsidRDefault="00FE3515" w:rsidP="00FE3515"/>
    <w:p w:rsidR="00FE3515" w:rsidRPr="0071082F" w:rsidRDefault="00FE3515" w:rsidP="00FE3515">
      <w:pPr>
        <w:widowControl/>
        <w:rPr>
          <w:rFonts w:ascii="Arial" w:hAnsi="Arial" w:cs="Arial"/>
          <w:b/>
        </w:rPr>
        <w:sectPr w:rsidR="00FE3515" w:rsidRPr="0071082F" w:rsidSect="0071082F">
          <w:footnotePr>
            <w:numRestart w:val="eachPage"/>
          </w:footnotePr>
          <w:endnotePr>
            <w:numFmt w:val="decimal"/>
          </w:endnotePr>
          <w:pgSz w:w="11906" w:h="16838"/>
          <w:pgMar w:top="1134" w:right="1418" w:bottom="1418" w:left="1418" w:header="567" w:footer="567" w:gutter="0"/>
          <w:cols w:space="720"/>
          <w:docGrid w:linePitch="326"/>
        </w:sectPr>
      </w:pPr>
    </w:p>
    <w:p w:rsidR="00FE3515" w:rsidRPr="0071082F" w:rsidRDefault="00F14953" w:rsidP="00F14953">
      <w:pPr>
        <w:pStyle w:val="ATHeading3"/>
      </w:pPr>
      <w:r>
        <w:lastRenderedPageBreak/>
        <w:t xml:space="preserve">3. Ψήφισμα του Ευρωπαϊκού Κοινοβουλίου της 11ης Απριλίου 2024 </w:t>
      </w:r>
      <w:r w:rsidR="00FE3515" w:rsidRPr="0071082F">
        <w:t>με τις παρατηρήσεις που αποτελούν αναπόσπαστο μέρος της απόφασης σχετικά με την απαλλαγή όσον αφορά την εκτέλεση του προϋπολογισμού του Ευρωπαϊκού Οργανισμού Χημικών Προϊόντων για το οικονομικό έτος 2022</w:t>
      </w:r>
      <w:r>
        <w:t xml:space="preserve"> </w:t>
      </w:r>
      <w:r w:rsidR="00FE3515" w:rsidRPr="0071082F">
        <w:t>(2023/2148(DEC))</w:t>
      </w:r>
    </w:p>
    <w:p w:rsidR="00FE3515" w:rsidRPr="0071082F" w:rsidRDefault="00FE3515" w:rsidP="00FE3515">
      <w:pPr>
        <w:pStyle w:val="EPComma"/>
      </w:pPr>
      <w:r w:rsidRPr="0071082F">
        <w:rPr>
          <w:i/>
        </w:rPr>
        <w:t>Το Ευρωπαϊκό Κοινοβούλιο</w:t>
      </w:r>
      <w:r w:rsidRPr="0071082F">
        <w:t>,</w:t>
      </w:r>
    </w:p>
    <w:p w:rsidR="00FE3515" w:rsidRPr="0071082F" w:rsidRDefault="00FE3515" w:rsidP="00FE3515">
      <w:pPr>
        <w:pStyle w:val="NormalHanging12a"/>
        <w:widowControl/>
      </w:pPr>
      <w:r w:rsidRPr="0071082F">
        <w:t>–</w:t>
      </w:r>
      <w:r w:rsidRPr="0071082F">
        <w:tab/>
        <w:t>έχοντας υπόψη την απόφασή του σχετικά με την απαλλαγή όσον αφορά την εκτέλεση του προϋπολογισμού του Ευρωπαϊκού Οργανισμού Χημικών Προϊόντων για το οικονομικό έτος 2022,</w:t>
      </w:r>
    </w:p>
    <w:p w:rsidR="00FE3515" w:rsidRPr="0071082F" w:rsidRDefault="00FE3515" w:rsidP="00FE3515">
      <w:pPr>
        <w:pStyle w:val="NormalHanging12a"/>
        <w:widowControl/>
      </w:pPr>
      <w:r w:rsidRPr="0071082F">
        <w:t>–</w:t>
      </w:r>
      <w:r w:rsidRPr="0071082F">
        <w:tab/>
        <w:t>έχοντας υπόψη το άρθρο 100 και το παράρτημα V του Κανονισμού του,</w:t>
      </w:r>
    </w:p>
    <w:p w:rsidR="00FE3515" w:rsidRPr="0071082F" w:rsidRDefault="00FE3515" w:rsidP="00FE3515">
      <w:pPr>
        <w:pStyle w:val="NormalHanging12a"/>
        <w:widowControl/>
      </w:pPr>
      <w:r w:rsidRPr="0071082F">
        <w:t>–</w:t>
      </w:r>
      <w:r w:rsidRPr="0071082F">
        <w:tab/>
        <w:t>έχοντας υπόψη τη γνωμοδότηση της Επιτροπής Περιβάλλοντος, Δημόσιας Υγείας και Ασφάλειας των Τροφίμων,</w:t>
      </w:r>
    </w:p>
    <w:p w:rsidR="00FE3515" w:rsidRPr="0071082F" w:rsidRDefault="00FE3515" w:rsidP="00FE3515">
      <w:pPr>
        <w:pStyle w:val="NormalHanging12a"/>
        <w:widowControl/>
      </w:pPr>
      <w:r w:rsidRPr="0071082F">
        <w:t>–</w:t>
      </w:r>
      <w:r w:rsidRPr="0071082F">
        <w:tab/>
        <w:t>έχοντας υπόψη την έκθεση της Επιτροπής Ελέγχου του Προϋπολογισμού (A9-0135/2024),</w:t>
      </w:r>
    </w:p>
    <w:p w:rsidR="00FE3515" w:rsidRPr="0071082F" w:rsidRDefault="00FE3515" w:rsidP="00FE3515">
      <w:pPr>
        <w:widowControl/>
        <w:spacing w:after="240"/>
        <w:ind w:left="567" w:hanging="567"/>
        <w:rPr>
          <w:szCs w:val="24"/>
        </w:rPr>
      </w:pPr>
      <w:r w:rsidRPr="0071082F">
        <w:t>Α.</w:t>
      </w:r>
      <w:r w:rsidRPr="0071082F">
        <w:tab/>
        <w:t>λαμβάνοντας υπόψη ότι, σύμφωνα με την κατάσταση εσόδων και δαπανών του</w:t>
      </w:r>
      <w:r w:rsidRPr="0071082F">
        <w:rPr>
          <w:rStyle w:val="FootnoteReference"/>
          <w:szCs w:val="24"/>
        </w:rPr>
        <w:footnoteReference w:id="11"/>
      </w:r>
      <w:r w:rsidRPr="0071082F">
        <w:t>, ο οριστικός προϋπολογισμός του Ευρωπαϊκού Οργανισμού Χημικών Προϊόντων (εφεξής «ο Οργανισμός») για το οικονομικό έτος 2022 ανήλθε σε 114 777 691 EUR, ποσό που συνιστά αύξηση κατά 5,83 % σε σύγκριση με το 2021· λαμβάνοντας υπόψη ότι ο προϋπολογισμός του Οργανισμού χρηματοδοτείται κυρίως από δύο πηγές εσόδων, και συγκεκριμένα από τα εισπραττόμενα τέλη και τη συνεισφορά από τον γενικό προϋπολογισμό της Ένωσης·</w:t>
      </w:r>
    </w:p>
    <w:p w:rsidR="00FE3515" w:rsidRPr="0071082F" w:rsidRDefault="00FE3515" w:rsidP="00FE3515">
      <w:pPr>
        <w:widowControl/>
        <w:spacing w:after="240"/>
        <w:ind w:left="567" w:hanging="567"/>
        <w:rPr>
          <w:szCs w:val="24"/>
        </w:rPr>
      </w:pPr>
      <w:r w:rsidRPr="0071082F">
        <w:t>Β.</w:t>
      </w:r>
      <w:r w:rsidRPr="0071082F">
        <w:tab/>
        <w:t>λαμβάνοντας υπόψη ότι, στην έκθεσή του για τους ετήσιους λογαριασμούς του Οργανισμού για το οικονομικό έτος 2022 («έκθεση του Ελεγκτικού Συνεδρίου»), το Ελεγκτικό Συνέδριο δηλώνει ότι αποκόμισε εύλογη βεβαιότητα ότι οι ετήσιοι λογαριασμοί του Οργανισμού είναι αξιόπιστοι και ότι οι πράξεις στις οποίες βασίζονται είναι νόμιμες και κανονικές·</w:t>
      </w:r>
    </w:p>
    <w:p w:rsidR="00FE3515" w:rsidRPr="0071082F" w:rsidRDefault="00FE3515" w:rsidP="00FE3515">
      <w:pPr>
        <w:widowControl/>
        <w:spacing w:after="240"/>
        <w:ind w:left="567" w:hanging="567"/>
        <w:rPr>
          <w:szCs w:val="24"/>
        </w:rPr>
      </w:pPr>
      <w:r w:rsidRPr="0071082F">
        <w:t>Γ.</w:t>
      </w:r>
      <w:r w:rsidRPr="0071082F">
        <w:tab/>
        <w:t>λαμβάνοντας υπόψη ότι, όσον αφορά τον τομέα των δημόσιων συμβάσεων του Οργανισμού, δεν αναφέρθηκαν ζητήματα που να απαιτούν διορθωτικές ενέργειες για το 2022, ούτε υπάρχουν εν εξελίξει ή εκκρεμή διορθωτικά μέτρα από ελέγχους και αξιολογήσεις προηγούμενων ετών·</w:t>
      </w:r>
    </w:p>
    <w:p w:rsidR="00FE3515" w:rsidRPr="0071082F" w:rsidRDefault="00FE3515" w:rsidP="00FE3515">
      <w:pPr>
        <w:widowControl/>
        <w:spacing w:after="240"/>
        <w:ind w:left="567" w:hanging="567"/>
        <w:rPr>
          <w:szCs w:val="24"/>
        </w:rPr>
      </w:pPr>
      <w:r w:rsidRPr="0071082F">
        <w:t>Δ.</w:t>
      </w:r>
      <w:r w:rsidRPr="0071082F">
        <w:tab/>
        <w:t>λαμβάνοντας υπόψη ότι, όσον αφορά τα συστήματα εσωτερικού ελέγχου του Οργανισμού, δεν αναφέρθηκαν ζητήματα που να απαιτούν διορθωτικές ενέργειες για το 2022, ούτε υπάρχουν εν εξελίξει ή εκκρεμή διορθωτικά μέτρα από ελέγχους και αξιολογήσεις προηγούμενων ετών·</w:t>
      </w:r>
    </w:p>
    <w:p w:rsidR="00FE3515" w:rsidRPr="0071082F" w:rsidRDefault="00FE3515" w:rsidP="00FE3515">
      <w:pPr>
        <w:widowControl/>
        <w:spacing w:after="240"/>
        <w:ind w:left="567" w:hanging="567"/>
        <w:rPr>
          <w:b/>
          <w:i/>
          <w:szCs w:val="24"/>
        </w:rPr>
      </w:pPr>
      <w:r w:rsidRPr="0071082F">
        <w:rPr>
          <w:b/>
          <w:i/>
        </w:rPr>
        <w:t>Δημοσιονομική και χρηματοοικονομική διαχείριση</w:t>
      </w:r>
    </w:p>
    <w:p w:rsidR="00FE3515" w:rsidRPr="0071082F" w:rsidRDefault="00BC2E70" w:rsidP="00BC2E70">
      <w:pPr>
        <w:pStyle w:val="Normal12Hanging"/>
        <w:widowControl/>
        <w:ind w:hanging="570"/>
        <w:rPr>
          <w:szCs w:val="24"/>
        </w:rPr>
      </w:pPr>
      <w:r w:rsidRPr="0071082F">
        <w:rPr>
          <w:szCs w:val="24"/>
        </w:rPr>
        <w:t>1.</w:t>
      </w:r>
      <w:r w:rsidRPr="0071082F">
        <w:rPr>
          <w:szCs w:val="24"/>
        </w:rPr>
        <w:tab/>
      </w:r>
      <w:r w:rsidR="00FE3515" w:rsidRPr="0071082F">
        <w:t xml:space="preserve">σημειώνει με ικανοποίηση ότι οι προσπάθειες παρακολούθησης του προϋπολογισμού στη διάρκεια του οικονομικού έτους 2022 είχαν ως αποτέλεσμα η εκτέλεση των αναλήψεων υποχρεώσεων του προϋπολογισμού για το τρέχον έτος να ανέλθει σε </w:t>
      </w:r>
      <w:r w:rsidR="00FE3515" w:rsidRPr="0071082F">
        <w:lastRenderedPageBreak/>
        <w:t>98,61 %, που συνιστά ελαφρά μείωση κατά 0,23 % σε σύγκριση με το 2021, και η εκτέλεση των πιστώσεων πληρωμών για το τρέχον έτος να ανέλθει σε 85,06 %, που συνιστά μείωση κατά 1,17 % σε σύγκριση με το 2021·</w:t>
      </w:r>
    </w:p>
    <w:p w:rsidR="00FE3515" w:rsidRPr="0071082F" w:rsidRDefault="00BC2E70" w:rsidP="00BC2E70">
      <w:pPr>
        <w:pStyle w:val="NormalHanging12a"/>
        <w:ind w:hanging="570"/>
        <w:rPr>
          <w:b/>
          <w:i/>
        </w:rPr>
      </w:pPr>
      <w:r w:rsidRPr="0071082F">
        <w:t>2.</w:t>
      </w:r>
      <w:r w:rsidRPr="0071082F">
        <w:tab/>
      </w:r>
      <w:r w:rsidR="00FE3515" w:rsidRPr="0071082F">
        <w:t>υπενθυμίζει ότι ο Οργανισμός χρηματοδοτείται από τέλη που καταβάλλει η βιομηχανία και από εξισορροπητική συνεισφορά της ΕΕ, σύμφωνα με τον κανονισμό (</w:t>
      </w:r>
      <w:r w:rsidR="00A3015D">
        <w:t xml:space="preserve">ΕΚ) </w:t>
      </w:r>
      <w:r w:rsidR="00FE3515" w:rsidRPr="0071082F">
        <w:t>αριθ. 1907/2006</w:t>
      </w:r>
      <w:r w:rsidR="00FE3515" w:rsidRPr="0071082F">
        <w:rPr>
          <w:rStyle w:val="FootnoteReference"/>
        </w:rPr>
        <w:footnoteReference w:id="12"/>
      </w:r>
      <w:r w:rsidR="00FE3515" w:rsidRPr="0071082F">
        <w:t xml:space="preserve"> του Ευρωπαϊκού Κοινοβουλίου και του Συμβουλίου, τον κανονισμό (ΕΚ) αριθ. 1272/2008 του Ευρωπαϊκού Κοινοβουλίου και του Συμβουλίου</w:t>
      </w:r>
      <w:r w:rsidR="00FE3515" w:rsidRPr="0071082F">
        <w:rPr>
          <w:rStyle w:val="FootnoteReference"/>
        </w:rPr>
        <w:footnoteReference w:id="13"/>
      </w:r>
      <w:r w:rsidR="00FE3515" w:rsidRPr="0071082F">
        <w:t xml:space="preserve"> και τον κανονισμό (ΕΕ) αριθ. 528/</w:t>
      </w:r>
      <w:bookmarkStart w:id="8" w:name="_GoBack"/>
      <w:bookmarkEnd w:id="8"/>
      <w:r w:rsidR="00FE3515" w:rsidRPr="0071082F">
        <w:t>2012 του Ευρωπαϊκού Κοινοβουλίου και του Συμβουλίου</w:t>
      </w:r>
      <w:r w:rsidR="00FE3515" w:rsidRPr="0071082F">
        <w:rPr>
          <w:rStyle w:val="FootnoteReference"/>
        </w:rPr>
        <w:footnoteReference w:id="14"/>
      </w:r>
      <w:r w:rsidR="00FE3515" w:rsidRPr="0071082F">
        <w:t>· επισημαίνει το γεγονός ότι, λόγω του έκτακτου χαρακτήρα των τελών και της εξάρτησής τους από στρατηγικές αποφάσεις των παραγόντων της χημικής βιομηχανίας, υπάρχει μεγάλη αβεβαιότητα ως προς το ύψος και την χρονική περίοδο που καταβάλλονται· υπενθυμίζει ότι η Επιτροπή υποσχέθηκε να υποβάλει πρόταση για την ενίσχυση της διακυβέρνησης του Οργανισμού και την ενίσχυση της βιωσιμότητας του μοντέλου χρηματοδότησής του το 2020· επιμένει ότι η Επιτροπή θα πρέπει να την υποβάλει αμέσως·</w:t>
      </w:r>
    </w:p>
    <w:p w:rsidR="00FE3515" w:rsidRPr="0071082F" w:rsidRDefault="00BC2E70" w:rsidP="00BC2E70">
      <w:pPr>
        <w:pStyle w:val="NormalHanging12a"/>
        <w:ind w:hanging="570"/>
      </w:pPr>
      <w:r w:rsidRPr="0071082F">
        <w:t>3.</w:t>
      </w:r>
      <w:r w:rsidRPr="0071082F">
        <w:tab/>
      </w:r>
      <w:r w:rsidR="00FE3515" w:rsidRPr="0071082F">
        <w:t>σημειώνει με ικανοποίηση ότι το 2022, για πρώτη φορά μετά την τελική προθεσμία καταχώρισης δυνάμει του κανονισμού (ΕΚ) αριθ. 1907/2006</w:t>
      </w:r>
      <w:r w:rsidR="00FE3515" w:rsidRPr="0071082F">
        <w:rPr>
          <w:rStyle w:val="FootnoteReference"/>
        </w:rPr>
        <w:t xml:space="preserve"> </w:t>
      </w:r>
      <w:r w:rsidR="00FE3515" w:rsidRPr="0071082F">
        <w:t>το 2018, τα έσοδα του Οργανισμού από τέλη αυξήθηκαν ενώ η εξάρτηση από την Ένωση για τη χρηματοδότηση των δραστηριοτήτων του μειώθηκε ελαφρώς·</w:t>
      </w:r>
    </w:p>
    <w:p w:rsidR="00FE3515" w:rsidRPr="0071082F" w:rsidRDefault="00FE3515" w:rsidP="00FE3515">
      <w:pPr>
        <w:widowControl/>
        <w:spacing w:after="240"/>
        <w:ind w:left="567" w:hanging="567"/>
        <w:rPr>
          <w:b/>
          <w:i/>
          <w:szCs w:val="24"/>
        </w:rPr>
      </w:pPr>
      <w:r w:rsidRPr="0071082F">
        <w:rPr>
          <w:b/>
          <w:i/>
        </w:rPr>
        <w:t>Επιδόσεις</w:t>
      </w:r>
    </w:p>
    <w:p w:rsidR="00FE3515" w:rsidRPr="0071082F" w:rsidRDefault="00BC2E70" w:rsidP="00BC2E70">
      <w:pPr>
        <w:pStyle w:val="Normal12Hanging"/>
        <w:ind w:hanging="570"/>
      </w:pPr>
      <w:r w:rsidRPr="0071082F">
        <w:t>4.</w:t>
      </w:r>
      <w:r w:rsidRPr="0071082F">
        <w:tab/>
      </w:r>
      <w:r w:rsidR="00FE3515" w:rsidRPr="0071082F">
        <w:t>παρατηρεί ότι ο Οργανισμός αποτελεί την κινητήρια δύναμη όσον αφορά την εφαρμογή της νομοθεσίας της Ένωσης για τα χημικά προϊόντα προς όφελος της δημόσιας υγείας και του περιβάλλοντος, καθώς και για την καινοτομία και την ανταγωνιστικότητα· σημειώνει ότι ο Οργανισμός συλλέγει, αξιολογεί και διαδίδει πληροφορίες σχετικά με τα χημικά προϊόντα, βοηθά τις εταιρείες να συμμορφώνονται με τη νομοθεσία και προωθεί την ασφαλή χρήση των χημικών προϊόντων·</w:t>
      </w:r>
    </w:p>
    <w:p w:rsidR="00FE3515" w:rsidRPr="0071082F" w:rsidRDefault="00BC2E70" w:rsidP="00BC2E70">
      <w:pPr>
        <w:pStyle w:val="NormalHanging12a"/>
        <w:widowControl/>
        <w:ind w:hanging="570"/>
      </w:pPr>
      <w:r w:rsidRPr="0071082F">
        <w:t>5.</w:t>
      </w:r>
      <w:r w:rsidRPr="0071082F">
        <w:tab/>
      </w:r>
      <w:r w:rsidR="00FE3515" w:rsidRPr="0071082F">
        <w:t xml:space="preserve">σημειώνει ότι ο Οργανισμός υλοποίησε το 93 % του προγράμματος εργασίας του και ολοκλήρωσε 151 από τις 162 ειδικές δράσεις και έργα του που είχαν προγραμματιστεί για το 2022, ενώ 8 δράσεις βρίσκονται ακόμη σε εξέλιξη, όπως είχε προγραμματιστεί· σημειώνει επίσης ότι οι τρεις «μη </w:t>
      </w:r>
      <w:proofErr w:type="spellStart"/>
      <w:r w:rsidR="00FE3515" w:rsidRPr="0071082F">
        <w:t>ολοκληρωθείσες</w:t>
      </w:r>
      <w:proofErr w:type="spellEnd"/>
      <w:r w:rsidR="00FE3515" w:rsidRPr="0071082F">
        <w:t>» δράσεις είτε απαιτούσαν τη συνδρομή των κρατών μελών ή δεν είχε δοθεί προτεραιότητα στη ροή εργασιών·</w:t>
      </w:r>
    </w:p>
    <w:p w:rsidR="00FE3515" w:rsidRPr="0071082F" w:rsidRDefault="00BC2E70" w:rsidP="00BC2E70">
      <w:pPr>
        <w:pStyle w:val="NormalHanging12a"/>
        <w:ind w:hanging="570"/>
      </w:pPr>
      <w:r w:rsidRPr="0071082F">
        <w:t>6.</w:t>
      </w:r>
      <w:r w:rsidRPr="0071082F">
        <w:tab/>
      </w:r>
      <w:r w:rsidR="00FE3515" w:rsidRPr="0071082F">
        <w:t>σημειώνει ότι ο Οργανισμός επικεντρώθηκε στην εκτέλεση των βασικών καθηκόντων του και στην υποστήριξη της Ευρωπαϊκής Επιτροπής για την εφαρμογή της στρατηγικής της για τη βιωσιμότητα των χημικών προϊόντων σύμφωνα με την κατεύθυνση που καθόρισε το διοικητικό συμβούλιο στο στρατηγικό σχέδιο 2019-2023 και στην επανεξέτασή του που διενεργήθηκε το 2021·</w:t>
      </w:r>
    </w:p>
    <w:p w:rsidR="00FE3515" w:rsidRPr="0071082F" w:rsidRDefault="00BC2E70" w:rsidP="00BC2E70">
      <w:pPr>
        <w:pStyle w:val="NormalHanging12a"/>
        <w:ind w:hanging="570"/>
        <w:rPr>
          <w:szCs w:val="24"/>
        </w:rPr>
      </w:pPr>
      <w:r w:rsidRPr="0071082F">
        <w:rPr>
          <w:szCs w:val="24"/>
        </w:rPr>
        <w:t>7.</w:t>
      </w:r>
      <w:r w:rsidRPr="0071082F">
        <w:rPr>
          <w:szCs w:val="24"/>
        </w:rPr>
        <w:tab/>
      </w:r>
      <w:proofErr w:type="spellStart"/>
      <w:r w:rsidR="00FE3515" w:rsidRPr="0071082F">
        <w:t>εφιστά</w:t>
      </w:r>
      <w:proofErr w:type="spellEnd"/>
      <w:r w:rsidR="00FE3515" w:rsidRPr="0071082F">
        <w:t xml:space="preserve"> την προσοχή σε ορισμένες από τις προκλήσεις που αντιμετώπισε ο Οργανισμός το 2022, συμπεριλαμβανομένης της αναποτελεσματικότητας του συστήματος αδειοδότησης, κάτι που εντοπίστηκε το 2021, σε συνδυασμό με την αύξηση του αριθμού των αιτήσεων για </w:t>
      </w:r>
      <w:proofErr w:type="spellStart"/>
      <w:r w:rsidR="00FE3515" w:rsidRPr="0071082F">
        <w:t>εξασθενές</w:t>
      </w:r>
      <w:proofErr w:type="spellEnd"/>
      <w:r w:rsidR="00FE3515" w:rsidRPr="0071082F">
        <w:t xml:space="preserve"> χρώμιο που αναμένεται να συνεχιστεί έως το 2023, γεγονός που περιορίζει την ικανότητα των επιστημονικών επιτροπών να γνωμοδοτούν λόγω της έλλειψης έμπειρων μελών· σημειώνει επίσης ότι τα κράτη μέλη υπέβαλαν μικρό αριθμό σχεδίων εκθέσεων αξιολόγησης για τις δραστικές ουσίες </w:t>
      </w:r>
      <w:proofErr w:type="spellStart"/>
      <w:r w:rsidR="00FE3515" w:rsidRPr="0071082F">
        <w:t>βιοκτόνων</w:t>
      </w:r>
      <w:proofErr w:type="spellEnd"/>
      <w:r w:rsidR="00FE3515" w:rsidRPr="0071082F">
        <w:t>, γεγονός που εμποδίζει την ολοκλήρωση των αξιολογήσεων έως το τέλος του 2024, όπως ορίζει ο κανονισμός (ΕΕ) αριθ. 528/2012· υπογραμμίζει το γεγονός ότι, σύμφωνα με το σχέδιο δράσης για τις δραστικές ουσίες, ο Οργανισμός έχει καταβάλει προσπάθειες τα τελευταία χρόνια για να στηρίξει τα κράτη μέλη να σημειώσουν περαιτέρω πρόοδο·</w:t>
      </w:r>
    </w:p>
    <w:p w:rsidR="00FE3515" w:rsidRPr="0071082F" w:rsidRDefault="00BC2E70" w:rsidP="00BC2E70">
      <w:pPr>
        <w:pStyle w:val="Normal12Hanging"/>
        <w:ind w:hanging="570"/>
      </w:pPr>
      <w:r w:rsidRPr="0071082F">
        <w:t>8.</w:t>
      </w:r>
      <w:r w:rsidRPr="0071082F">
        <w:tab/>
      </w:r>
      <w:r w:rsidR="00FE3515" w:rsidRPr="0071082F">
        <w:t>εκφράζει την ικανοποίησή του για τις δραστηριότητες του Οργανισμού για την προώθηση εναλλακτικών λύσεων αντί των δοκιμών σε ζώα και για τα μέτρα που έχουν ληφθεί για την αύξηση της αποτελεσματικότητας και της προβολής του έργου αυτού·</w:t>
      </w:r>
    </w:p>
    <w:p w:rsidR="00FE3515" w:rsidRPr="0071082F" w:rsidRDefault="00FE3515" w:rsidP="00FE3515">
      <w:pPr>
        <w:widowControl/>
        <w:spacing w:after="240"/>
        <w:ind w:left="567" w:hanging="567"/>
        <w:rPr>
          <w:b/>
          <w:i/>
          <w:szCs w:val="24"/>
        </w:rPr>
      </w:pPr>
      <w:r w:rsidRPr="0071082F">
        <w:rPr>
          <w:b/>
          <w:i/>
        </w:rPr>
        <w:t>Αποδοτικότητα και οφέλη</w:t>
      </w:r>
    </w:p>
    <w:p w:rsidR="00FE3515" w:rsidRPr="00BC2E70" w:rsidRDefault="00BC2E70" w:rsidP="00BC2E70">
      <w:pPr>
        <w:widowControl/>
        <w:spacing w:after="240"/>
        <w:ind w:left="567" w:hanging="573"/>
        <w:rPr>
          <w:szCs w:val="24"/>
        </w:rPr>
      </w:pPr>
      <w:r w:rsidRPr="00F14953">
        <w:rPr>
          <w:szCs w:val="24"/>
        </w:rPr>
        <w:t>9.</w:t>
      </w:r>
      <w:r w:rsidRPr="00F14953">
        <w:rPr>
          <w:szCs w:val="24"/>
        </w:rPr>
        <w:tab/>
      </w:r>
      <w:r w:rsidR="00FE3515" w:rsidRPr="0071082F">
        <w:t>συγχαίρει τον Οργανισμό για τη στρατηγική του για τη βελτίωση της αποδοτικότητας, με την οποία επιδιώκει να επιτύχει προστιθέμενη αξία μέσω διακυβέρνησης βάσει επιδόσεων, και για την ανάπτυξη νέων εργαλείων για τη στήριξη του σχεδιασμού και της ενημέρωσης, τα οποία είναι πιο εύχρηστα, προσφέρουν καλύτερες δυνατότητες ενημέρωσης και εξοικονομούν χρόνο για όλο το προσωπικό· σημειώνει ότι οι λειτουργίες για την ενημέρωση έχουν αναθεωρηθεί ώστε να αντικατοπτρίζουν καλύτερα το πρόγραμμα εργασίας του Οργανισμού και να επιτρέπουν την καλύτερη σύνδεση των στόχων του με τους στόχους μεμονωμένων μελών του προσωπικού·</w:t>
      </w:r>
    </w:p>
    <w:p w:rsidR="00FE3515" w:rsidRPr="00BC2E70" w:rsidRDefault="00BC2E70" w:rsidP="00BC2E70">
      <w:pPr>
        <w:widowControl/>
        <w:spacing w:after="240"/>
        <w:ind w:left="567" w:hanging="573"/>
        <w:rPr>
          <w:szCs w:val="24"/>
        </w:rPr>
      </w:pPr>
      <w:r w:rsidRPr="00F14953">
        <w:rPr>
          <w:szCs w:val="24"/>
        </w:rPr>
        <w:t>10.</w:t>
      </w:r>
      <w:r w:rsidRPr="00F14953">
        <w:rPr>
          <w:szCs w:val="24"/>
        </w:rPr>
        <w:tab/>
      </w:r>
      <w:r w:rsidR="00FE3515" w:rsidRPr="0071082F">
        <w:t>σημειώνει ότι το 2022 ο Οργανισμός ξεκίνησε επίσης διαδικασία βελτιστοποίησης της χωρητικότητας των υποδομών για την ελαχιστοποίηση τυχόν πλεονάζουσας παραγωγικής ικανότητας στις υποδομές ΤΠ, καθώς και ότι, σύμφωνα με τα αποτελέσματα του δεύτερου εξαμήνου του έτους, ο Οργανισμός κατάφερε να μειώσει τη χρήση τέτοιων υποδομών (τόσο των CPU όσο και των επεξεργαστών, της μνήμης RAM ή της μνήμης) κατά περίπου 25 %· εκφράζει την ικανοποίησή του για τις προσπάθειες βελτιστοποίησης και ενθαρρύνει τον Οργανισμό να τις συνεχίσει·</w:t>
      </w:r>
    </w:p>
    <w:p w:rsidR="00FE3515" w:rsidRPr="00BC2E70" w:rsidRDefault="00BC2E70" w:rsidP="00BC2E70">
      <w:pPr>
        <w:widowControl/>
        <w:spacing w:after="240"/>
        <w:ind w:left="567" w:hanging="573"/>
        <w:rPr>
          <w:szCs w:val="24"/>
        </w:rPr>
      </w:pPr>
      <w:r w:rsidRPr="00F14953">
        <w:rPr>
          <w:szCs w:val="24"/>
        </w:rPr>
        <w:t>11.</w:t>
      </w:r>
      <w:r w:rsidRPr="00F14953">
        <w:rPr>
          <w:szCs w:val="24"/>
        </w:rPr>
        <w:tab/>
      </w:r>
      <w:r w:rsidR="00FE3515" w:rsidRPr="0071082F">
        <w:t>παρατηρεί ότι ο Οργανισμός εξακολουθεί να μοιράζεται το κλιμάκιο εσωτερικού ελέγχου του με τον Οργανισμό της ΕΕ για το διαστημικό πρόγραμμα (πρώην Ευρωπαϊκός Οργανισμός για τα Παγκόσμια Δορυφορικά Συστήματα Πλοήγησης)· σημειώνει ότι ο Οργανισμός και η Ευρωπαϊκή Αρχή για την Ασφάλεια των Τροφίμων συνεργάζονται συχνά ενώ τακτικές επαφές διατηρούν και τα ανώτερα διοικητικά τους στελέχη, ενώ αξιολογούνται συστηματικά (μέσω λεπτομερούς επανεξέτασης των προγραμμάτων εργασίας) και αξιοποιούνται όλες οι ευκαιρίες συνεργασίας·</w:t>
      </w:r>
    </w:p>
    <w:p w:rsidR="00FE3515" w:rsidRPr="00BC2E70" w:rsidRDefault="00BC2E70" w:rsidP="00BC2E70">
      <w:pPr>
        <w:widowControl/>
        <w:spacing w:after="240"/>
        <w:ind w:left="567" w:hanging="573"/>
        <w:rPr>
          <w:szCs w:val="24"/>
        </w:rPr>
      </w:pPr>
      <w:r w:rsidRPr="00F14953">
        <w:rPr>
          <w:szCs w:val="24"/>
        </w:rPr>
        <w:t>12.</w:t>
      </w:r>
      <w:r w:rsidRPr="00F14953">
        <w:rPr>
          <w:szCs w:val="24"/>
        </w:rPr>
        <w:tab/>
      </w:r>
      <w:r w:rsidR="00FE3515" w:rsidRPr="0071082F">
        <w:t xml:space="preserve">σημειώνει επίσης ότι ο Οργανισμός συνέχισε τη στρατηγική συνεργασία του με την Ευρωπαϊκή Αρχή για την Ασφάλεια των Τροφίμων για την παροχή του </w:t>
      </w:r>
      <w:proofErr w:type="spellStart"/>
      <w:r w:rsidR="00FE3515" w:rsidRPr="0071082F">
        <w:t>μορφότυπου</w:t>
      </w:r>
      <w:proofErr w:type="spellEnd"/>
      <w:r w:rsidR="00FE3515" w:rsidRPr="0071082F">
        <w:t xml:space="preserve"> δεδομένων IUCLID ως υπηρεσίας, που παρέχεται από τις υπηρεσίες υπολογιστικού νέφους, για το έργο της προαναφερθείσας Αρχής στο πλαίσιο του κανονισμού (ΕΚ) αριθ. 1107/2009 του Ευρωπαϊκού Κοινοβουλίου και του Συμβουλίου</w:t>
      </w:r>
      <w:r w:rsidR="00FE3515" w:rsidRPr="0071082F">
        <w:rPr>
          <w:rStyle w:val="FootnoteReference"/>
          <w:szCs w:val="24"/>
        </w:rPr>
        <w:footnoteReference w:id="15"/>
      </w:r>
      <w:r w:rsidR="00FE3515" w:rsidRPr="0071082F">
        <w:t xml:space="preserve"> και, ως εκ τούτου, επιτεύχθηκαν οικονομίες κλίμακας με την αξιοποίηση των υφιστάμενων πλατφορμών ΤΠ·</w:t>
      </w:r>
    </w:p>
    <w:p w:rsidR="00FE3515" w:rsidRPr="0071082F" w:rsidRDefault="00BC2E70" w:rsidP="00BC2E70">
      <w:pPr>
        <w:pStyle w:val="NormalHanging12a"/>
        <w:ind w:hanging="573"/>
      </w:pPr>
      <w:r w:rsidRPr="0071082F">
        <w:t>13.</w:t>
      </w:r>
      <w:r w:rsidRPr="0071082F">
        <w:tab/>
      </w:r>
      <w:r w:rsidR="00FE3515" w:rsidRPr="0071082F">
        <w:t xml:space="preserve">υπενθυμίζει ότι είναι σημαντικό να αυξηθεί η ψηφιοποίηση του Οργανισμού όσον αφορά την εσωτερική λειτουργία και διαχείριση, αλλά και προκειμένου να επιταχυνθεί η ψηφιοποίηση των διαδικασιών· τονίζει την ανάγκη να συνεχίσει ο Οργανισμός να είναι προορατικός στο πλαίσιο αυτό, προκειμένου να αποφευχθεί το ψηφιακό χάσμα μεταξύ των οργανισμών· </w:t>
      </w:r>
      <w:proofErr w:type="spellStart"/>
      <w:r w:rsidR="00FE3515" w:rsidRPr="0071082F">
        <w:t>εφιστά</w:t>
      </w:r>
      <w:proofErr w:type="spellEnd"/>
      <w:r w:rsidR="00FE3515" w:rsidRPr="0071082F">
        <w:t>, ωστόσο, την προσοχή στην ανάγκη να ληφθούν όλα τα απαραίτητα μέτρα ασφάλειας ώστε να αποφευχθεί κάθε κίνδυνος για τη διαδικτυακή ασφάλεια των πληροφοριών που υποβάλλονται σε επεξεργασία· επιμένει στην ανάγκη να ενισχυθεί η δράση κατά των κυβερνοεπιθέσεων ή των προσπαθειών διείσδυσης, ιδίως εκείνων που προέρχονται από τη Ρωσία ή την Κίνα·</w:t>
      </w:r>
    </w:p>
    <w:p w:rsidR="00FE3515" w:rsidRPr="0071082F" w:rsidRDefault="00BC2E70" w:rsidP="00BC2E70">
      <w:pPr>
        <w:pStyle w:val="NormalHanging12a"/>
        <w:ind w:hanging="573"/>
      </w:pPr>
      <w:r w:rsidRPr="0071082F">
        <w:t>14.</w:t>
      </w:r>
      <w:r w:rsidRPr="0071082F">
        <w:tab/>
      </w:r>
      <w:r w:rsidR="00FE3515" w:rsidRPr="0071082F">
        <w:t>εκφράζει την ικανοποίησή του για το γεγονός ότι ο Οργανισμός, σε συνεργασία με την Ευρωπαϊκή Αρχή για την Ασφάλεια των Τροφίμων, έχει λάβει μέτρα για την προώθηση της αρχής «μία ουσία, μία αξιολόγηση», ώστε να διασφαλιστεί μεγαλύτερη συνέπεια στην εκτίμηση επικινδυνότητας και κινδύνου των δραστικών ουσιών·</w:t>
      </w:r>
    </w:p>
    <w:p w:rsidR="00FE3515" w:rsidRPr="0071082F" w:rsidRDefault="00FE3515" w:rsidP="00FE3515">
      <w:pPr>
        <w:widowControl/>
        <w:spacing w:after="240"/>
        <w:ind w:left="567" w:hanging="567"/>
        <w:rPr>
          <w:b/>
          <w:i/>
          <w:szCs w:val="24"/>
        </w:rPr>
      </w:pPr>
      <w:r w:rsidRPr="0071082F">
        <w:rPr>
          <w:b/>
          <w:i/>
        </w:rPr>
        <w:t>Πολιτική προσωπικού</w:t>
      </w:r>
    </w:p>
    <w:p w:rsidR="00FE3515" w:rsidRPr="0071082F" w:rsidRDefault="00BC2E70" w:rsidP="00BC2E70">
      <w:pPr>
        <w:pStyle w:val="Normal12Hanging"/>
        <w:widowControl/>
        <w:ind w:hanging="570"/>
        <w:rPr>
          <w:szCs w:val="24"/>
        </w:rPr>
      </w:pPr>
      <w:r w:rsidRPr="0071082F">
        <w:rPr>
          <w:szCs w:val="24"/>
        </w:rPr>
        <w:t>15.</w:t>
      </w:r>
      <w:r w:rsidRPr="0071082F">
        <w:rPr>
          <w:szCs w:val="24"/>
        </w:rPr>
        <w:tab/>
      </w:r>
      <w:r w:rsidR="00FE3515" w:rsidRPr="0071082F">
        <w:t>σημειώνει ότι, στις 31 Δεκεμβρίου 2022, το ποσοστό εκτέλεσης του πίνακα προσωπικού ήταν 98,07 % και ότι καλύπτονταν οι 458 από τις 467 θέσεις έκτακτων υπαλλήλων που είχαν εγκριθεί στο πλαίσιο του προϋπολογισμού της Ένωσης (ο ίδιος αριθμός εγκεκριμένων θέσεων με το 2021)· σημειώνει ότι, επιπλέον, το 2022 εργάστηκαν για τον Οργανισμό 128 συμβασιούχοι υπάλληλοι, 48 προσωρινοί υπάλληλοι, 5 σύμβουλοι και 2 αποσπασμένοι εθνικοί εμπειρογνώμονες·</w:t>
      </w:r>
    </w:p>
    <w:p w:rsidR="00FE3515" w:rsidRPr="0071082F" w:rsidRDefault="00BC2E70" w:rsidP="00BC2E70">
      <w:pPr>
        <w:pStyle w:val="NormalHanging12a"/>
        <w:ind w:hanging="570"/>
      </w:pPr>
      <w:r w:rsidRPr="0071082F">
        <w:t>16.</w:t>
      </w:r>
      <w:r w:rsidRPr="0071082F">
        <w:tab/>
      </w:r>
      <w:r w:rsidR="00FE3515" w:rsidRPr="0071082F">
        <w:t>υπενθυμίζει πόσο σημαντικό είναι να διασφαλίζεται η ισόρροπη εκπροσώπηση των φύλλων στο προσωπικό, και επικροτεί εν προκειμένω το γεγονός ότι ο Οργανισμός έχει θέσει σε εφαρμογή ένα σχέδιο δράσης, μεταξύ άλλων μέτρων ένταξης, για την υλοποίηση των στόχων του Χάρτη για τη διαφορετικότητα και τη συμπερίληψη που εγκρίθηκε το 2022, με στόχο την επίτευξη ισόρροπης εκπροσώπησης των φύλων στις διοικητικές θέσεις· ζητεί από τον Οργανισμό να κρατά ενήμερη την αρμόδια για την απαλλαγή αρχή σχετικά με την εκτέλεση του σχεδίου δράσης του· αναγνωρίζει ότι η επίτευξη αποτελεσμάτων στον τομέα αυτό απαιτεί χρόνο· σημειώνει, ωστόσο, ότι η ισόρροπη εκπροσώπηση των φύλων στα ανώτερα και μεσαία διοικητικά στελέχη του Οργανισμού έχει μειωθεί ελαφρώς, καθώς το 76 % των θέσεων καταλαμβάνονται από άνδρες (82 % το 2021) και το 24 % από γυναίκες (18 % το 2021)· σημειώνει ότι η κατανομή των φύλων στο σύνολο του προσωπικού είναι 261 άνδρες (45 %) και 317 γυναίκες (55 %)·</w:t>
      </w:r>
    </w:p>
    <w:p w:rsidR="00FE3515" w:rsidRPr="0071082F" w:rsidRDefault="00BC2E70" w:rsidP="00BC2E70">
      <w:pPr>
        <w:pStyle w:val="NormalHanging12a"/>
        <w:ind w:hanging="570"/>
      </w:pPr>
      <w:r w:rsidRPr="0071082F">
        <w:t>17.</w:t>
      </w:r>
      <w:r w:rsidRPr="0071082F">
        <w:tab/>
      </w:r>
      <w:r w:rsidR="00FE3515" w:rsidRPr="0071082F">
        <w:t>σημειώνει με ικανοποίηση ότι, στις 31 Δεκεμβρίου 2022, ο Οργανισμός απασχολούσε προσωπικό από 26 κράτη μέλη· σημειώνει ότι το 32 % του προσωπικού του είναι υπήκοοι του κράτους μέλους όπου ευρίσκεται ο Οργανισμός· υπενθυμίζει τη σημασία της γεωγραφικής ισορροπίας, και ενθαρρύνει τον Οργανισμό να συνεχίσει να λαμβάνει τα αναγκαία μέτρα για την ισόρροπη και δίκαιη γεωγραφική εκπροσώπηση· εκφράζει, ωστόσο, την ανησυχία του σχετικά με την ισόρροπη γεωγραφική εκπροσώπηση στις ανώτερες και μεσαίες διοικητικές θέσεις του Οργανισμού καθώς μόλις ένα διευθυντικό στέλεχος κατάγεται από την κεντροανατολική Ευρώπη· επιμένει ότι πρέπει να γίνουν βελτιώσεις· ζητεί από τον Οργανισμό να υποβάλει σχετική έκθεση στην αρμόδια για την απαλλαγή αρχή·</w:t>
      </w:r>
    </w:p>
    <w:p w:rsidR="00FE3515" w:rsidRPr="0071082F" w:rsidRDefault="00BC2E70" w:rsidP="00BC2E70">
      <w:pPr>
        <w:pStyle w:val="NormalHanging12a"/>
        <w:ind w:hanging="570"/>
      </w:pPr>
      <w:r w:rsidRPr="0071082F">
        <w:t>18.</w:t>
      </w:r>
      <w:r w:rsidRPr="0071082F">
        <w:tab/>
      </w:r>
      <w:r w:rsidR="00FE3515" w:rsidRPr="0071082F">
        <w:t>σημειώνει ότι ο Οργανισμός εφαρμόζει πολιτική για την προστασία της αξιοπρέπειας του ατόμου και την πρόληψη της ψυχολογικής και σεξουαλικής παρενόχλησης, ενώ συμμετέχει και στη διυπηρεσιακή ειδική ομάδα εμπιστευτικών συμβούλων· προσβλέπει στην παραλαβή της έκθεσης και των συστάσεών τους· σημειώνει ότι δεν υπήρξαν αναφορές περιστατικών παρενόχλησης το 2022, και ενθαρρύνει τον Οργανισμό να συνεχίσει τις καλές επιδόσεις του εν προκειμένω και να λάβει μέτρα για την πρόληψη τέτοιων περιστατικών και στο μέλλον·</w:t>
      </w:r>
    </w:p>
    <w:p w:rsidR="00FE3515" w:rsidRPr="0071082F" w:rsidRDefault="00BC2E70" w:rsidP="00BC2E70">
      <w:pPr>
        <w:pStyle w:val="NormalHanging12a"/>
        <w:ind w:hanging="570"/>
      </w:pPr>
      <w:r w:rsidRPr="0071082F">
        <w:t>19.</w:t>
      </w:r>
      <w:r w:rsidRPr="0071082F">
        <w:tab/>
      </w:r>
      <w:r w:rsidR="00FE3515" w:rsidRPr="0071082F">
        <w:t>σημειώνει ότι, τον Μάρτιο του 2022, το προσωπικό του Οργανισμού άρχισε να επιστρέφει σταδιακά στις εγκαταστάσεις του Οργανισμού, με αποτέλεσμα να εφαρμοστούν νέοι κανόνες υβριδικής εργασίας τον Οκτώβριο του 2022· σημειώνει, στο πλαίσιο αυτό, ότι οι νέοι κανόνες προάγουν την ευελιξία και την ενδυνάμωση του προσωπικού, διατηρώντας παράλληλα την κοινωνική συνοχή και τη συνεργασία χάρη στην τακτική εβδομαδιαία παρουσία στο γραφείο·</w:t>
      </w:r>
    </w:p>
    <w:p w:rsidR="00FE3515" w:rsidRPr="0071082F" w:rsidRDefault="00BC2E70" w:rsidP="00BC2E70">
      <w:pPr>
        <w:pStyle w:val="NormalHanging12a"/>
        <w:widowControl/>
        <w:ind w:hanging="570"/>
      </w:pPr>
      <w:r w:rsidRPr="0071082F">
        <w:t>20.</w:t>
      </w:r>
      <w:r w:rsidRPr="0071082F">
        <w:tab/>
      </w:r>
      <w:r w:rsidR="00FE3515" w:rsidRPr="0071082F">
        <w:t>παρατηρεί ότι ο Οργανισμός έκανε χρήση μεγαλύτερης εσωτερικής κινητικότητας για να ανταποκριθεί στις ολοένα και περισσότερες ανάγκες που προκύπτουν για εργαζόμενους που διαθέτουν τις απαραίτητες επιστημονικές, τεχνικές και διοικητικές γνώσεις για το έργο του· σημειώνει ότι το γεγονός αυτό προσέφερε ευκαιρίες βελτίωσης της σταδιοδρομίας και, επομένως, συνέβαλε στην παροχή κινήτρων στο προσωπικό του Οργανισμού και στη διατήρηση μιας νοοτροπίας υψηλών επιδόσεων, συνεχούς βελτίωσης και ανταπόκρισης· εκφράζει την ικανοποίησή του για το γεγονός ότι, για την παροχή κινήτρων στους εργαζομένους και την ανάπτυξη δεξιοτήτων, εισήγαγε επίσης νέες πρωτοβουλίες, συμπεριλαμβανομένης της πλαισίωσης και της καθοδήγησης·</w:t>
      </w:r>
    </w:p>
    <w:p w:rsidR="00FE3515" w:rsidRPr="0071082F" w:rsidRDefault="00BC2E70" w:rsidP="00BC2E70">
      <w:pPr>
        <w:pStyle w:val="NormalHanging12a"/>
        <w:ind w:hanging="570"/>
      </w:pPr>
      <w:r w:rsidRPr="0071082F">
        <w:t>21.</w:t>
      </w:r>
      <w:r w:rsidRPr="0071082F">
        <w:tab/>
      </w:r>
      <w:r w:rsidR="00FE3515" w:rsidRPr="0071082F">
        <w:t>υπογραμμίζει την ανάγκη διασφάλισης επαρκούς στελέχωσης που θα αντικατοπτρίζει τις ανάγκες της Ευρωπαϊκής Πράσινης Συμφωνίας και της στρατηγικής της Ένωσης για τη βιωσιμότητα των χημικών προϊόντων, το σχέδιο δράσης για την κυκλική οικονομία και, ειδικότερα, τον στόχο για μηδενική ρύπανση και την παρεπόμενη αύξηση καθηκόντων·</w:t>
      </w:r>
    </w:p>
    <w:p w:rsidR="00FE3515" w:rsidRPr="0071082F" w:rsidRDefault="00FE3515" w:rsidP="00FE3515">
      <w:pPr>
        <w:widowControl/>
        <w:spacing w:after="240"/>
        <w:ind w:left="567" w:hanging="567"/>
        <w:rPr>
          <w:b/>
          <w:i/>
          <w:szCs w:val="24"/>
        </w:rPr>
      </w:pPr>
      <w:r w:rsidRPr="0071082F">
        <w:rPr>
          <w:b/>
          <w:i/>
        </w:rPr>
        <w:t>Πρόληψη και διαχείριση συγκρούσεων συμφερόντων, και διαφάνεια</w:t>
      </w:r>
    </w:p>
    <w:p w:rsidR="00FE3515" w:rsidRPr="0071082F" w:rsidRDefault="00BC2E70" w:rsidP="00BC2E70">
      <w:pPr>
        <w:widowControl/>
        <w:spacing w:after="240"/>
        <w:ind w:left="567" w:hanging="573"/>
      </w:pPr>
      <w:r w:rsidRPr="0071082F">
        <w:t>22.</w:t>
      </w:r>
      <w:r w:rsidRPr="0071082F">
        <w:tab/>
      </w:r>
      <w:r w:rsidR="00FE3515" w:rsidRPr="0071082F">
        <w:t>σημειώνει ότι, βάσει ενδελεχούς εκτίμησης κινδύνου των δραστηριοτήτων του, ο Οργανισμός έχει προσδιορίσει τις ολοκληρωμένες και τις επιμέρους διαδικασίες στις οποίες απαιτείται διαχείριση της σύγκρουσης συμφερόντων· σημειώνει επίσης ότι σε όλες αυτές τις διαδικασίες, ο επικεφαλής της εκάστοτε διαδικασίας προβαίνει σε επανεξέταση των ετήσιων δηλώσεων συμφερόντων κάθε φορά που ένας εργαζόμενος αναλαμβάνει να φέρει εις πέρας μια εργασία, ενώ για ορισμένες διαδικασίες ευαίσθητου χαρακτήρα οι εμπλεκόμενοι εργαζόμενοι θα πρέπει να υποβάλουν και μια συμπληρωματική, ειδική δήλωση μη σύγκρουσης συμφερόντων·</w:t>
      </w:r>
    </w:p>
    <w:p w:rsidR="00FE3515" w:rsidRPr="00BC2E70" w:rsidRDefault="00BC2E70" w:rsidP="00BC2E70">
      <w:pPr>
        <w:widowControl/>
        <w:spacing w:after="240"/>
        <w:ind w:left="567" w:hanging="573"/>
        <w:rPr>
          <w:szCs w:val="24"/>
        </w:rPr>
      </w:pPr>
      <w:r w:rsidRPr="00F14953">
        <w:rPr>
          <w:szCs w:val="24"/>
        </w:rPr>
        <w:t>23.</w:t>
      </w:r>
      <w:r w:rsidRPr="00F14953">
        <w:rPr>
          <w:szCs w:val="24"/>
        </w:rPr>
        <w:tab/>
      </w:r>
      <w:r w:rsidR="00FE3515" w:rsidRPr="0071082F">
        <w:t>εκφράζει την ικανοποίησή του για το γεγονός ότι, προκειμένου να βελτιωθεί η πρακτική που ακολουθείται για την αποφυγή της σύγκρουσης συμφερόντων μετά την αποχώρηση εργαζομένων από τον Οργανισμό, τον Ιούνιο του 2023 το διοικητικό συμβούλιο του Οργανισμού προχώρησε σε αναθεώρηση της σχετικής πολιτικής του· σημειώνει ότι οι αλλαγές που έγιναν ενισχύουν τη συστηματική παρακολούθηση της συμμόρφωσης πρώην εργαζομένων του Οργανισμού με τις υποχρεώσεις που έχουν μετά την αποχώρηση τους από τον Οργανισμό, σύμφωνα με τις συστάσεις του Ευρωπαϊκού Ελεγκτικού Συνεδρίου και τις παρατηρήσεις της αρμόδιας για την απαλλαγή αρχής κατά τα προηγούμενα έτη·</w:t>
      </w:r>
    </w:p>
    <w:p w:rsidR="00FE3515" w:rsidRPr="00BC2E70" w:rsidRDefault="00BC2E70" w:rsidP="00BC2E70">
      <w:pPr>
        <w:widowControl/>
        <w:spacing w:after="240"/>
        <w:ind w:left="567" w:hanging="573"/>
        <w:rPr>
          <w:szCs w:val="24"/>
        </w:rPr>
      </w:pPr>
      <w:r w:rsidRPr="00F14953">
        <w:rPr>
          <w:szCs w:val="24"/>
        </w:rPr>
        <w:t>24.</w:t>
      </w:r>
      <w:r w:rsidRPr="00F14953">
        <w:rPr>
          <w:szCs w:val="24"/>
        </w:rPr>
        <w:tab/>
      </w:r>
      <w:r w:rsidR="00FE3515" w:rsidRPr="0071082F">
        <w:t>παρατηρεί ότι ο Οργανισμός δημοσιεύει στον ιστότοπό του πληροφορίες σχετικά με τις συναντήσεις των ανώτερων διοικητικών στελεχών του με εκπροσώπους ομάδων συμφερόντων·</w:t>
      </w:r>
    </w:p>
    <w:p w:rsidR="00FE3515" w:rsidRPr="0071082F" w:rsidRDefault="00BC2E70" w:rsidP="00BC2E70">
      <w:pPr>
        <w:widowControl/>
        <w:spacing w:after="240"/>
        <w:ind w:left="567" w:hanging="573"/>
      </w:pPr>
      <w:r w:rsidRPr="0071082F">
        <w:t>25.</w:t>
      </w:r>
      <w:r w:rsidRPr="0071082F">
        <w:tab/>
      </w:r>
      <w:r w:rsidR="00FE3515" w:rsidRPr="0071082F">
        <w:t>εκφράζει την ικανοποίησή του για το γεγονός ότι το 2022 ο Οργανισμός άρχισε να χρησιμοποιεί ένα νέο ηλεκτρονικό εργαλείο για τη συλλογή και την επανεξέταση των ετήσιων δηλώσεων συμφερόντων των εξωτερικών εμπειρογνωμόνων που συμμετέχουν στο έργο του Οργανισμού, παρέχοντας περαιτέρω διασφάλιση στη διαδικασία·</w:t>
      </w:r>
    </w:p>
    <w:p w:rsidR="00FE3515" w:rsidRPr="00BC2E70" w:rsidRDefault="00BC2E70" w:rsidP="00BC2E70">
      <w:pPr>
        <w:widowControl/>
        <w:spacing w:after="240"/>
        <w:ind w:left="567" w:hanging="573"/>
        <w:rPr>
          <w:szCs w:val="24"/>
        </w:rPr>
      </w:pPr>
      <w:r w:rsidRPr="00F14953">
        <w:rPr>
          <w:szCs w:val="24"/>
        </w:rPr>
        <w:t>26.</w:t>
      </w:r>
      <w:r w:rsidRPr="00F14953">
        <w:rPr>
          <w:szCs w:val="24"/>
        </w:rPr>
        <w:tab/>
      </w:r>
      <w:r w:rsidR="00FE3515" w:rsidRPr="0071082F">
        <w:t>σημειώνει με ικανοποίηση ότι η στρατηγική του Οργανισμού για την καταπολέμηση της απάτης αναθεωρήθηκε τελευταία φορά από το διοικητικό του συμβούλιο τον Δεκέμβριο του 2022 και επικεντρώνεται στη διατήρηση και την περαιτέρω ανάπτυξη της νοοτροπίας καταπολέμησης της απάτης στον Οργανισμό και στην τακτική επανεξέταση βασικών πολιτικών και διαδικασιών· σημειώνει ότι η εν λόγω στρατηγική ενισχύει τον εσωτερικό μηχανισμό για την καταπολέμηση της διαφθοράς, προσδιορίζοντας τους ρόλους και τις αρμοδιότητες του προσωπικού για την πρόληψη περιστατικών απάτης, καθώς και τα μέσα και τους πόρους που χρησιμοποιούνται για την καταπολέμηση τέτοιων φαινομένων· εκφράζει την ικανοποίησή του για το γεγονός ότι το 2022 όλο το προσωπικό του Οργανισμού συμμετείχε σε σεμινάριο για την καταπολέμηση της απάτης· σημειώνει με ικανοποίηση ότι ο Οργανισμός έχει θεσπίσει κατευθυντήριες γραμμές για τους μάρτυρες δημοσίου συμφέροντος, ώστε οι υπάλληλοί του να μπορούν να ενημερώνουν για κάθε δραστηριότητα που αντιβαίνει στο δημόσιο συμφέρον·</w:t>
      </w:r>
    </w:p>
    <w:p w:rsidR="00FE3515" w:rsidRPr="00BC2E70" w:rsidRDefault="00BC2E70" w:rsidP="00BC2E70">
      <w:pPr>
        <w:widowControl/>
        <w:spacing w:after="240"/>
        <w:ind w:left="567" w:hanging="573"/>
        <w:rPr>
          <w:szCs w:val="24"/>
        </w:rPr>
      </w:pPr>
      <w:r w:rsidRPr="00F14953">
        <w:rPr>
          <w:szCs w:val="24"/>
        </w:rPr>
        <w:t>27.</w:t>
      </w:r>
      <w:r w:rsidRPr="00F14953">
        <w:rPr>
          <w:szCs w:val="24"/>
        </w:rPr>
        <w:tab/>
      </w:r>
      <w:r w:rsidR="00FE3515" w:rsidRPr="0071082F">
        <w:t>υπενθυμίζει ότι οι διαδικασίες λήψης αποφάσεων του Οργανισμού έχουν σχεδιαστεί έτσι ώστε να είναι σαφείς, ανοικτές και να διασφαλίζουν ένα ισορροπημένο αποτέλεσμα βάσει αιτιολογημένης επιστημονικής προσέγγισης· σημειώνει ότι οι πληροφορίες σχετικά με τις προθέσεις του Οργανισμού και των κρατών μελών, για παράδειγμα, να εξετάσουν ουσίες ή να δημιουργήσουν φακέλους είναι διαθέσιμες στο διαδίκτυο, έτσι ώστε οι εταιρείες να έχουν πρόσβαση στα δεδομένα που χρειάζονται για να λαμβάνουν τεκμηριωμένες επιχειρηματικές αποφάσεις· σημειώνει, επίσης, ότι οι διαπιστευμένες οργανώσεις ενδιαφερόμενων μερών μπορούν να συμμετέχουν σε επιστημονικές συνεδριάσεις ως παρατηρητές, εκτός εάν οι συνεδριάσεις πραγματοποιούνται κεκλεισμένων των θυρών επειδή αναφέρονται επιχειρηματικές πληροφορίες εμπιστευτικού χαρακτήρα· σημειώνει, επίσης, ότι οι προβληματισμοί, οι γνώμες και τα συμπεράσματα των επιστημονικών επιτροπών του Οργανισμού καταγράφονται σε γνωμοδοτήσεις και πρακτικά, τα οποία δημοσιεύονται στο διαδίκτυο·</w:t>
      </w:r>
    </w:p>
    <w:p w:rsidR="00FE3515" w:rsidRPr="0071082F" w:rsidRDefault="00BC2E70" w:rsidP="00BC2E70">
      <w:pPr>
        <w:pStyle w:val="NormalHanging12a"/>
        <w:ind w:hanging="573"/>
      </w:pPr>
      <w:r w:rsidRPr="0071082F">
        <w:t>28.</w:t>
      </w:r>
      <w:r w:rsidRPr="0071082F">
        <w:tab/>
      </w:r>
      <w:r w:rsidR="00FE3515" w:rsidRPr="0071082F">
        <w:t>υπενθυμίζει τη σημασία να αναπτύξει ο Οργανισμός μεγαλύτερη προβολή στα μέσα ενημέρωσης, στο διαδίκτυο και στα μέσα κοινωνικής δικτύωσης, προκειμένου να προβάλει το έργο του στους πολίτες·</w:t>
      </w:r>
    </w:p>
    <w:p w:rsidR="00FE3515" w:rsidRPr="0071082F" w:rsidRDefault="00FE3515" w:rsidP="00FE3515">
      <w:pPr>
        <w:widowControl/>
        <w:spacing w:after="240"/>
        <w:ind w:left="567" w:hanging="567"/>
        <w:rPr>
          <w:b/>
          <w:i/>
          <w:szCs w:val="24"/>
        </w:rPr>
      </w:pPr>
      <w:r w:rsidRPr="0071082F">
        <w:rPr>
          <w:b/>
          <w:i/>
        </w:rPr>
        <w:t>Λοιπ</w:t>
      </w:r>
      <w:r w:rsidR="00BC2E70">
        <w:rPr>
          <w:b/>
          <w:i/>
        </w:rPr>
        <w:t>ές παρατηρήσεις</w:t>
      </w:r>
    </w:p>
    <w:p w:rsidR="00FE3515" w:rsidRPr="00BC2E70" w:rsidRDefault="00BC2E70" w:rsidP="00BC2E70">
      <w:pPr>
        <w:widowControl/>
        <w:spacing w:after="240"/>
        <w:ind w:left="567" w:hanging="570"/>
        <w:rPr>
          <w:szCs w:val="24"/>
        </w:rPr>
      </w:pPr>
      <w:r w:rsidRPr="00F14953">
        <w:rPr>
          <w:szCs w:val="24"/>
        </w:rPr>
        <w:t>29.</w:t>
      </w:r>
      <w:r w:rsidRPr="00F14953">
        <w:rPr>
          <w:szCs w:val="24"/>
        </w:rPr>
        <w:tab/>
      </w:r>
      <w:r w:rsidR="00FE3515" w:rsidRPr="0071082F">
        <w:t>εκφράζει την ικανοποίησή του για το γεγονός ότι το 2022 ο Οργανισμός ενέκρινε πολιτική για την ασφάλεια στον κυβερνοχώρο και διενήργησε αξιολόγηση κινδύνου σε επίπεδο ΤΠ· σημειώνει, επιπλέον, ότι ο Οργανισμός προσφέρει πλέον τη δυνατότητα βιομετρικής επαλήθευσης της ταυτότητας των χρηστών, βελτίωσε την ορατότητα του κέντρου επιχειρήσεων ασφάλειας και έχει επίσης διενεργήσει δοκιμές αποτυχίας μεταξύ των κέντρων δεδομένων·</w:t>
      </w:r>
    </w:p>
    <w:p w:rsidR="00FE3515" w:rsidRPr="00BC2E70" w:rsidRDefault="00BC2E70" w:rsidP="00BC2E70">
      <w:pPr>
        <w:widowControl/>
        <w:spacing w:after="240"/>
        <w:ind w:left="567" w:hanging="570"/>
        <w:rPr>
          <w:szCs w:val="24"/>
        </w:rPr>
      </w:pPr>
      <w:r w:rsidRPr="00F14953">
        <w:rPr>
          <w:szCs w:val="24"/>
        </w:rPr>
        <w:t>30.</w:t>
      </w:r>
      <w:r w:rsidRPr="00F14953">
        <w:rPr>
          <w:szCs w:val="24"/>
        </w:rPr>
        <w:tab/>
      </w:r>
      <w:r w:rsidR="00FE3515" w:rsidRPr="0071082F">
        <w:t>σημειώνει με ικανοποίηση ότι το 2022 ο Οργανισμός συμμετείχε στη δοκιμαστική φάση του PPMT (εργαλείο διαχείρισης δημόσιων συμβάσεων της Ευρωπαϊκής Επιτροπής) προκειμένου να το δοκιμάσει πριν αποφασίσει να το υιοθετήσει πλήρως το 2023· σημειώνει ότι ο Οργανισμός είχε ήδη υιοθετήσει στο παρελθόν και άλλα εργαλεία ηλεκτρονικών δημόσιων συμβάσεων, όπως η ηλεκτρονική δημοσίευση προκήρυξης διαγωνισμού (</w:t>
      </w:r>
      <w:proofErr w:type="spellStart"/>
      <w:r w:rsidR="00FE3515" w:rsidRPr="0071082F">
        <w:t>eTendering</w:t>
      </w:r>
      <w:proofErr w:type="spellEnd"/>
      <w:r w:rsidR="00FE3515" w:rsidRPr="0071082F">
        <w:t>) ή η ηλεκτρονική υποβολή (</w:t>
      </w:r>
      <w:proofErr w:type="spellStart"/>
      <w:r w:rsidR="00FE3515" w:rsidRPr="0071082F">
        <w:t>eSubmission</w:t>
      </w:r>
      <w:proofErr w:type="spellEnd"/>
      <w:r w:rsidR="00FE3515" w:rsidRPr="0071082F">
        <w:t xml:space="preserve">), και παράλληλα ανανέωσε το 2022 τη συνδρομή του στην </w:t>
      </w:r>
      <w:proofErr w:type="spellStart"/>
      <w:r w:rsidR="00FE3515" w:rsidRPr="0071082F">
        <w:t>Cloudia</w:t>
      </w:r>
      <w:proofErr w:type="spellEnd"/>
      <w:r w:rsidR="00FE3515" w:rsidRPr="0071082F">
        <w:t xml:space="preserve">, την πλατφόρμα ηλεκτρονικών δημόσιων συμβάσεων της </w:t>
      </w:r>
      <w:proofErr w:type="spellStart"/>
      <w:r w:rsidR="00FE3515" w:rsidRPr="0071082F">
        <w:t>Hansel</w:t>
      </w:r>
      <w:proofErr w:type="spellEnd"/>
      <w:r w:rsidR="00FE3515" w:rsidRPr="0071082F">
        <w:t xml:space="preserve"> (κεντρική αρχή προμηθειών για τις φινλανδικές δημόσιες αρχές), ώστε να ψηφιοποιηθούν πλήρως όλες οι διοικητικές συμβάσεις μέσω της </w:t>
      </w:r>
      <w:proofErr w:type="spellStart"/>
      <w:r w:rsidR="00FE3515" w:rsidRPr="0071082F">
        <w:t>Hansel</w:t>
      </w:r>
      <w:proofErr w:type="spellEnd"/>
      <w:r w:rsidR="00FE3515" w:rsidRPr="0071082F">
        <w:t>·</w:t>
      </w:r>
    </w:p>
    <w:p w:rsidR="00FE3515" w:rsidRPr="00BC2E70" w:rsidRDefault="00BC2E70" w:rsidP="00BC2E70">
      <w:pPr>
        <w:widowControl/>
        <w:spacing w:after="240"/>
        <w:ind w:left="567" w:hanging="570"/>
        <w:rPr>
          <w:rFonts w:eastAsia="Calibri"/>
          <w:iCs/>
          <w:szCs w:val="24"/>
        </w:rPr>
      </w:pPr>
      <w:r w:rsidRPr="00F14953">
        <w:rPr>
          <w:rFonts w:eastAsia="Calibri"/>
          <w:iCs/>
          <w:szCs w:val="24"/>
        </w:rPr>
        <w:t>31.</w:t>
      </w:r>
      <w:r w:rsidRPr="00F14953">
        <w:rPr>
          <w:rFonts w:eastAsia="Calibri"/>
          <w:iCs/>
          <w:szCs w:val="24"/>
        </w:rPr>
        <w:tab/>
      </w:r>
      <w:r w:rsidR="00FE3515" w:rsidRPr="0071082F">
        <w:t>παρατηρεί ότι ο Οργανισμός ανανέωσε επιτυχώς το 2022 τα πιστοποιητικά του συστήματος οικολογικής διαχείρισης και οικολογικού ελέγχου (EMAS) και του ISO 14001· σημειώνει με ικανοποίηση, με βάση την έκθεση του Ελεγκτικού Συνεδρίου, ότι ο Οργανισμός συγκαταλέγεται μεταξύ των οργανισμών που εκδίδουν ετήσια περιβαλλοντική δήλωση·</w:t>
      </w:r>
    </w:p>
    <w:p w:rsidR="00FE3515" w:rsidRPr="0071082F" w:rsidRDefault="00BC2E70" w:rsidP="00BC2E70">
      <w:pPr>
        <w:pStyle w:val="NormalHanging12a"/>
        <w:ind w:hanging="570"/>
      </w:pPr>
      <w:r w:rsidRPr="0071082F">
        <w:t>32.</w:t>
      </w:r>
      <w:r w:rsidRPr="0071082F">
        <w:tab/>
      </w:r>
      <w:r w:rsidR="00FE3515" w:rsidRPr="0071082F">
        <w:t>επισημαίνει ότι ο Οργανισμός συνεχίζει τις προσπάθειές του για τη σταδιακή κατάργηση των δοκιμών με χρήση ζώων στην Ευρώπη στο μέτρο του δυνατού βάσει του ισχύοντος κανονιστικού πλαισίου· σημειώνει ότι ο Οργανισμός προωθεί εναλλακτικές λύσεις αντί των δοκιμών σε ζώα με τρεις τρόπους: επικεντρώνεται σε ομάδες ουσιών μέσω χωριστής στρατηγικής, επενδύει σε διεθνείς δραστηριότητες που προωθούν εναλλακτικές λύσεις και νέες μεθοδολογίες προσέγγισης, και φροντίζει να δεδομένα του να είναι διαθέσιμα σε όποιον φορέα τα χρειάζεται· επαναλαμβάνει την έκκλησή του προς τον Οργανισμό να επιταχύνει τη διαδικασία σταδιακής κατάργησης· σημειώνει επίσης ότι ο Οργανισμός συνεργάζεται με την Επιτροπή και άλλα ενδιαφερόμενα μέρη για να στηρίξει την Επιτροπή στην ανάπτυξη ενός χάρτη πορείας για την πλήρη αντικατάσταση των δοκιμών χημικών ουσιών σε ζώα·</w:t>
      </w:r>
    </w:p>
    <w:p w:rsidR="00FE3515" w:rsidRPr="0071082F" w:rsidRDefault="00BC2E70" w:rsidP="00BC2E70">
      <w:pPr>
        <w:pStyle w:val="NormalHanging12a"/>
        <w:ind w:hanging="570"/>
      </w:pPr>
      <w:r w:rsidRPr="0071082F">
        <w:t>33.</w:t>
      </w:r>
      <w:r w:rsidRPr="0071082F">
        <w:tab/>
      </w:r>
      <w:r w:rsidR="00FE3515" w:rsidRPr="0071082F">
        <w:t xml:space="preserve">επικροτεί το γεγονός ότι ο Οργανισμός συνέχισε να εφαρμόζει διάφορα μέτρα για την αύξηση της δημόσιας και διαδικτυακής παρουσίας του με νέες εκδόσεις και πολυάριθμες ενημερώσεις στον ιστότοπό του, το άνοιγμα, από κοινού με τέσσερις άλλους οργανισμούς, ενός λογαριασμού στο </w:t>
      </w:r>
      <w:proofErr w:type="spellStart"/>
      <w:r w:rsidR="00FE3515" w:rsidRPr="0071082F">
        <w:t>Instagram</w:t>
      </w:r>
      <w:proofErr w:type="spellEnd"/>
      <w:r w:rsidR="00FE3515" w:rsidRPr="0071082F">
        <w:t> με τίτλο «</w:t>
      </w:r>
      <w:proofErr w:type="spellStart"/>
      <w:r w:rsidR="00FE3515" w:rsidRPr="0071082F">
        <w:t>One</w:t>
      </w:r>
      <w:proofErr w:type="spellEnd"/>
      <w:r w:rsidR="00FE3515" w:rsidRPr="0071082F">
        <w:t xml:space="preserve"> Health </w:t>
      </w:r>
      <w:proofErr w:type="spellStart"/>
      <w:r w:rsidR="00FE3515" w:rsidRPr="0071082F">
        <w:t>One</w:t>
      </w:r>
      <w:proofErr w:type="spellEnd"/>
      <w:r w:rsidR="00FE3515" w:rsidRPr="0071082F">
        <w:t xml:space="preserve"> </w:t>
      </w:r>
      <w:proofErr w:type="spellStart"/>
      <w:r w:rsidR="00FE3515" w:rsidRPr="0071082F">
        <w:t>Environment</w:t>
      </w:r>
      <w:proofErr w:type="spellEnd"/>
      <w:r w:rsidR="00FE3515" w:rsidRPr="0071082F">
        <w:t>», και την παρουσία του στα μέσα κοινωνικής δικτύωσης· σημειώνει, στο πλαίσιο αυτό, την αύξηση της γενικής κάλυψης του Οργανισμού από τα μέσα ενημέρωσης και την αύξηση των οικείων δεικτών μέτρησης στα μέσα κοινωνικής δικτύωσης το 2022 σε σύγκριση με το 2021·</w:t>
      </w:r>
    </w:p>
    <w:p w:rsidR="00FE3515" w:rsidRPr="0071082F" w:rsidRDefault="00FE3515" w:rsidP="00FE3515">
      <w:pPr>
        <w:pStyle w:val="NormalCenter12a"/>
        <w:rPr>
          <w:szCs w:val="24"/>
        </w:rPr>
      </w:pPr>
      <w:r w:rsidRPr="0071082F">
        <w:t>°</w:t>
      </w:r>
    </w:p>
    <w:p w:rsidR="00FE3515" w:rsidRPr="0071082F" w:rsidRDefault="00FE3515" w:rsidP="00FE3515">
      <w:pPr>
        <w:pStyle w:val="NormalCenter12a"/>
        <w:rPr>
          <w:szCs w:val="24"/>
        </w:rPr>
      </w:pPr>
      <w:r w:rsidRPr="0071082F">
        <w:t>°</w:t>
      </w:r>
      <w:r w:rsidRPr="0071082F">
        <w:tab/>
        <w:t>°</w:t>
      </w:r>
    </w:p>
    <w:p w:rsidR="00FE3515" w:rsidRPr="0071082F" w:rsidRDefault="00BC2E70" w:rsidP="00BC2E70">
      <w:pPr>
        <w:pStyle w:val="NormalHanging12a"/>
        <w:widowControl/>
        <w:ind w:hanging="570"/>
      </w:pPr>
      <w:r w:rsidRPr="0071082F">
        <w:t>34.</w:t>
      </w:r>
      <w:r w:rsidRPr="0071082F">
        <w:tab/>
      </w:r>
      <w:r w:rsidR="00FE3515" w:rsidRPr="0071082F">
        <w:t xml:space="preserve">παραπέμπει, όσον αφορά άλλες παρατηρήσεις οριζόντιου χαρακτήρα που συνοδεύουν την απόφαση απαλλαγής, στο ψήφισμά του της </w:t>
      </w:r>
      <w:r w:rsidR="00093184">
        <w:t>11ης Απριλίου 2024</w:t>
      </w:r>
      <w:r w:rsidR="00FE3515" w:rsidRPr="0071082F">
        <w:rPr>
          <w:vertAlign w:val="superscript"/>
        </w:rPr>
        <w:footnoteReference w:id="16"/>
      </w:r>
      <w:r w:rsidR="00FE3515" w:rsidRPr="0071082F">
        <w:t xml:space="preserve"> σχετικά με τις επιδόσεις, τη χρηματοοικονομική διαχείριση και τον έλεγχο των οργανισμών.</w:t>
      </w:r>
    </w:p>
    <w:sectPr w:rsidR="00FE3515" w:rsidRPr="0071082F" w:rsidSect="0071082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96F" w:rsidRPr="0071082F" w:rsidRDefault="004E696F">
      <w:r w:rsidRPr="0071082F">
        <w:separator/>
      </w:r>
    </w:p>
  </w:endnote>
  <w:endnote w:type="continuationSeparator" w:id="0">
    <w:p w:rsidR="004E696F" w:rsidRPr="0071082F" w:rsidRDefault="004E696F">
      <w:r w:rsidRPr="007108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515" w:rsidRPr="0071082F" w:rsidRDefault="00FE3515" w:rsidP="006E50D8">
    <w:pPr>
      <w:pStyle w:val="EPFooter"/>
    </w:pPr>
    <w:r w:rsidRPr="0071082F">
      <w:t>PE</w:t>
    </w:r>
    <w:r w:rsidRPr="0071082F">
      <w:rPr>
        <w:rStyle w:val="HideTWBExt"/>
      </w:rPr>
      <w:t>&lt;</w:t>
    </w:r>
    <w:proofErr w:type="spellStart"/>
    <w:r w:rsidRPr="0071082F">
      <w:rPr>
        <w:rStyle w:val="HideTWBExt"/>
      </w:rPr>
      <w:t>NoPE</w:t>
    </w:r>
    <w:proofErr w:type="spellEnd"/>
    <w:r w:rsidRPr="0071082F">
      <w:rPr>
        <w:rStyle w:val="HideTWBExt"/>
      </w:rPr>
      <w:t>&gt;</w:t>
    </w:r>
    <w:r w:rsidRPr="0071082F">
      <w:t>753.516</w:t>
    </w:r>
    <w:r w:rsidRPr="0071082F">
      <w:rPr>
        <w:rStyle w:val="HideTWBExt"/>
      </w:rPr>
      <w:t>&lt;/</w:t>
    </w:r>
    <w:proofErr w:type="spellStart"/>
    <w:r w:rsidRPr="0071082F">
      <w:rPr>
        <w:rStyle w:val="HideTWBExt"/>
      </w:rPr>
      <w:t>NoPE</w:t>
    </w:r>
    <w:proofErr w:type="spellEnd"/>
    <w:r w:rsidRPr="0071082F">
      <w:rPr>
        <w:rStyle w:val="HideTWBExt"/>
      </w:rPr>
      <w:t>&gt;&lt;Version&gt;</w:t>
    </w:r>
    <w:r w:rsidRPr="0071082F">
      <w:t>v02-00</w:t>
    </w:r>
    <w:r w:rsidRPr="0071082F">
      <w:rPr>
        <w:rStyle w:val="HideTWBExt"/>
      </w:rPr>
      <w:t>&lt;/</w:t>
    </w:r>
    <w:proofErr w:type="spellStart"/>
    <w:r w:rsidRPr="0071082F">
      <w:rPr>
        <w:rStyle w:val="HideTWBExt"/>
      </w:rPr>
      <w:t>Version</w:t>
    </w:r>
    <w:proofErr w:type="spellEnd"/>
    <w:r w:rsidRPr="0071082F">
      <w:rPr>
        <w:rStyle w:val="HideTWBExt"/>
      </w:rPr>
      <w:t>&gt;</w:t>
    </w:r>
    <w:r w:rsidRPr="0071082F">
      <w:tab/>
    </w:r>
    <w:r w:rsidRPr="0071082F">
      <w:fldChar w:fldCharType="begin"/>
    </w:r>
    <w:r w:rsidRPr="0071082F">
      <w:instrText xml:space="preserve"> PAGE  \* MERGEFORMAT </w:instrText>
    </w:r>
    <w:r w:rsidRPr="0071082F">
      <w:fldChar w:fldCharType="separate"/>
    </w:r>
    <w:r w:rsidRPr="0071082F">
      <w:rPr>
        <w:noProof/>
      </w:rPr>
      <w:t>4</w:t>
    </w:r>
    <w:r w:rsidRPr="0071082F">
      <w:fldChar w:fldCharType="end"/>
    </w:r>
    <w:r w:rsidRPr="0071082F">
      <w:t>/</w:t>
    </w:r>
    <w:r w:rsidR="00A3015D">
      <w:fldChar w:fldCharType="begin"/>
    </w:r>
    <w:r w:rsidR="00A3015D">
      <w:instrText xml:space="preserve"> NUMPAGES  \* MERGEFORMAT </w:instrText>
    </w:r>
    <w:r w:rsidR="00A3015D">
      <w:fldChar w:fldCharType="separate"/>
    </w:r>
    <w:r w:rsidRPr="0071082F">
      <w:rPr>
        <w:noProof/>
      </w:rPr>
      <w:t>4</w:t>
    </w:r>
    <w:r w:rsidR="00A3015D">
      <w:rPr>
        <w:noProof/>
      </w:rPr>
      <w:fldChar w:fldCharType="end"/>
    </w:r>
    <w:r w:rsidRPr="0071082F">
      <w:tab/>
    </w:r>
    <w:r w:rsidRPr="0071082F">
      <w:rPr>
        <w:rStyle w:val="HideTWBExt"/>
      </w:rPr>
      <w:t>&lt;PathFdR&gt;</w:t>
    </w:r>
    <w:r w:rsidRPr="0071082F">
      <w:t>RR\1299248EL.docx</w:t>
    </w:r>
    <w:r w:rsidRPr="0071082F">
      <w:rPr>
        <w:rStyle w:val="HideTWBExt"/>
      </w:rPr>
      <w:t>&lt;/</w:t>
    </w:r>
    <w:proofErr w:type="spellStart"/>
    <w:r w:rsidRPr="0071082F">
      <w:rPr>
        <w:rStyle w:val="HideTWBExt"/>
      </w:rPr>
      <w:t>PathFdR</w:t>
    </w:r>
    <w:proofErr w:type="spellEnd"/>
    <w:r w:rsidRPr="0071082F">
      <w:rPr>
        <w:rStyle w:val="HideTWBExt"/>
      </w:rPr>
      <w:t>&gt;</w:t>
    </w:r>
  </w:p>
  <w:p w:rsidR="00FE3515" w:rsidRPr="0071082F" w:rsidRDefault="00FE3515" w:rsidP="006E50D8">
    <w:pPr>
      <w:pStyle w:val="EPFooter2"/>
    </w:pPr>
    <w:r w:rsidRPr="0071082F">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515" w:rsidRPr="0071082F" w:rsidRDefault="00FE3515" w:rsidP="006E50D8">
    <w:pPr>
      <w:pStyle w:val="EPFooter"/>
    </w:pPr>
    <w:r w:rsidRPr="0071082F">
      <w:rPr>
        <w:rStyle w:val="HideTWBExt"/>
      </w:rPr>
      <w:t>&lt;PathFdR&gt;</w:t>
    </w:r>
    <w:r w:rsidRPr="0071082F">
      <w:t>RR\1299248EL.docx</w:t>
    </w:r>
    <w:r w:rsidRPr="0071082F">
      <w:rPr>
        <w:rStyle w:val="HideTWBExt"/>
      </w:rPr>
      <w:t>&lt;/</w:t>
    </w:r>
    <w:proofErr w:type="spellStart"/>
    <w:r w:rsidRPr="0071082F">
      <w:rPr>
        <w:rStyle w:val="HideTWBExt"/>
      </w:rPr>
      <w:t>PathFdR</w:t>
    </w:r>
    <w:proofErr w:type="spellEnd"/>
    <w:r w:rsidRPr="0071082F">
      <w:rPr>
        <w:rStyle w:val="HideTWBExt"/>
      </w:rPr>
      <w:t>&gt;</w:t>
    </w:r>
    <w:r w:rsidRPr="0071082F">
      <w:tab/>
    </w:r>
    <w:r w:rsidRPr="0071082F">
      <w:tab/>
      <w:t>PE</w:t>
    </w:r>
    <w:r w:rsidRPr="0071082F">
      <w:rPr>
        <w:rStyle w:val="HideTWBExt"/>
      </w:rPr>
      <w:t>&lt;</w:t>
    </w:r>
    <w:proofErr w:type="spellStart"/>
    <w:r w:rsidRPr="0071082F">
      <w:rPr>
        <w:rStyle w:val="HideTWBExt"/>
      </w:rPr>
      <w:t>NoPE</w:t>
    </w:r>
    <w:proofErr w:type="spellEnd"/>
    <w:r w:rsidRPr="0071082F">
      <w:rPr>
        <w:rStyle w:val="HideTWBExt"/>
      </w:rPr>
      <w:t>&gt;</w:t>
    </w:r>
    <w:r w:rsidRPr="0071082F">
      <w:t>753.516</w:t>
    </w:r>
    <w:r w:rsidRPr="0071082F">
      <w:rPr>
        <w:rStyle w:val="HideTWBExt"/>
      </w:rPr>
      <w:t>&lt;/</w:t>
    </w:r>
    <w:proofErr w:type="spellStart"/>
    <w:r w:rsidRPr="0071082F">
      <w:rPr>
        <w:rStyle w:val="HideTWBExt"/>
      </w:rPr>
      <w:t>NoPE</w:t>
    </w:r>
    <w:proofErr w:type="spellEnd"/>
    <w:r w:rsidRPr="0071082F">
      <w:rPr>
        <w:rStyle w:val="HideTWBExt"/>
      </w:rPr>
      <w:t>&gt;&lt;Version&gt;</w:t>
    </w:r>
    <w:r w:rsidRPr="0071082F">
      <w:t>v02-00</w:t>
    </w:r>
    <w:r w:rsidRPr="0071082F">
      <w:rPr>
        <w:rStyle w:val="HideTWBExt"/>
      </w:rPr>
      <w:t>&lt;/</w:t>
    </w:r>
    <w:proofErr w:type="spellStart"/>
    <w:r w:rsidRPr="0071082F">
      <w:rPr>
        <w:rStyle w:val="HideTWBExt"/>
      </w:rPr>
      <w:t>Version</w:t>
    </w:r>
    <w:proofErr w:type="spellEnd"/>
    <w:r w:rsidRPr="0071082F">
      <w:rPr>
        <w:rStyle w:val="HideTWBExt"/>
      </w:rPr>
      <w:t>&gt;</w:t>
    </w:r>
  </w:p>
  <w:p w:rsidR="00FE3515" w:rsidRPr="0071082F" w:rsidRDefault="00FE3515" w:rsidP="006E50D8">
    <w:pPr>
      <w:pStyle w:val="EPFooter2"/>
    </w:pPr>
    <w:r w:rsidRPr="0071082F">
      <w:t>EL</w:t>
    </w:r>
    <w:r w:rsidRPr="0071082F">
      <w:tab/>
    </w:r>
    <w:r w:rsidRPr="0071082F">
      <w:rPr>
        <w:b w:val="0"/>
        <w:i/>
        <w:color w:val="C0C0C0"/>
        <w:sz w:val="22"/>
      </w:rPr>
      <w:t>Ενωμένη στην πολυμορφία</w:t>
    </w:r>
    <w:r w:rsidRPr="0071082F">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082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082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08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96F" w:rsidRPr="0071082F" w:rsidRDefault="004E696F">
      <w:r w:rsidRPr="0071082F">
        <w:separator/>
      </w:r>
    </w:p>
  </w:footnote>
  <w:footnote w:type="continuationSeparator" w:id="0">
    <w:p w:rsidR="004E696F" w:rsidRPr="0071082F" w:rsidRDefault="004E696F">
      <w:r w:rsidRPr="0071082F">
        <w:continuationSeparator/>
      </w:r>
    </w:p>
  </w:footnote>
  <w:footnote w:id="1">
    <w:p w:rsidR="00FE3515" w:rsidRPr="0071082F" w:rsidRDefault="00FE3515" w:rsidP="0071082F">
      <w:pPr>
        <w:pStyle w:val="FootnoteText"/>
        <w:ind w:left="567" w:hanging="567"/>
        <w:rPr>
          <w:sz w:val="24"/>
          <w:lang w:val="el-GR"/>
        </w:rPr>
      </w:pPr>
      <w:r w:rsidRPr="0071082F">
        <w:rPr>
          <w:rStyle w:val="FootnoteReference"/>
          <w:sz w:val="24"/>
          <w:lang w:val="el-GR"/>
        </w:rPr>
        <w:footnoteRef/>
      </w:r>
      <w:r w:rsidR="0071082F" w:rsidRPr="0071082F">
        <w:rPr>
          <w:sz w:val="24"/>
          <w:lang w:val="el-GR"/>
        </w:rPr>
        <w:t xml:space="preserve"> </w:t>
      </w:r>
      <w:r w:rsidR="0071082F" w:rsidRPr="0071082F">
        <w:rPr>
          <w:sz w:val="24"/>
          <w:lang w:val="el-GR"/>
        </w:rPr>
        <w:tab/>
      </w:r>
      <w:r w:rsidRPr="0071082F">
        <w:rPr>
          <w:sz w:val="24"/>
          <w:lang w:val="el-GR"/>
        </w:rPr>
        <w:t>ΕΕ C, C/2023/594, 27.10.2023.</w:t>
      </w:r>
    </w:p>
  </w:footnote>
  <w:footnote w:id="2">
    <w:p w:rsidR="00FE3515" w:rsidRPr="0071082F" w:rsidRDefault="00FE3515" w:rsidP="0071082F">
      <w:pPr>
        <w:pStyle w:val="FootnoteText"/>
        <w:ind w:left="567" w:hanging="567"/>
        <w:rPr>
          <w:sz w:val="24"/>
          <w:lang w:val="el-GR"/>
        </w:rPr>
      </w:pPr>
      <w:r w:rsidRPr="0071082F">
        <w:rPr>
          <w:rStyle w:val="FootnoteReference"/>
          <w:sz w:val="24"/>
          <w:lang w:val="el-GR"/>
        </w:rPr>
        <w:footnoteRef/>
      </w:r>
      <w:r w:rsidR="0071082F" w:rsidRPr="0071082F">
        <w:rPr>
          <w:sz w:val="24"/>
          <w:lang w:val="el-GR"/>
        </w:rPr>
        <w:t xml:space="preserve"> </w:t>
      </w:r>
      <w:r w:rsidR="0071082F" w:rsidRPr="0071082F">
        <w:rPr>
          <w:sz w:val="24"/>
          <w:lang w:val="el-GR"/>
        </w:rPr>
        <w:tab/>
      </w:r>
      <w:r w:rsidRPr="0071082F">
        <w:rPr>
          <w:sz w:val="24"/>
          <w:lang w:val="el-GR"/>
        </w:rPr>
        <w:t>ΕΕ C, C/2023/112, 12.10.2023.</w:t>
      </w:r>
    </w:p>
  </w:footnote>
  <w:footnote w:id="3">
    <w:p w:rsidR="00FE3515" w:rsidRPr="0071082F" w:rsidRDefault="00FE3515" w:rsidP="0071082F">
      <w:pPr>
        <w:pStyle w:val="FootnoteText"/>
        <w:ind w:left="567" w:hanging="567"/>
        <w:rPr>
          <w:sz w:val="24"/>
          <w:lang w:val="el-GR"/>
        </w:rPr>
      </w:pPr>
      <w:r w:rsidRPr="0071082F">
        <w:rPr>
          <w:rStyle w:val="FootnoteReference"/>
          <w:sz w:val="24"/>
          <w:lang w:val="el-GR"/>
        </w:rPr>
        <w:footnoteRef/>
      </w:r>
      <w:r w:rsidR="0071082F" w:rsidRPr="0071082F">
        <w:rPr>
          <w:sz w:val="24"/>
          <w:lang w:val="el-GR"/>
        </w:rPr>
        <w:t xml:space="preserve"> </w:t>
      </w:r>
      <w:r w:rsidR="0071082F" w:rsidRPr="0071082F">
        <w:rPr>
          <w:sz w:val="24"/>
          <w:lang w:val="el-GR"/>
        </w:rPr>
        <w:tab/>
      </w:r>
      <w:r w:rsidRPr="0071082F">
        <w:rPr>
          <w:sz w:val="24"/>
          <w:lang w:val="el-GR"/>
        </w:rPr>
        <w:t>ΕΕ L 193 της 30.7.2018, σ. 1.</w:t>
      </w:r>
    </w:p>
  </w:footnote>
  <w:footnote w:id="4">
    <w:p w:rsidR="00FE3515" w:rsidRPr="0071082F" w:rsidRDefault="00FE3515" w:rsidP="0071082F">
      <w:pPr>
        <w:pStyle w:val="FootnoteText"/>
        <w:ind w:left="567" w:hanging="567"/>
        <w:rPr>
          <w:sz w:val="24"/>
          <w:lang w:val="el-GR"/>
        </w:rPr>
      </w:pPr>
      <w:r w:rsidRPr="0071082F">
        <w:rPr>
          <w:rStyle w:val="FootnoteReference"/>
          <w:sz w:val="24"/>
          <w:lang w:val="el-GR"/>
        </w:rPr>
        <w:footnoteRef/>
      </w:r>
      <w:r w:rsidR="0071082F" w:rsidRPr="0071082F">
        <w:rPr>
          <w:sz w:val="24"/>
          <w:lang w:val="el-GR"/>
        </w:rPr>
        <w:t xml:space="preserve"> </w:t>
      </w:r>
      <w:r w:rsidR="0071082F" w:rsidRPr="0071082F">
        <w:rPr>
          <w:sz w:val="24"/>
          <w:lang w:val="el-GR"/>
        </w:rPr>
        <w:tab/>
      </w:r>
      <w:r w:rsidRPr="0071082F">
        <w:rPr>
          <w:sz w:val="24"/>
          <w:lang w:val="el-GR"/>
        </w:rPr>
        <w:t>ΕΕ L 396 της 30.12.2006, σ. 1.</w:t>
      </w:r>
    </w:p>
  </w:footnote>
  <w:footnote w:id="5">
    <w:p w:rsidR="00FE3515" w:rsidRPr="0071082F" w:rsidRDefault="00FE3515" w:rsidP="0071082F">
      <w:pPr>
        <w:pStyle w:val="FootnoteText"/>
        <w:ind w:left="567" w:hanging="567"/>
        <w:rPr>
          <w:sz w:val="24"/>
          <w:szCs w:val="24"/>
          <w:lang w:val="el-GR"/>
        </w:rPr>
      </w:pPr>
      <w:r w:rsidRPr="0071082F">
        <w:rPr>
          <w:rStyle w:val="FootnoteReference"/>
          <w:sz w:val="24"/>
          <w:lang w:val="el-GR"/>
        </w:rPr>
        <w:footnoteRef/>
      </w:r>
      <w:r w:rsidR="0071082F" w:rsidRPr="0071082F">
        <w:rPr>
          <w:sz w:val="24"/>
          <w:lang w:val="el-GR"/>
        </w:rPr>
        <w:t xml:space="preserve"> </w:t>
      </w:r>
      <w:r w:rsidR="0071082F" w:rsidRPr="0071082F">
        <w:rPr>
          <w:sz w:val="24"/>
          <w:lang w:val="el-GR"/>
        </w:rPr>
        <w:tab/>
      </w:r>
      <w:r w:rsidRPr="0071082F">
        <w:rPr>
          <w:sz w:val="24"/>
          <w:lang w:val="el-GR"/>
        </w:rPr>
        <w:t>ΕΕ L 122 της 10.5.2019, σ. 1.</w:t>
      </w:r>
    </w:p>
  </w:footnote>
  <w:footnote w:id="6">
    <w:p w:rsidR="00FE3515" w:rsidRPr="0071082F" w:rsidRDefault="00FE3515" w:rsidP="0071082F">
      <w:pPr>
        <w:pStyle w:val="FootnoteText"/>
        <w:ind w:left="567" w:hanging="567"/>
        <w:rPr>
          <w:sz w:val="24"/>
          <w:lang w:val="el-GR"/>
        </w:rPr>
      </w:pPr>
      <w:r w:rsidRPr="0071082F">
        <w:rPr>
          <w:rStyle w:val="FootnoteReference"/>
          <w:sz w:val="24"/>
          <w:lang w:val="el-GR"/>
        </w:rPr>
        <w:footnoteRef/>
      </w:r>
      <w:r w:rsidR="0071082F" w:rsidRPr="0071082F">
        <w:rPr>
          <w:sz w:val="24"/>
          <w:lang w:val="el-GR"/>
        </w:rPr>
        <w:t xml:space="preserve"> </w:t>
      </w:r>
      <w:r w:rsidR="0071082F" w:rsidRPr="0071082F">
        <w:rPr>
          <w:sz w:val="24"/>
          <w:lang w:val="el-GR"/>
        </w:rPr>
        <w:tab/>
      </w:r>
      <w:r w:rsidRPr="0071082F">
        <w:rPr>
          <w:sz w:val="24"/>
          <w:lang w:val="el-GR"/>
        </w:rPr>
        <w:t>ΕΕ C, C/2023/594, 27.10.2023.</w:t>
      </w:r>
    </w:p>
  </w:footnote>
  <w:footnote w:id="7">
    <w:p w:rsidR="00FE3515" w:rsidRPr="0071082F" w:rsidRDefault="00FE3515" w:rsidP="0071082F">
      <w:pPr>
        <w:pStyle w:val="FootnoteText"/>
        <w:ind w:left="567" w:hanging="567"/>
        <w:rPr>
          <w:sz w:val="24"/>
          <w:lang w:val="el-GR"/>
        </w:rPr>
      </w:pPr>
      <w:r w:rsidRPr="0071082F">
        <w:rPr>
          <w:rStyle w:val="FootnoteReference"/>
          <w:sz w:val="24"/>
          <w:lang w:val="el-GR"/>
        </w:rPr>
        <w:footnoteRef/>
      </w:r>
      <w:r w:rsidR="0071082F" w:rsidRPr="0071082F">
        <w:rPr>
          <w:sz w:val="24"/>
          <w:lang w:val="el-GR"/>
        </w:rPr>
        <w:t xml:space="preserve"> </w:t>
      </w:r>
      <w:r w:rsidR="0071082F" w:rsidRPr="0071082F">
        <w:rPr>
          <w:sz w:val="24"/>
          <w:lang w:val="el-GR"/>
        </w:rPr>
        <w:tab/>
      </w:r>
      <w:r w:rsidRPr="0071082F">
        <w:rPr>
          <w:sz w:val="24"/>
          <w:lang w:val="el-GR"/>
        </w:rPr>
        <w:t>ΕΕ C, C/2023/112, 12.10.2023.</w:t>
      </w:r>
    </w:p>
  </w:footnote>
  <w:footnote w:id="8">
    <w:p w:rsidR="00FE3515" w:rsidRPr="0071082F" w:rsidRDefault="00FE3515" w:rsidP="0071082F">
      <w:pPr>
        <w:pStyle w:val="FootnoteText"/>
        <w:ind w:left="567" w:hanging="567"/>
        <w:rPr>
          <w:sz w:val="24"/>
          <w:lang w:val="el-GR"/>
        </w:rPr>
      </w:pPr>
      <w:r w:rsidRPr="0071082F">
        <w:rPr>
          <w:rStyle w:val="FootnoteReference"/>
          <w:sz w:val="24"/>
          <w:lang w:val="el-GR"/>
        </w:rPr>
        <w:footnoteRef/>
      </w:r>
      <w:r w:rsidR="0071082F" w:rsidRPr="0071082F">
        <w:rPr>
          <w:sz w:val="24"/>
          <w:lang w:val="el-GR"/>
        </w:rPr>
        <w:t xml:space="preserve"> </w:t>
      </w:r>
      <w:r w:rsidR="0071082F" w:rsidRPr="0071082F">
        <w:rPr>
          <w:sz w:val="24"/>
          <w:lang w:val="el-GR"/>
        </w:rPr>
        <w:tab/>
      </w:r>
      <w:r w:rsidRPr="0071082F">
        <w:rPr>
          <w:sz w:val="24"/>
          <w:lang w:val="el-GR"/>
        </w:rPr>
        <w:t>ΕΕ L 193 της 30.7.2018, σ. 1.</w:t>
      </w:r>
    </w:p>
  </w:footnote>
  <w:footnote w:id="9">
    <w:p w:rsidR="00FE3515" w:rsidRPr="0071082F" w:rsidRDefault="00FE3515" w:rsidP="0071082F">
      <w:pPr>
        <w:pStyle w:val="FootnoteText"/>
        <w:ind w:left="567" w:hanging="567"/>
        <w:rPr>
          <w:sz w:val="24"/>
          <w:lang w:val="el-GR"/>
        </w:rPr>
      </w:pPr>
      <w:r w:rsidRPr="0071082F">
        <w:rPr>
          <w:rStyle w:val="FootnoteReference"/>
          <w:sz w:val="24"/>
          <w:lang w:val="el-GR"/>
        </w:rPr>
        <w:footnoteRef/>
      </w:r>
      <w:r w:rsidR="0071082F" w:rsidRPr="0071082F">
        <w:rPr>
          <w:sz w:val="24"/>
          <w:lang w:val="el-GR"/>
        </w:rPr>
        <w:t xml:space="preserve"> </w:t>
      </w:r>
      <w:r w:rsidR="0071082F" w:rsidRPr="0071082F">
        <w:rPr>
          <w:sz w:val="24"/>
          <w:lang w:val="el-GR"/>
        </w:rPr>
        <w:tab/>
      </w:r>
      <w:r w:rsidRPr="0071082F">
        <w:rPr>
          <w:sz w:val="24"/>
          <w:lang w:val="el-GR"/>
        </w:rPr>
        <w:t>ΕΕ L 396 της 30.12.2006, σ. 1.</w:t>
      </w:r>
    </w:p>
  </w:footnote>
  <w:footnote w:id="10">
    <w:p w:rsidR="00FE3515" w:rsidRPr="0071082F" w:rsidRDefault="00FE3515" w:rsidP="0071082F">
      <w:pPr>
        <w:pStyle w:val="FootnoteText"/>
        <w:ind w:left="567" w:hanging="567"/>
        <w:rPr>
          <w:sz w:val="24"/>
          <w:szCs w:val="24"/>
          <w:lang w:val="el-GR"/>
        </w:rPr>
      </w:pPr>
      <w:r w:rsidRPr="0071082F">
        <w:rPr>
          <w:rStyle w:val="FootnoteReference"/>
          <w:sz w:val="24"/>
          <w:lang w:val="el-GR"/>
        </w:rPr>
        <w:footnoteRef/>
      </w:r>
      <w:r w:rsidR="0071082F" w:rsidRPr="0071082F">
        <w:rPr>
          <w:sz w:val="24"/>
          <w:lang w:val="el-GR"/>
        </w:rPr>
        <w:t xml:space="preserve"> </w:t>
      </w:r>
      <w:r w:rsidR="0071082F" w:rsidRPr="0071082F">
        <w:rPr>
          <w:sz w:val="24"/>
          <w:lang w:val="el-GR"/>
        </w:rPr>
        <w:tab/>
      </w:r>
      <w:r w:rsidRPr="0071082F">
        <w:rPr>
          <w:sz w:val="24"/>
          <w:lang w:val="el-GR"/>
        </w:rPr>
        <w:t>ΕΕ L 122 της 10.5.2019, σ. 1.</w:t>
      </w:r>
    </w:p>
  </w:footnote>
  <w:footnote w:id="11">
    <w:p w:rsidR="00FE3515" w:rsidRPr="0071082F" w:rsidRDefault="00FE3515" w:rsidP="0071082F">
      <w:pPr>
        <w:pStyle w:val="FootnoteText"/>
        <w:ind w:left="567" w:hanging="567"/>
        <w:rPr>
          <w:sz w:val="24"/>
          <w:lang w:val="el-GR"/>
        </w:rPr>
      </w:pPr>
      <w:r w:rsidRPr="0071082F">
        <w:rPr>
          <w:rStyle w:val="FootnoteReference"/>
          <w:sz w:val="24"/>
          <w:lang w:val="el-GR"/>
        </w:rPr>
        <w:footnoteRef/>
      </w:r>
      <w:r w:rsidR="0071082F" w:rsidRPr="0071082F">
        <w:rPr>
          <w:sz w:val="24"/>
          <w:lang w:val="el-GR"/>
        </w:rPr>
        <w:t xml:space="preserve"> </w:t>
      </w:r>
      <w:r w:rsidR="0071082F" w:rsidRPr="0071082F">
        <w:rPr>
          <w:sz w:val="24"/>
          <w:lang w:val="el-GR"/>
        </w:rPr>
        <w:tab/>
      </w:r>
      <w:r w:rsidRPr="0071082F">
        <w:rPr>
          <w:sz w:val="24"/>
          <w:lang w:val="el-GR"/>
        </w:rPr>
        <w:t>ΕΕ C 453 της 29.11.2022, σ. 39.</w:t>
      </w:r>
    </w:p>
  </w:footnote>
  <w:footnote w:id="12">
    <w:p w:rsidR="00FE3515" w:rsidRPr="0071082F" w:rsidRDefault="00FE3515" w:rsidP="0071082F">
      <w:pPr>
        <w:pStyle w:val="FootnoteText"/>
        <w:ind w:left="567" w:hanging="567"/>
        <w:rPr>
          <w:sz w:val="24"/>
          <w:lang w:val="el-GR"/>
        </w:rPr>
      </w:pPr>
      <w:r w:rsidRPr="0071082F">
        <w:rPr>
          <w:sz w:val="24"/>
          <w:vertAlign w:val="superscript"/>
          <w:lang w:val="el-GR"/>
        </w:rPr>
        <w:footnoteRef/>
      </w:r>
      <w:r w:rsidR="0071082F" w:rsidRPr="0071082F">
        <w:rPr>
          <w:sz w:val="24"/>
          <w:lang w:val="el-GR"/>
        </w:rPr>
        <w:t xml:space="preserve"> </w:t>
      </w:r>
      <w:r w:rsidR="0071082F" w:rsidRPr="0071082F">
        <w:rPr>
          <w:sz w:val="24"/>
          <w:lang w:val="el-GR"/>
        </w:rPr>
        <w:tab/>
      </w:r>
      <w:r w:rsidRPr="0071082F">
        <w:rPr>
          <w:sz w:val="24"/>
          <w:lang w:val="el-GR"/>
        </w:rPr>
        <w:t>Κανονισμός (ΕΚ) αριθ. 1907/2006 του Ευρωπαϊκού Κοινοβουλίου και του Συμβουλίου, της 18ης Δεκεμβρίου 2006, για την καταχώριση, την αξιολόγηση, την αδειοδότηση και τους περιορισμούς των χημικών προϊόντων (REACH) και για την ίδρυση του Ευρωπαϊκού Οργανισμού Χημικών Προϊόντων καθώς και για την τροποποίηση της οδηγίας 1999/45/ΕΚ και για την κατάργηση του κανονισμού (ΕΟΚ) αριθ. 793/93 του Συμβουλίου και του κανονισμού (ΕΚ) αριθ. 1488/94 της Επιτροπής καθώς και της οδηγίας 76/769/ΕΟΚ του Συμβουλίου και των οδηγιών 91/155/ΕΟΚ, 93/67/ΕΟΚ, 93/105/ΕΚ και 2000/21/ΕΚ της Επιτροπής (ΕΕ L 396 της 30.12.2006, σ. 1).</w:t>
      </w:r>
    </w:p>
  </w:footnote>
  <w:footnote w:id="13">
    <w:p w:rsidR="00FE3515" w:rsidRPr="0071082F" w:rsidRDefault="00FE3515" w:rsidP="0071082F">
      <w:pPr>
        <w:pStyle w:val="FootnoteText"/>
        <w:ind w:left="567" w:hanging="567"/>
        <w:rPr>
          <w:sz w:val="24"/>
          <w:lang w:val="el-GR"/>
        </w:rPr>
      </w:pPr>
      <w:r w:rsidRPr="0071082F">
        <w:rPr>
          <w:rStyle w:val="FootnoteReference"/>
          <w:sz w:val="24"/>
          <w:lang w:val="el-GR"/>
        </w:rPr>
        <w:footnoteRef/>
      </w:r>
      <w:r w:rsidR="0071082F" w:rsidRPr="0071082F">
        <w:rPr>
          <w:sz w:val="24"/>
          <w:lang w:val="el-GR"/>
        </w:rPr>
        <w:t xml:space="preserve"> </w:t>
      </w:r>
      <w:r w:rsidR="0071082F" w:rsidRPr="0071082F">
        <w:rPr>
          <w:sz w:val="24"/>
          <w:lang w:val="el-GR"/>
        </w:rPr>
        <w:tab/>
      </w:r>
      <w:r w:rsidRPr="0071082F">
        <w:rPr>
          <w:sz w:val="24"/>
          <w:lang w:val="el-GR"/>
        </w:rPr>
        <w:t>Κανονισμός (ΕΚ) αριθ. 1272/2008 του Ευρωπαϊκού Κοινοβουλίου και του Συμβουλίου, της 16ης Δεκεμβρίου 2008, για την ταξινόμηση, την επισήμανση και τη συσκευασία των ουσιών και των μειγμάτων, την τροποποίηση και την κατάργηση των οδηγιών 67/548/EΟΚ και 1999/45/EΚ και την τροποποίηση του κανονισμού (EΚ) αριθ. 1907/2006 (ΕΕ L 353 της 31.12.2008, σ. 1).</w:t>
      </w:r>
    </w:p>
  </w:footnote>
  <w:footnote w:id="14">
    <w:p w:rsidR="00FE3515" w:rsidRPr="0071082F" w:rsidRDefault="00FE3515" w:rsidP="0071082F">
      <w:pPr>
        <w:pStyle w:val="FootnoteText"/>
        <w:ind w:left="567" w:hanging="567"/>
        <w:rPr>
          <w:sz w:val="24"/>
          <w:lang w:val="el-GR"/>
        </w:rPr>
      </w:pPr>
      <w:r w:rsidRPr="0071082F">
        <w:rPr>
          <w:rStyle w:val="FootnoteReference"/>
          <w:sz w:val="24"/>
          <w:lang w:val="el-GR"/>
        </w:rPr>
        <w:footnoteRef/>
      </w:r>
      <w:r w:rsidR="0071082F" w:rsidRPr="0071082F">
        <w:rPr>
          <w:sz w:val="24"/>
          <w:lang w:val="el-GR"/>
        </w:rPr>
        <w:t xml:space="preserve"> </w:t>
      </w:r>
      <w:r w:rsidR="0071082F" w:rsidRPr="0071082F">
        <w:rPr>
          <w:sz w:val="24"/>
          <w:lang w:val="el-GR"/>
        </w:rPr>
        <w:tab/>
      </w:r>
      <w:r w:rsidRPr="0071082F">
        <w:rPr>
          <w:sz w:val="24"/>
          <w:lang w:val="el-GR"/>
        </w:rPr>
        <w:t xml:space="preserve">Κανονισμός (ΕΕ) αριθ. 528/2012 του Ευρωπαϊκού Κοινοβουλίου και του Συμβουλίου, της 22ας Μαΐου 2012, σχετικά με τη διάθεση στην αγορά και τη χρήση </w:t>
      </w:r>
      <w:proofErr w:type="spellStart"/>
      <w:r w:rsidRPr="0071082F">
        <w:rPr>
          <w:sz w:val="24"/>
          <w:lang w:val="el-GR"/>
        </w:rPr>
        <w:t>βιοκτόνων</w:t>
      </w:r>
      <w:proofErr w:type="spellEnd"/>
      <w:r w:rsidRPr="0071082F">
        <w:rPr>
          <w:sz w:val="24"/>
          <w:lang w:val="el-GR"/>
        </w:rPr>
        <w:t xml:space="preserve"> (ΕΕ L 167 της 27.6.2012, σ. 1).</w:t>
      </w:r>
    </w:p>
  </w:footnote>
  <w:footnote w:id="15">
    <w:p w:rsidR="00FE3515" w:rsidRPr="0071082F" w:rsidRDefault="00FE3515" w:rsidP="0071082F">
      <w:pPr>
        <w:pStyle w:val="FootnoteText"/>
        <w:ind w:left="567" w:hanging="567"/>
        <w:rPr>
          <w:sz w:val="24"/>
          <w:lang w:val="el-GR"/>
        </w:rPr>
      </w:pPr>
      <w:r w:rsidRPr="0071082F">
        <w:rPr>
          <w:rStyle w:val="FootnoteReference"/>
          <w:sz w:val="24"/>
          <w:lang w:val="el-GR"/>
        </w:rPr>
        <w:footnoteRef/>
      </w:r>
      <w:r w:rsidR="0071082F" w:rsidRPr="0071082F">
        <w:rPr>
          <w:sz w:val="24"/>
          <w:lang w:val="el-GR"/>
        </w:rPr>
        <w:t xml:space="preserve"> </w:t>
      </w:r>
      <w:r w:rsidR="0071082F" w:rsidRPr="0071082F">
        <w:rPr>
          <w:sz w:val="24"/>
          <w:lang w:val="el-GR"/>
        </w:rPr>
        <w:tab/>
      </w:r>
      <w:r w:rsidRPr="0071082F">
        <w:rPr>
          <w:sz w:val="24"/>
          <w:lang w:val="el-GR"/>
        </w:rPr>
        <w:t xml:space="preserve">Κανονισμός (ΕΚ) αριθ. 1107/2009 του Ευρωπαϊκού Κοινοβουλίου και του Συμβουλίου, της 21ης Οκτωβρίου 2009, σχετικά με τη διάθεση </w:t>
      </w:r>
      <w:proofErr w:type="spellStart"/>
      <w:r w:rsidRPr="0071082F">
        <w:rPr>
          <w:sz w:val="24"/>
          <w:lang w:val="el-GR"/>
        </w:rPr>
        <w:t>φυτοπροστατευτικών</w:t>
      </w:r>
      <w:proofErr w:type="spellEnd"/>
      <w:r w:rsidRPr="0071082F">
        <w:rPr>
          <w:sz w:val="24"/>
          <w:lang w:val="el-GR"/>
        </w:rPr>
        <w:t xml:space="preserve"> προϊόντων στην αγορά και την κατάργηση των οδηγιών 79/117/ΕΟΚ και 91/414/ΕΟΚ του Συμβουλίου (ΕΕ L 309 της 24.11.2009, σ. 1).</w:t>
      </w:r>
    </w:p>
  </w:footnote>
  <w:footnote w:id="16">
    <w:p w:rsidR="00FE3515" w:rsidRPr="0071082F" w:rsidRDefault="00FE3515" w:rsidP="0071082F">
      <w:pPr>
        <w:pStyle w:val="FootnoteText"/>
        <w:ind w:left="567" w:hanging="567"/>
        <w:rPr>
          <w:sz w:val="24"/>
          <w:lang w:val="el-GR"/>
        </w:rPr>
      </w:pPr>
      <w:r w:rsidRPr="0071082F">
        <w:rPr>
          <w:rStyle w:val="FootnoteReference"/>
          <w:sz w:val="24"/>
          <w:lang w:val="el-GR"/>
        </w:rPr>
        <w:footnoteRef/>
      </w:r>
      <w:r w:rsidR="0071082F" w:rsidRPr="0071082F">
        <w:rPr>
          <w:sz w:val="24"/>
          <w:lang w:val="el-GR"/>
        </w:rPr>
        <w:t xml:space="preserve"> </w:t>
      </w:r>
      <w:r w:rsidR="0071082F" w:rsidRPr="0071082F">
        <w:rPr>
          <w:sz w:val="24"/>
          <w:lang w:val="el-GR"/>
        </w:rPr>
        <w:tab/>
      </w:r>
      <w:r w:rsidRPr="0071082F">
        <w:rPr>
          <w:sz w:val="24"/>
          <w:lang w:val="el-GR"/>
        </w:rPr>
        <w:t>Κείμενα που εγκρίθηκαν, P9_TA(2024)0</w:t>
      </w:r>
      <w:r w:rsidR="00BC2E70">
        <w:rPr>
          <w:sz w:val="24"/>
          <w:lang w:val="el-GR"/>
        </w:rPr>
        <w:t>280</w:t>
      </w:r>
      <w:r w:rsidRPr="0071082F">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082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4953" w:rsidRDefault="00064002" w:rsidP="00F149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08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23437EA1"/>
    <w:multiLevelType w:val="hybridMultilevel"/>
    <w:tmpl w:val="0C125E80"/>
    <w:lvl w:ilvl="0" w:tplc="52645CD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A35B80"/>
    <w:multiLevelType w:val="hybridMultilevel"/>
    <w:tmpl w:val="92D6A1A4"/>
    <w:lvl w:ilvl="0" w:tplc="52645CD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4B0FD3"/>
    <w:multiLevelType w:val="multilevel"/>
    <w:tmpl w:val="7BD40C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B6872B1"/>
    <w:multiLevelType w:val="hybridMultilevel"/>
    <w:tmpl w:val="07F8F962"/>
    <w:lvl w:ilvl="0" w:tplc="407E86CE">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5"/>
  </w:num>
  <w:num w:numId="3">
    <w:abstractNumId w:val="1"/>
  </w:num>
  <w:num w:numId="4">
    <w:abstractNumId w:val="2"/>
  </w:num>
  <w:num w:numId="5">
    <w:abstractNumId w:val="4"/>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5/2024"/>
    <w:docVar w:name="dvlangue" w:val="EL"/>
    <w:docVar w:name="dvnumam" w:val="0"/>
    <w:docVar w:name="dvpe" w:val="753.516"/>
    <w:docVar w:name="dvrapporteur" w:val="Εισηγητής: "/>
    <w:docVar w:name="dvtitre" w:val="Απόφαση του Ευρωπαϊκού Κοινοβουλίου σχετικά με την απαλλαγή όσον αφορά την εκτέλεση του προϋπολογισμού του Ευρωπαϊκού Οργανισμού Χημικών Προϊόντων για το οικονομικό έτος 2022(2023/2148(DEC))"/>
  </w:docVars>
  <w:rsids>
    <w:rsidRoot w:val="004E696F"/>
    <w:rsid w:val="00002272"/>
    <w:rsid w:val="00064002"/>
    <w:rsid w:val="000677B9"/>
    <w:rsid w:val="000831BA"/>
    <w:rsid w:val="00093184"/>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696F"/>
    <w:rsid w:val="0050519A"/>
    <w:rsid w:val="005072A1"/>
    <w:rsid w:val="00514517"/>
    <w:rsid w:val="00545827"/>
    <w:rsid w:val="00560270"/>
    <w:rsid w:val="005C2568"/>
    <w:rsid w:val="006037C0"/>
    <w:rsid w:val="006631B6"/>
    <w:rsid w:val="00680577"/>
    <w:rsid w:val="006F74FA"/>
    <w:rsid w:val="0071082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015D"/>
    <w:rsid w:val="00A43E52"/>
    <w:rsid w:val="00A4678D"/>
    <w:rsid w:val="00A778C7"/>
    <w:rsid w:val="00AB441E"/>
    <w:rsid w:val="00AB6293"/>
    <w:rsid w:val="00AE0928"/>
    <w:rsid w:val="00AF3B82"/>
    <w:rsid w:val="00B12E95"/>
    <w:rsid w:val="00B22876"/>
    <w:rsid w:val="00B558F0"/>
    <w:rsid w:val="00BC2E7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53"/>
    <w:rsid w:val="00F149E9"/>
    <w:rsid w:val="00F201FA"/>
    <w:rsid w:val="00F5134D"/>
    <w:rsid w:val="00F74202"/>
    <w:rsid w:val="00F87713"/>
    <w:rsid w:val="00FB4360"/>
    <w:rsid w:val="00FD0C70"/>
    <w:rsid w:val="00FE351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5022CD"/>
  <w15:chartTrackingRefBased/>
  <w15:docId w15:val="{D848D529-E82C-4857-AA61-1008A2322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E351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E3515"/>
    <w:pPr>
      <w:spacing w:before="480" w:after="240"/>
    </w:pPr>
  </w:style>
  <w:style w:type="paragraph" w:customStyle="1" w:styleId="PageHeading">
    <w:name w:val="PageHeading"/>
    <w:basedOn w:val="Normal"/>
    <w:rsid w:val="00FE3515"/>
    <w:pPr>
      <w:keepNext/>
      <w:spacing w:after="480"/>
      <w:jc w:val="center"/>
    </w:pPr>
    <w:rPr>
      <w:rFonts w:ascii="Arial" w:hAnsi="Arial" w:cs="Arial"/>
      <w:b/>
    </w:rPr>
  </w:style>
  <w:style w:type="paragraph" w:customStyle="1" w:styleId="NormalBold">
    <w:name w:val="NormalBold"/>
    <w:basedOn w:val="Normal"/>
    <w:rsid w:val="00FE3515"/>
    <w:rPr>
      <w:b/>
    </w:rPr>
  </w:style>
  <w:style w:type="paragraph" w:customStyle="1" w:styleId="NormalHanging12a">
    <w:name w:val="NormalHanging12a"/>
    <w:basedOn w:val="Normal"/>
    <w:link w:val="NormalHanging12aChar"/>
    <w:rsid w:val="00FE3515"/>
    <w:pPr>
      <w:spacing w:after="240"/>
      <w:ind w:left="567" w:hanging="567"/>
    </w:pPr>
  </w:style>
  <w:style w:type="paragraph" w:customStyle="1" w:styleId="NormalCenter12a">
    <w:name w:val="NormalCenter12a"/>
    <w:basedOn w:val="Normal"/>
    <w:rsid w:val="00FE3515"/>
    <w:pPr>
      <w:spacing w:after="240"/>
      <w:jc w:val="center"/>
    </w:pPr>
  </w:style>
  <w:style w:type="paragraph" w:styleId="Header">
    <w:name w:val="header"/>
    <w:basedOn w:val="Normal"/>
    <w:link w:val="HeaderChar"/>
    <w:rsid w:val="00FE3515"/>
    <w:pPr>
      <w:tabs>
        <w:tab w:val="center" w:pos="4513"/>
        <w:tab w:val="right" w:pos="9026"/>
      </w:tabs>
    </w:pPr>
  </w:style>
  <w:style w:type="character" w:customStyle="1" w:styleId="HeaderChar">
    <w:name w:val="Header Char"/>
    <w:basedOn w:val="DefaultParagraphFont"/>
    <w:link w:val="Header"/>
    <w:rsid w:val="00FE3515"/>
    <w:rPr>
      <w:sz w:val="24"/>
      <w:lang w:val="el-GR"/>
    </w:rPr>
  </w:style>
  <w:style w:type="paragraph" w:customStyle="1" w:styleId="EPFooter">
    <w:name w:val="EPFooter"/>
    <w:basedOn w:val="Normal"/>
    <w:rsid w:val="00FE3515"/>
    <w:pPr>
      <w:tabs>
        <w:tab w:val="center" w:pos="4535"/>
        <w:tab w:val="right" w:pos="9071"/>
      </w:tabs>
      <w:spacing w:before="240" w:after="240"/>
    </w:pPr>
    <w:rPr>
      <w:color w:val="010000"/>
      <w:sz w:val="22"/>
    </w:rPr>
  </w:style>
  <w:style w:type="paragraph" w:customStyle="1" w:styleId="Normal12Hanging">
    <w:name w:val="Normal12Hanging"/>
    <w:basedOn w:val="Normal"/>
    <w:link w:val="Normal12HangingChar"/>
    <w:rsid w:val="00FE3515"/>
    <w:pPr>
      <w:spacing w:after="240"/>
      <w:ind w:left="567" w:hanging="567"/>
    </w:pPr>
  </w:style>
  <w:style w:type="character" w:customStyle="1" w:styleId="NormalHanging12aChar">
    <w:name w:val="NormalHanging12a Char"/>
    <w:link w:val="NormalHanging12a"/>
    <w:locked/>
    <w:rsid w:val="00FE3515"/>
    <w:rPr>
      <w:sz w:val="24"/>
      <w:lang w:val="el-GR"/>
    </w:rPr>
  </w:style>
  <w:style w:type="character" w:customStyle="1" w:styleId="Normal12HangingChar">
    <w:name w:val="Normal12Hanging Char"/>
    <w:link w:val="Normal12Hanging"/>
    <w:locked/>
    <w:rsid w:val="00FE3515"/>
    <w:rPr>
      <w:sz w:val="24"/>
      <w:lang w:val="el-GR"/>
    </w:rPr>
  </w:style>
  <w:style w:type="paragraph" w:styleId="Footer">
    <w:name w:val="footer"/>
    <w:basedOn w:val="Normal"/>
    <w:link w:val="FooterChar"/>
    <w:rsid w:val="00F14953"/>
    <w:pPr>
      <w:tabs>
        <w:tab w:val="center" w:pos="4513"/>
        <w:tab w:val="right" w:pos="9026"/>
      </w:tabs>
    </w:pPr>
  </w:style>
  <w:style w:type="character" w:customStyle="1" w:styleId="FooterChar">
    <w:name w:val="Footer Char"/>
    <w:basedOn w:val="DefaultParagraphFont"/>
    <w:link w:val="Footer"/>
    <w:rsid w:val="00F14953"/>
    <w:rPr>
      <w:sz w:val="24"/>
      <w:lang w:val="el-GR"/>
    </w:rPr>
  </w:style>
  <w:style w:type="paragraph" w:styleId="ListParagraph">
    <w:name w:val="List Paragraph"/>
    <w:basedOn w:val="Normal"/>
    <w:uiPriority w:val="34"/>
    <w:qFormat/>
    <w:rsid w:val="00F14953"/>
    <w:pPr>
      <w:ind w:left="720"/>
      <w:contextualSpacing/>
    </w:pPr>
  </w:style>
  <w:style w:type="paragraph" w:styleId="BalloonText">
    <w:name w:val="Balloon Text"/>
    <w:basedOn w:val="Normal"/>
    <w:link w:val="BalloonTextChar"/>
    <w:rsid w:val="00F201FA"/>
    <w:rPr>
      <w:rFonts w:ascii="Segoe UI" w:hAnsi="Segoe UI" w:cs="Segoe UI"/>
      <w:sz w:val="18"/>
      <w:szCs w:val="18"/>
    </w:rPr>
  </w:style>
  <w:style w:type="character" w:customStyle="1" w:styleId="BalloonTextChar">
    <w:name w:val="Balloon Text Char"/>
    <w:basedOn w:val="DefaultParagraphFont"/>
    <w:link w:val="BalloonText"/>
    <w:rsid w:val="00F201FA"/>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2E684-05C8-412D-9310-83769CE57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3940</Words>
  <Characters>23758</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2024-05-15T09:27:00Z</dcterms:created>
  <dcterms:modified xsi:type="dcterms:W3CDTF">2024-05-15T09:27:00Z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P9_TA(2024)0258_</vt:lpwstr>
  </property>
  <property fmtid="{D5CDD505-2E9C-101B-9397-08002B2CF9AE}" pid="4" name="&lt;Type&gt;">
    <vt:lpwstr>RR</vt:lpwstr>
  </property>
</Properties>
</file>