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10F3" w:rsidTr="0010095E">
        <w:trPr>
          <w:trHeight w:hRule="exact" w:val="1418"/>
        </w:trPr>
        <w:tc>
          <w:tcPr>
            <w:tcW w:w="6804" w:type="dxa"/>
            <w:shd w:val="clear" w:color="auto" w:fill="auto"/>
            <w:vAlign w:val="center"/>
          </w:tcPr>
          <w:p w:rsidR="00751A4A" w:rsidRPr="001510F3" w:rsidRDefault="007E7B21" w:rsidP="0010095E">
            <w:pPr>
              <w:pStyle w:val="EPName"/>
            </w:pPr>
            <w:r w:rsidRPr="001510F3">
              <w:t>Europos Parlamentas</w:t>
            </w:r>
          </w:p>
          <w:p w:rsidR="00751A4A" w:rsidRPr="001510F3" w:rsidRDefault="00817416" w:rsidP="00756632">
            <w:pPr>
              <w:pStyle w:val="EPTerm"/>
              <w:rPr>
                <w:rStyle w:val="HideTWBExt"/>
                <w:noProof w:val="0"/>
                <w:vanish w:val="0"/>
                <w:color w:val="auto"/>
              </w:rPr>
            </w:pPr>
            <w:r w:rsidRPr="001510F3">
              <w:t>2019-2024</w:t>
            </w:r>
          </w:p>
        </w:tc>
        <w:tc>
          <w:tcPr>
            <w:tcW w:w="2268" w:type="dxa"/>
            <w:shd w:val="clear" w:color="auto" w:fill="auto"/>
          </w:tcPr>
          <w:p w:rsidR="00751A4A" w:rsidRPr="001510F3" w:rsidRDefault="00187494" w:rsidP="0010095E">
            <w:pPr>
              <w:pStyle w:val="EPLogo"/>
            </w:pPr>
            <w:r w:rsidRPr="001510F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10F3" w:rsidRDefault="00D058B8" w:rsidP="004C5D52">
      <w:pPr>
        <w:pStyle w:val="LineTop"/>
      </w:pPr>
    </w:p>
    <w:p w:rsidR="00680577" w:rsidRPr="001510F3" w:rsidRDefault="007E7B21" w:rsidP="00680577">
      <w:pPr>
        <w:pStyle w:val="EPBodyTA1"/>
      </w:pPr>
      <w:r w:rsidRPr="001510F3">
        <w:t>PRIIMTI TEKSTAI</w:t>
      </w:r>
    </w:p>
    <w:p w:rsidR="00D058B8" w:rsidRPr="001510F3" w:rsidRDefault="00D058B8" w:rsidP="00D058B8">
      <w:pPr>
        <w:pStyle w:val="LineBottom"/>
      </w:pPr>
    </w:p>
    <w:p w:rsidR="007E7B21" w:rsidRPr="001510F3" w:rsidRDefault="007E7B21" w:rsidP="007E7B21">
      <w:pPr>
        <w:pStyle w:val="ATHeading1"/>
      </w:pPr>
      <w:bookmarkStart w:id="0" w:name="TANumber"/>
      <w:r w:rsidRPr="001510F3">
        <w:t>P9_TA(2024)0</w:t>
      </w:r>
      <w:r w:rsidR="00C36382" w:rsidRPr="001510F3">
        <w:t>258</w:t>
      </w:r>
      <w:bookmarkEnd w:id="0"/>
    </w:p>
    <w:p w:rsidR="007E7B21" w:rsidRPr="001510F3" w:rsidRDefault="007E7B21" w:rsidP="007E7B21">
      <w:pPr>
        <w:pStyle w:val="ATHeading2"/>
      </w:pPr>
      <w:bookmarkStart w:id="1" w:name="title"/>
      <w:r w:rsidRPr="001510F3">
        <w:t>2022 m. biudžeto įvykdymo patvirtinimas: Europos cheminių medžiagų agentūra</w:t>
      </w:r>
      <w:bookmarkEnd w:id="1"/>
    </w:p>
    <w:p w:rsidR="007E7B21" w:rsidRPr="001510F3" w:rsidRDefault="007E7B21" w:rsidP="007E7B21">
      <w:pPr>
        <w:rPr>
          <w:i/>
          <w:vanish/>
        </w:rPr>
      </w:pPr>
      <w:r w:rsidRPr="001510F3">
        <w:rPr>
          <w:i/>
        </w:rPr>
        <w:fldChar w:fldCharType="begin"/>
      </w:r>
      <w:r w:rsidRPr="001510F3">
        <w:rPr>
          <w:i/>
        </w:rPr>
        <w:instrText xml:space="preserve"> TC"(</w:instrText>
      </w:r>
      <w:bookmarkStart w:id="2" w:name="DocNumber"/>
      <w:r w:rsidRPr="001510F3">
        <w:rPr>
          <w:i/>
        </w:rPr>
        <w:instrText>A9-0135/2024</w:instrText>
      </w:r>
      <w:bookmarkEnd w:id="2"/>
      <w:r w:rsidRPr="001510F3">
        <w:rPr>
          <w:i/>
        </w:rPr>
        <w:instrText xml:space="preserve"> - Pranešėjas: Petri Sarvamaa)"\l3 \n&gt; \* MERGEFORMAT </w:instrText>
      </w:r>
      <w:r w:rsidRPr="001510F3">
        <w:rPr>
          <w:i/>
        </w:rPr>
        <w:fldChar w:fldCharType="end"/>
      </w:r>
    </w:p>
    <w:p w:rsidR="007E7B21" w:rsidRPr="001510F3" w:rsidRDefault="007E7B21" w:rsidP="007E7B21">
      <w:pPr>
        <w:rPr>
          <w:vanish/>
        </w:rPr>
      </w:pPr>
      <w:bookmarkStart w:id="3" w:name="Commission"/>
      <w:r w:rsidRPr="001510F3">
        <w:rPr>
          <w:vanish/>
        </w:rPr>
        <w:t>Biudžeto kontrolės komitetas</w:t>
      </w:r>
      <w:bookmarkEnd w:id="3"/>
    </w:p>
    <w:p w:rsidR="007E7B21" w:rsidRPr="001510F3" w:rsidRDefault="007E7B21" w:rsidP="007E7B21">
      <w:pPr>
        <w:rPr>
          <w:vanish/>
        </w:rPr>
      </w:pPr>
      <w:bookmarkStart w:id="4" w:name="PE"/>
      <w:r w:rsidRPr="001510F3">
        <w:rPr>
          <w:vanish/>
        </w:rPr>
        <w:t>PE753.516</w:t>
      </w:r>
      <w:bookmarkEnd w:id="4"/>
    </w:p>
    <w:p w:rsidR="007E7B21" w:rsidRPr="001510F3" w:rsidRDefault="007E7B21" w:rsidP="00E0078A">
      <w:pPr>
        <w:pStyle w:val="ATHeading3"/>
      </w:pPr>
      <w:bookmarkStart w:id="5" w:name="Sujet"/>
      <w:r w:rsidRPr="001510F3">
        <w:t>1.</w:t>
      </w:r>
      <w:r w:rsidR="001718AC" w:rsidRPr="001510F3">
        <w:t xml:space="preserve"> </w:t>
      </w:r>
      <w:r w:rsidRPr="001510F3">
        <w:t xml:space="preserve">2024 m. </w:t>
      </w:r>
      <w:r w:rsidR="00E0078A" w:rsidRPr="001510F3">
        <w:t>balandžio</w:t>
      </w:r>
      <w:r w:rsidRPr="001510F3">
        <w:t xml:space="preserve"> 11 d. Europos Parlamento sprendimas dėl Europos cheminių medžiagų agentūros 2022 finansinių metų biudžeto įvykdymo patvirtinimo</w:t>
      </w:r>
      <w:bookmarkEnd w:id="5"/>
      <w:r w:rsidRPr="001510F3">
        <w:t xml:space="preserve"> </w:t>
      </w:r>
      <w:bookmarkStart w:id="6" w:name="References"/>
      <w:r w:rsidRPr="001510F3">
        <w:t>(2023/2148(DEC))</w:t>
      </w:r>
      <w:bookmarkEnd w:id="6"/>
    </w:p>
    <w:p w:rsidR="007D35AF" w:rsidRPr="001510F3" w:rsidRDefault="007D35AF" w:rsidP="007D35AF">
      <w:pPr>
        <w:pStyle w:val="EPComma"/>
      </w:pPr>
      <w:bookmarkStart w:id="7" w:name="TextBodyBegin"/>
      <w:bookmarkEnd w:id="7"/>
      <w:r w:rsidRPr="001510F3">
        <w:rPr>
          <w:i/>
        </w:rPr>
        <w:t>Europos Parlamentas</w:t>
      </w:r>
      <w:r w:rsidRPr="001510F3">
        <w:t>,</w:t>
      </w:r>
    </w:p>
    <w:p w:rsidR="007D35AF" w:rsidRPr="001510F3" w:rsidRDefault="007D35AF" w:rsidP="007D35AF">
      <w:pPr>
        <w:pStyle w:val="NormalHanging12a"/>
      </w:pPr>
      <w:r w:rsidRPr="001510F3">
        <w:t>–</w:t>
      </w:r>
      <w:r w:rsidRPr="001510F3">
        <w:tab/>
        <w:t>atsižvelgdamas į Europos cheminių medžiagų agentūros 2022 finansinių metų galutines metines ataskaitas,</w:t>
      </w:r>
    </w:p>
    <w:p w:rsidR="007D35AF" w:rsidRPr="001510F3" w:rsidRDefault="007D35AF" w:rsidP="007D35AF">
      <w:pPr>
        <w:pStyle w:val="NormalHanging12a"/>
      </w:pPr>
      <w:r w:rsidRPr="001510F3">
        <w:t>–</w:t>
      </w:r>
      <w:r w:rsidRPr="001510F3">
        <w:tab/>
        <w:t>atsižvelgdamas į Audito Rūmų 2022 finansinių metų metinę ataskaitą dėl ES agentūrų kartu su agentūrų atsakymais</w:t>
      </w:r>
      <w:r w:rsidRPr="001510F3">
        <w:rPr>
          <w:rStyle w:val="FootnoteReference"/>
        </w:rPr>
        <w:footnoteReference w:id="1"/>
      </w:r>
      <w:r w:rsidRPr="001510F3">
        <w:t>,</w:t>
      </w:r>
    </w:p>
    <w:p w:rsidR="007D35AF" w:rsidRPr="001510F3" w:rsidRDefault="007D35AF" w:rsidP="007D35AF">
      <w:pPr>
        <w:pStyle w:val="NormalHanging12a"/>
      </w:pPr>
      <w:r w:rsidRPr="001510F3">
        <w:t>–</w:t>
      </w:r>
      <w:r w:rsidRPr="001510F3">
        <w:tab/>
        <w:t>atsižvelgdamas į Audito Rūmų pagal Sutarties dėl Europos Sąjungos veikimo 287 straipsnį pateiktą 2022 finansinių metų sąskaitų patikimumo ir pagal jas atliktų operacijų teisėtumo ir tvarkingumo patikinimo pareiškimą</w:t>
      </w:r>
      <w:r w:rsidRPr="001510F3">
        <w:rPr>
          <w:rStyle w:val="FootnoteReference"/>
        </w:rPr>
        <w:footnoteReference w:id="2"/>
      </w:r>
      <w:r w:rsidRPr="001510F3">
        <w:t>,</w:t>
      </w:r>
    </w:p>
    <w:p w:rsidR="007D35AF" w:rsidRPr="001510F3" w:rsidRDefault="007D35AF" w:rsidP="007D35AF">
      <w:pPr>
        <w:pStyle w:val="NormalHanging12a"/>
      </w:pPr>
      <w:r w:rsidRPr="001510F3">
        <w:t>–</w:t>
      </w:r>
      <w:r w:rsidRPr="001510F3">
        <w:tab/>
        <w:t xml:space="preserve">atsižvelgdamas į </w:t>
      </w:r>
      <w:r w:rsidR="006C6126" w:rsidRPr="001510F3">
        <w:t xml:space="preserve">2024 m. vasario 22 d. </w:t>
      </w:r>
      <w:r w:rsidRPr="001510F3">
        <w:t>Tarybos rekomendaciją dėl patvirtinimo, kad Agentūra įvykdė 2022 finansinių metų biudžetą (</w:t>
      </w:r>
      <w:r w:rsidR="00376CE5" w:rsidRPr="001510F3">
        <w:t>06180</w:t>
      </w:r>
      <w:r w:rsidRPr="001510F3">
        <w:t>/2024 – C9</w:t>
      </w:r>
      <w:r w:rsidRPr="001510F3">
        <w:noBreakHyphen/>
        <w:t>0</w:t>
      </w:r>
      <w:r w:rsidR="00376CE5" w:rsidRPr="001510F3">
        <w:t>086</w:t>
      </w:r>
      <w:r w:rsidRPr="001510F3">
        <w:t>/2024),</w:t>
      </w:r>
    </w:p>
    <w:p w:rsidR="007D35AF" w:rsidRPr="001510F3" w:rsidRDefault="007D35AF" w:rsidP="007D35AF">
      <w:pPr>
        <w:pStyle w:val="NormalHanging12a"/>
      </w:pPr>
      <w:r w:rsidRPr="001510F3">
        <w:t>–</w:t>
      </w:r>
      <w:r w:rsidRPr="001510F3">
        <w:tab/>
        <w:t>atsižvelgdamas į Sutarties dėl Europos Sąjungos veikimo 319 straipsnį,</w:t>
      </w:r>
    </w:p>
    <w:p w:rsidR="007D35AF" w:rsidRPr="001510F3" w:rsidRDefault="007D35AF" w:rsidP="007D35AF">
      <w:pPr>
        <w:pStyle w:val="NormalHanging12a"/>
      </w:pPr>
      <w:r w:rsidRPr="001510F3">
        <w:t>–</w:t>
      </w:r>
      <w:r w:rsidRPr="001510F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1510F3">
        <w:rPr>
          <w:rStyle w:val="FootnoteReference"/>
        </w:rPr>
        <w:footnoteReference w:id="3"/>
      </w:r>
      <w:r w:rsidRPr="001510F3">
        <w:t>, ypač į jo 70 straipsnį,</w:t>
      </w:r>
    </w:p>
    <w:p w:rsidR="007D35AF" w:rsidRPr="001510F3" w:rsidRDefault="007D35AF" w:rsidP="007D35AF">
      <w:pPr>
        <w:pStyle w:val="NormalHanging12a"/>
      </w:pPr>
      <w:r w:rsidRPr="001510F3">
        <w:t>–</w:t>
      </w:r>
      <w:r w:rsidRPr="001510F3">
        <w:tab/>
        <w:t xml:space="preserve">atsižvelgdamas į 2006 m. gruodžio 18 d. Europos Parlamento ir Tarybos reglamentą </w:t>
      </w:r>
      <w:r w:rsidRPr="001510F3">
        <w:lastRenderedPageBreak/>
        <w:t>(EB) Nr. 1907/2006 dėl cheminių medžiagų registracijos, įvertinimo, autorizacijos ir apribojimų (REACH), įsteigiantį Europos cheminių medžiagų agentūrą, iš dalies keičiantį Direktyvą 1999/45/EB bei panaikinantį Tarybos reglamentą (EEB) Nr. 793/93, Komisijos reglamentą (EB) Nr. 1488/94, Tarybos direktyvą 76/769/EEB ir Komisijos direktyvas 91/155/EEB, 93/67/EEB, 93/105/EB bei 2000/21/EB</w:t>
      </w:r>
      <w:r w:rsidRPr="001510F3">
        <w:rPr>
          <w:rStyle w:val="FootnoteReference"/>
        </w:rPr>
        <w:footnoteReference w:id="4"/>
      </w:r>
      <w:r w:rsidRPr="001510F3">
        <w:t>, ypač į jo 97 straipsnį,</w:t>
      </w:r>
    </w:p>
    <w:p w:rsidR="007D35AF" w:rsidRPr="001510F3" w:rsidRDefault="007D35AF" w:rsidP="007D35AF">
      <w:pPr>
        <w:pStyle w:val="NormalHanging12a"/>
      </w:pPr>
      <w:r w:rsidRPr="001510F3">
        <w:t>–</w:t>
      </w:r>
      <w:r w:rsidRPr="001510F3">
        <w:tab/>
        <w:t>atsižvelgdamas į 2018 m. gruodžio 18 d. Komisijos deleguotąjį reglamentą (ES) 2019/715 dėl finansinio pagrindų reglamento, taikomo organams, įsteigtiems pagal SESV ir Euratomo sutartį ir nurodytiems Europos Parlamento ir Tarybos reglamento (ES, Euratomas) 2018/10467 70 straipsnyje</w:t>
      </w:r>
      <w:r w:rsidRPr="001510F3">
        <w:rPr>
          <w:rStyle w:val="FootnoteReference"/>
        </w:rPr>
        <w:footnoteReference w:id="5"/>
      </w:r>
      <w:r w:rsidRPr="001510F3">
        <w:t>, ypač į jo 105 straipsnį,</w:t>
      </w:r>
    </w:p>
    <w:p w:rsidR="007D35AF" w:rsidRPr="001510F3" w:rsidRDefault="007D35AF" w:rsidP="007D35AF">
      <w:pPr>
        <w:pStyle w:val="NormalHanging12a"/>
      </w:pPr>
      <w:r w:rsidRPr="001510F3">
        <w:t>–</w:t>
      </w:r>
      <w:r w:rsidRPr="001510F3">
        <w:tab/>
        <w:t>atsižvelgdamas į Darbo tvarkos taisyklių 100 straipsnį ir V priedą,</w:t>
      </w:r>
    </w:p>
    <w:p w:rsidR="007D35AF" w:rsidRPr="001510F3" w:rsidRDefault="007D35AF" w:rsidP="007D35AF">
      <w:pPr>
        <w:pStyle w:val="NormalHanging12a"/>
      </w:pPr>
      <w:r w:rsidRPr="001510F3">
        <w:t>–</w:t>
      </w:r>
      <w:r w:rsidRPr="001510F3">
        <w:tab/>
        <w:t>atsižvelgdamas į Aplinkos, visuomenės sveikatos ir maisto saugos komiteto nuomonę,</w:t>
      </w:r>
    </w:p>
    <w:p w:rsidR="007D35AF" w:rsidRPr="001510F3" w:rsidRDefault="007D35AF" w:rsidP="007D35AF">
      <w:pPr>
        <w:pStyle w:val="NormalHanging12a"/>
      </w:pPr>
      <w:r w:rsidRPr="001510F3">
        <w:t>–</w:t>
      </w:r>
      <w:r w:rsidRPr="001510F3">
        <w:tab/>
        <w:t>atsižvelgdamas į Biudžeto kontrolės komiteto pranešimą (A9-0135/2024),</w:t>
      </w:r>
    </w:p>
    <w:p w:rsidR="007D35AF" w:rsidRPr="001510F3" w:rsidRDefault="007D35AF" w:rsidP="007D35AF">
      <w:pPr>
        <w:pStyle w:val="NormalHanging12a"/>
      </w:pPr>
      <w:r w:rsidRPr="001510F3">
        <w:t>1.</w:t>
      </w:r>
      <w:r w:rsidRPr="001510F3">
        <w:tab/>
        <w:t>patvirtina Europos cheminių medžiagų agentūros vykdomajai direktorei, kad Agentūros 2022 finansinių metų biudžetas įvykdytas;</w:t>
      </w:r>
    </w:p>
    <w:p w:rsidR="007D35AF" w:rsidRPr="001510F3" w:rsidRDefault="007D35AF" w:rsidP="007D35AF">
      <w:pPr>
        <w:pStyle w:val="NormalHanging12a"/>
      </w:pPr>
      <w:r w:rsidRPr="001510F3">
        <w:t>2.</w:t>
      </w:r>
      <w:r w:rsidRPr="001510F3">
        <w:tab/>
        <w:t>išdėsto savo pastabas toliau pateikiamoje rezoliucijoje;</w:t>
      </w:r>
    </w:p>
    <w:p w:rsidR="007D35AF" w:rsidRPr="001510F3" w:rsidRDefault="007D35AF" w:rsidP="007D35AF">
      <w:pPr>
        <w:pStyle w:val="NormalHanging12a"/>
      </w:pPr>
      <w:r w:rsidRPr="001510F3">
        <w:t>3.</w:t>
      </w:r>
      <w:r w:rsidRPr="001510F3">
        <w:tab/>
        <w:t xml:space="preserve">paveda Pirmininkei perduoti šį sprendimą ir rezoliuciją, kuri yra neatskiriama jo dalis, Europos vaistų agentūros vykdomajai direktorei, Tarybai, Komisijai ir Audito Rūmams ir pasirūpinti, kad jie būtų paskelbti </w:t>
      </w:r>
      <w:r w:rsidRPr="001510F3">
        <w:rPr>
          <w:i/>
        </w:rPr>
        <w:t>Europos Sąjungos oficialiajame leidinyje</w:t>
      </w:r>
      <w:r w:rsidRPr="001510F3">
        <w:t xml:space="preserve"> (L serijoje).</w:t>
      </w:r>
    </w:p>
    <w:p w:rsidR="007D35AF" w:rsidRPr="001510F3" w:rsidRDefault="007D35AF" w:rsidP="007D35AF"/>
    <w:p w:rsidR="007D35AF" w:rsidRPr="001510F3" w:rsidRDefault="007D35AF" w:rsidP="007D35AF">
      <w:pPr>
        <w:pStyle w:val="PageHeading"/>
        <w:sectPr w:rsidR="007D35AF" w:rsidRPr="001510F3" w:rsidSect="00141D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F3D3E" w:rsidRPr="001510F3" w:rsidRDefault="007D35AF" w:rsidP="001510F3">
      <w:pPr>
        <w:pStyle w:val="ATHeading3"/>
      </w:pPr>
      <w:bookmarkStart w:id="8" w:name="_Toc161995998"/>
      <w:r w:rsidRPr="001510F3">
        <w:lastRenderedPageBreak/>
        <w:t xml:space="preserve">2. </w:t>
      </w:r>
      <w:r w:rsidR="00E0078A" w:rsidRPr="001510F3">
        <w:t xml:space="preserve">2024 m. balandžio 11 d. Europos Parlamento sprendimas </w:t>
      </w:r>
      <w:bookmarkEnd w:id="8"/>
      <w:r w:rsidRPr="001510F3">
        <w:t>dėl Europos cheminių medžiagų agentūros 2022 finansinių metų sąskaitų uždarymo</w:t>
      </w:r>
      <w:r w:rsidR="00E0078A" w:rsidRPr="001510F3">
        <w:t xml:space="preserve"> </w:t>
      </w:r>
      <w:r w:rsidRPr="001510F3">
        <w:t>(2023/2148(DEC))</w:t>
      </w:r>
    </w:p>
    <w:p w:rsidR="007D35AF" w:rsidRPr="001510F3" w:rsidRDefault="007D35AF" w:rsidP="007D35AF">
      <w:pPr>
        <w:pStyle w:val="EPComma"/>
      </w:pPr>
      <w:r w:rsidRPr="001510F3">
        <w:rPr>
          <w:i/>
        </w:rPr>
        <w:t>Europos Parlamentas</w:t>
      </w:r>
      <w:r w:rsidRPr="001510F3">
        <w:t>,</w:t>
      </w:r>
    </w:p>
    <w:p w:rsidR="007D35AF" w:rsidRPr="001510F3" w:rsidRDefault="007D35AF" w:rsidP="007D35AF">
      <w:pPr>
        <w:pStyle w:val="NormalHanging12a"/>
      </w:pPr>
      <w:r w:rsidRPr="001510F3">
        <w:t>–</w:t>
      </w:r>
      <w:r w:rsidRPr="001510F3">
        <w:tab/>
        <w:t>atsižvelgdamas į Europos cheminių medžiagų agentūros 2022 finansinių metų galutines metines ataskaitas,</w:t>
      </w:r>
    </w:p>
    <w:p w:rsidR="007D35AF" w:rsidRPr="001510F3" w:rsidRDefault="007D35AF" w:rsidP="007D35AF">
      <w:pPr>
        <w:pStyle w:val="NormalHanging12a"/>
      </w:pPr>
      <w:r w:rsidRPr="001510F3">
        <w:t>–</w:t>
      </w:r>
      <w:r w:rsidRPr="001510F3">
        <w:tab/>
        <w:t>atsižvelgdamas į Audito Rūmų 2022 finansinių metų metinę ataskaitą dėl ES agentūrų kartu su agentūrų atsakymais</w:t>
      </w:r>
      <w:r w:rsidRPr="001510F3">
        <w:rPr>
          <w:rStyle w:val="FootnoteReference"/>
        </w:rPr>
        <w:footnoteReference w:id="6"/>
      </w:r>
      <w:r w:rsidRPr="001510F3">
        <w:t>,</w:t>
      </w:r>
    </w:p>
    <w:p w:rsidR="007D35AF" w:rsidRPr="001510F3" w:rsidRDefault="007D35AF" w:rsidP="007D35AF">
      <w:pPr>
        <w:pStyle w:val="NormalHanging12a"/>
      </w:pPr>
      <w:r w:rsidRPr="001510F3">
        <w:t>–</w:t>
      </w:r>
      <w:r w:rsidRPr="001510F3">
        <w:tab/>
        <w:t>atsižvelgdamas į Audito Rūmų pagal Sutarties dėl Europos Sąjungos veikimo 287 straipsnį pateiktą 2022 finansinių metų sąskaitų patikimumo ir pagal jas atliktų operacijų teisėtumo ir tvarkingumo patikinimo pareiškimą</w:t>
      </w:r>
      <w:r w:rsidRPr="001510F3">
        <w:rPr>
          <w:rStyle w:val="FootnoteReference"/>
        </w:rPr>
        <w:footnoteReference w:id="7"/>
      </w:r>
      <w:r w:rsidRPr="001510F3">
        <w:t>,</w:t>
      </w:r>
    </w:p>
    <w:p w:rsidR="007D35AF" w:rsidRPr="001510F3" w:rsidRDefault="007D35AF" w:rsidP="007D35AF">
      <w:pPr>
        <w:pStyle w:val="NormalHanging12a"/>
      </w:pPr>
      <w:r w:rsidRPr="001510F3">
        <w:t>–</w:t>
      </w:r>
      <w:r w:rsidRPr="001510F3">
        <w:tab/>
        <w:t xml:space="preserve">atsižvelgdamas į </w:t>
      </w:r>
      <w:r w:rsidR="006C6126" w:rsidRPr="001510F3">
        <w:t xml:space="preserve">2024 m. vasario 22 d. </w:t>
      </w:r>
      <w:r w:rsidRPr="001510F3">
        <w:t>Tarybos rekomendaciją dėl patvirtinimo, kad Agentūra įvykdė 2022 finansinių metų biudžetą (</w:t>
      </w:r>
      <w:r w:rsidR="00376CE5" w:rsidRPr="001510F3">
        <w:t>06180</w:t>
      </w:r>
      <w:r w:rsidRPr="001510F3">
        <w:t>/2024 – C9</w:t>
      </w:r>
      <w:r w:rsidRPr="001510F3">
        <w:noBreakHyphen/>
      </w:r>
      <w:r w:rsidR="00376CE5" w:rsidRPr="001510F3">
        <w:t>0086</w:t>
      </w:r>
      <w:r w:rsidRPr="001510F3">
        <w:t>/2024),</w:t>
      </w:r>
    </w:p>
    <w:p w:rsidR="007D35AF" w:rsidRPr="001510F3" w:rsidRDefault="007D35AF" w:rsidP="007D35AF">
      <w:pPr>
        <w:pStyle w:val="NormalHanging12a"/>
      </w:pPr>
      <w:r w:rsidRPr="001510F3">
        <w:t>–</w:t>
      </w:r>
      <w:r w:rsidRPr="001510F3">
        <w:tab/>
        <w:t>atsižvelgdamas į Sutarties dėl Europos Sąjungos veikimo 319 straipsnį,</w:t>
      </w:r>
    </w:p>
    <w:p w:rsidR="007D35AF" w:rsidRPr="001510F3" w:rsidRDefault="007D35AF" w:rsidP="007D35AF">
      <w:pPr>
        <w:pStyle w:val="NormalHanging12a"/>
      </w:pPr>
      <w:r w:rsidRPr="001510F3">
        <w:t>–</w:t>
      </w:r>
      <w:r w:rsidRPr="001510F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1510F3">
        <w:rPr>
          <w:rStyle w:val="FootnoteReference"/>
        </w:rPr>
        <w:footnoteReference w:id="8"/>
      </w:r>
      <w:r w:rsidRPr="001510F3">
        <w:t>, ypač į jo 70 straipsnį,</w:t>
      </w:r>
    </w:p>
    <w:p w:rsidR="007D35AF" w:rsidRPr="001510F3" w:rsidRDefault="007D35AF" w:rsidP="007D35AF">
      <w:pPr>
        <w:pStyle w:val="NormalHanging12a"/>
      </w:pPr>
      <w:r w:rsidRPr="001510F3">
        <w:t>–</w:t>
      </w:r>
      <w:r w:rsidRPr="001510F3">
        <w:tab/>
        <w:t>atsižvelgdamas į 2006 m. gruodžio 18 d. Europos Parlamento ir Tarybos reglamentą (EB) Nr. 1907/2006 dėl cheminių medžiagų registracijos, įvertinimo, autorizacijos ir apribojimų (REACH), įsteigiantį Europos cheminių medžiagų agentūrą, iš dalies keičiantį Direktyvą 1999/45/EB bei panaikinantį Tarybos reglamentą (EEB) Nr. 793/93, Komisijos reglamentą (EB) Nr. 1488/94, Tarybos direktyvą 76/769/EEB ir Komisijos direktyvas 91/155/EEB, 93/67/EEB, 93/105/EB bei 2000/21/EB</w:t>
      </w:r>
      <w:r w:rsidRPr="001510F3">
        <w:rPr>
          <w:rStyle w:val="FootnoteReference"/>
        </w:rPr>
        <w:footnoteReference w:id="9"/>
      </w:r>
      <w:r w:rsidRPr="001510F3">
        <w:t>, ypač į jo 97 straipsnį,</w:t>
      </w:r>
    </w:p>
    <w:p w:rsidR="007D35AF" w:rsidRPr="001510F3" w:rsidRDefault="007D35AF" w:rsidP="007D35AF">
      <w:pPr>
        <w:pStyle w:val="NormalHanging12a"/>
      </w:pPr>
      <w:r w:rsidRPr="001510F3">
        <w:t>–</w:t>
      </w:r>
      <w:r w:rsidRPr="001510F3">
        <w:tab/>
        <w:t>atsižvelgdamas į 2018 m. gruodžio 18 d. Komisijos deleguotąjį reglamentą (ES) 2019/715 dėl finansinio pagrindų reglamento, taikomo organams, įsteigtiems pagal SESV ir Euratomo sutartį ir nurodytiems Europos Parlamento ir Tarybos reglamento (ES, Euratomas) 2018/10467 70 straipsnyje</w:t>
      </w:r>
      <w:r w:rsidRPr="001510F3">
        <w:rPr>
          <w:rStyle w:val="FootnoteReference"/>
        </w:rPr>
        <w:footnoteReference w:id="10"/>
      </w:r>
      <w:r w:rsidRPr="001510F3">
        <w:t>, ypač į jo 105 straipsnį,</w:t>
      </w:r>
    </w:p>
    <w:p w:rsidR="007D35AF" w:rsidRPr="001510F3" w:rsidRDefault="007D35AF" w:rsidP="007D35AF">
      <w:pPr>
        <w:pStyle w:val="NormalHanging12a"/>
      </w:pPr>
      <w:r w:rsidRPr="001510F3">
        <w:t>–</w:t>
      </w:r>
      <w:r w:rsidRPr="001510F3">
        <w:tab/>
        <w:t>atsižvelgdamas į Darbo tvarkos taisyklių 100 straipsnį ir V priedą,</w:t>
      </w:r>
    </w:p>
    <w:p w:rsidR="007D35AF" w:rsidRPr="001510F3" w:rsidRDefault="007D35AF" w:rsidP="007D35AF">
      <w:pPr>
        <w:pStyle w:val="NormalHanging12a"/>
      </w:pPr>
      <w:r w:rsidRPr="001510F3">
        <w:t>–</w:t>
      </w:r>
      <w:r w:rsidRPr="001510F3">
        <w:tab/>
        <w:t>atsižvelgdamas į Aplinkos, visuomenės sveikatos ir maisto saugos komiteto nuomonę,</w:t>
      </w:r>
    </w:p>
    <w:p w:rsidR="007D35AF" w:rsidRPr="001510F3" w:rsidRDefault="007D35AF" w:rsidP="007D35AF">
      <w:pPr>
        <w:pStyle w:val="NormalHanging12a"/>
      </w:pPr>
      <w:r w:rsidRPr="001510F3">
        <w:t>–</w:t>
      </w:r>
      <w:r w:rsidRPr="001510F3">
        <w:tab/>
        <w:t>atsižvelgdamas į Biudžeto kontrolės komiteto pranešimą (A9-0135/2024),</w:t>
      </w:r>
    </w:p>
    <w:p w:rsidR="007D35AF" w:rsidRPr="001510F3" w:rsidRDefault="007D35AF" w:rsidP="007D35AF">
      <w:pPr>
        <w:pStyle w:val="NormalHanging12a"/>
      </w:pPr>
      <w:r w:rsidRPr="001510F3">
        <w:t>1.</w:t>
      </w:r>
      <w:r w:rsidRPr="001510F3">
        <w:tab/>
        <w:t xml:space="preserve">pritaria Europos cheminių medžiagų agentūros 2022 finansinių metų sąskaitų </w:t>
      </w:r>
      <w:r w:rsidRPr="001510F3">
        <w:lastRenderedPageBreak/>
        <w:t>uždarymui;</w:t>
      </w:r>
    </w:p>
    <w:p w:rsidR="007D35AF" w:rsidRPr="001510F3" w:rsidRDefault="007D35AF" w:rsidP="007D35AF">
      <w:pPr>
        <w:pStyle w:val="NormalHanging12a"/>
      </w:pPr>
      <w:r w:rsidRPr="001510F3">
        <w:t>2.</w:t>
      </w:r>
      <w:r w:rsidRPr="001510F3">
        <w:tab/>
        <w:t xml:space="preserve">paveda Pirmininkei perduoti šį sprendimą Europos vaistų agentūros vykdomajai direktorei, Tarybai, Komisijai ir Audito Rūmams ir pasirūpinti, kad jis būtų paskelbtas </w:t>
      </w:r>
      <w:r w:rsidRPr="001510F3">
        <w:rPr>
          <w:i/>
        </w:rPr>
        <w:t>Europos Sąjungos oficialiajame leidinyje</w:t>
      </w:r>
      <w:r w:rsidRPr="001510F3">
        <w:t xml:space="preserve"> (L serijoje).</w:t>
      </w:r>
    </w:p>
    <w:p w:rsidR="007D35AF" w:rsidRPr="001510F3" w:rsidRDefault="007D35AF" w:rsidP="007D35AF"/>
    <w:p w:rsidR="007D35AF" w:rsidRPr="001510F3" w:rsidRDefault="007D35AF" w:rsidP="007D35AF">
      <w:pPr>
        <w:pStyle w:val="PageHeading"/>
        <w:sectPr w:rsidR="007D35AF" w:rsidRPr="001510F3" w:rsidSect="00141D6B">
          <w:footnotePr>
            <w:numRestart w:val="eachPage"/>
          </w:footnotePr>
          <w:endnotePr>
            <w:numFmt w:val="decimal"/>
          </w:endnotePr>
          <w:pgSz w:w="11906" w:h="16838" w:code="9"/>
          <w:pgMar w:top="1134" w:right="1418" w:bottom="1418" w:left="1418" w:header="567" w:footer="567" w:gutter="0"/>
          <w:cols w:space="720"/>
          <w:noEndnote/>
          <w:docGrid w:linePitch="326"/>
        </w:sectPr>
      </w:pPr>
    </w:p>
    <w:p w:rsidR="00AC1DEE" w:rsidRPr="001510F3" w:rsidRDefault="007D35AF" w:rsidP="001510F3">
      <w:pPr>
        <w:pStyle w:val="ATHeading3"/>
      </w:pPr>
      <w:bookmarkStart w:id="9" w:name="_Toc161995999"/>
      <w:r w:rsidRPr="001510F3">
        <w:lastRenderedPageBreak/>
        <w:t xml:space="preserve">3. </w:t>
      </w:r>
      <w:r w:rsidR="003E0219" w:rsidRPr="001510F3">
        <w:t xml:space="preserve">2024 m. balandžio 11 d. </w:t>
      </w:r>
      <w:r w:rsidR="00D500BB" w:rsidRPr="001510F3">
        <w:t xml:space="preserve">Europos Parlamento </w:t>
      </w:r>
      <w:r w:rsidR="00376CE5" w:rsidRPr="001510F3">
        <w:t>rezoliucija</w:t>
      </w:r>
      <w:r w:rsidR="00D500BB" w:rsidRPr="001510F3">
        <w:t xml:space="preserve"> </w:t>
      </w:r>
      <w:bookmarkEnd w:id="9"/>
      <w:r w:rsidRPr="001510F3">
        <w:t>su pastabomis, sudarančiomis neatskiriamą sprendimo dėl Europos cheminių medžiagų agentūros 2022 finansinių metų biudžeto įvykdymo patvirtinimo dalį</w:t>
      </w:r>
      <w:r w:rsidR="00D250C7" w:rsidRPr="001510F3">
        <w:t xml:space="preserve"> </w:t>
      </w:r>
      <w:r w:rsidRPr="001510F3">
        <w:t>(2023/2148(DEC))</w:t>
      </w:r>
    </w:p>
    <w:p w:rsidR="007D35AF" w:rsidRPr="001510F3" w:rsidRDefault="007D35AF" w:rsidP="007D35AF">
      <w:pPr>
        <w:pStyle w:val="EPComma"/>
      </w:pPr>
      <w:r w:rsidRPr="001510F3">
        <w:rPr>
          <w:i/>
        </w:rPr>
        <w:t>Europos Parlamentas</w:t>
      </w:r>
      <w:r w:rsidRPr="001510F3">
        <w:t>,</w:t>
      </w:r>
    </w:p>
    <w:p w:rsidR="007D35AF" w:rsidRPr="001510F3" w:rsidRDefault="007D35AF" w:rsidP="007D35AF">
      <w:pPr>
        <w:pStyle w:val="NormalHanging12a"/>
        <w:widowControl/>
      </w:pPr>
      <w:r w:rsidRPr="001510F3">
        <w:t>–</w:t>
      </w:r>
      <w:r w:rsidRPr="001510F3">
        <w:tab/>
        <w:t>atsižvelgdamas į savo sprendimą dėl Europos cheminių medžiagų agentūros 2022 finansinių metų biudžeto įvykdymo patvirtinimo,</w:t>
      </w:r>
    </w:p>
    <w:p w:rsidR="007D35AF" w:rsidRPr="001510F3" w:rsidRDefault="007D35AF" w:rsidP="007D35AF">
      <w:pPr>
        <w:pStyle w:val="NormalHanging12a"/>
        <w:widowControl/>
      </w:pPr>
      <w:r w:rsidRPr="001510F3">
        <w:t>–</w:t>
      </w:r>
      <w:r w:rsidRPr="001510F3">
        <w:tab/>
        <w:t>atsižvelgdamas į Darbo tvarkos taisyklių 100 straipsnį ir V priedą,</w:t>
      </w:r>
    </w:p>
    <w:p w:rsidR="007D35AF" w:rsidRPr="001510F3" w:rsidRDefault="007D35AF" w:rsidP="007D35AF">
      <w:pPr>
        <w:pStyle w:val="NormalHanging12a"/>
        <w:widowControl/>
      </w:pPr>
      <w:r w:rsidRPr="001510F3">
        <w:t>–</w:t>
      </w:r>
      <w:r w:rsidRPr="001510F3">
        <w:tab/>
        <w:t>atsižvelgdamas į Aplinkos, visuomenės sveikatos ir maisto saugos komiteto nuomonę,</w:t>
      </w:r>
    </w:p>
    <w:p w:rsidR="007D35AF" w:rsidRPr="001510F3" w:rsidRDefault="007D35AF" w:rsidP="007D35AF">
      <w:pPr>
        <w:pStyle w:val="NormalHanging12a"/>
        <w:widowControl/>
      </w:pPr>
      <w:r w:rsidRPr="001510F3">
        <w:t>–</w:t>
      </w:r>
      <w:r w:rsidRPr="001510F3">
        <w:tab/>
        <w:t>atsižvelgdamas į Biudžeto kontrolės komiteto pranešimą (A9-0135/2024),</w:t>
      </w:r>
    </w:p>
    <w:p w:rsidR="007D35AF" w:rsidRPr="001510F3" w:rsidRDefault="007D35AF" w:rsidP="007D35AF">
      <w:pPr>
        <w:widowControl/>
        <w:spacing w:after="240"/>
        <w:ind w:left="567" w:hanging="567"/>
        <w:rPr>
          <w:szCs w:val="24"/>
        </w:rPr>
      </w:pPr>
      <w:r w:rsidRPr="001510F3">
        <w:t>A.</w:t>
      </w:r>
      <w:r w:rsidRPr="001510F3">
        <w:tab/>
        <w:t>kadangi, remiantis Europos cheminių medžiagų agentūros (toliau – Agentūra) pajamų ir išlaidų suvestine</w:t>
      </w:r>
      <w:r w:rsidRPr="001510F3">
        <w:rPr>
          <w:rStyle w:val="FootnoteReference"/>
          <w:szCs w:val="24"/>
        </w:rPr>
        <w:footnoteReference w:id="11"/>
      </w:r>
      <w:r w:rsidRPr="001510F3">
        <w:t>, galutinis jos 2022 finansinių metų biudžetas buvo 114 777 691 EUR, t. y. 5,83 proc. didesnis negu 2021 m.; kadangi Agentūros biudžetas finansuojamas daugiausia iš dviejų šaltinių, t. y. surinktų mokesčių ir įnašo iš Sąjungos bendrojo biudžeto;</w:t>
      </w:r>
    </w:p>
    <w:p w:rsidR="007D35AF" w:rsidRPr="001510F3" w:rsidRDefault="007D35AF" w:rsidP="007D35AF">
      <w:pPr>
        <w:widowControl/>
        <w:spacing w:after="240"/>
        <w:ind w:left="567" w:hanging="567"/>
        <w:rPr>
          <w:szCs w:val="24"/>
        </w:rPr>
      </w:pPr>
      <w:r w:rsidRPr="001510F3">
        <w:t>B.</w:t>
      </w:r>
      <w:r w:rsidRPr="001510F3">
        <w:tab/>
        <w:t>kadangi Audito Rūmai savo ataskaitoje dėl Agentūros 2022 finansinių metų metinių ataskaitų (toliau – Audito Rūmų ataskaita) pažymi, jog gavo pagrįstą patikinimą, kad Agentūros metinės ataskaitos patikimos, o jose nurodytos operacijos – teisėtos ir tvarkingos;</w:t>
      </w:r>
    </w:p>
    <w:p w:rsidR="007D35AF" w:rsidRPr="001510F3" w:rsidRDefault="007D35AF" w:rsidP="007D35AF">
      <w:pPr>
        <w:widowControl/>
        <w:spacing w:after="240"/>
        <w:ind w:left="567" w:hanging="567"/>
        <w:rPr>
          <w:szCs w:val="24"/>
        </w:rPr>
      </w:pPr>
      <w:r w:rsidRPr="001510F3">
        <w:t>C.</w:t>
      </w:r>
      <w:r w:rsidRPr="001510F3">
        <w:tab/>
        <w:t>kadangi, kalbant apie Agentūros viešųjų pirkimų sektorių, 2022 m. nebuvo pranešta apie jokias problemas, dėl kurių reikėtų imtis taisomųjų veiksmų, taip pat nebuvo imtasi ar neįgyvendintų taisomųjų veiksmų, susijusių su ankstesnių metų auditais ir vertinimais;</w:t>
      </w:r>
    </w:p>
    <w:p w:rsidR="007D35AF" w:rsidRPr="001510F3" w:rsidRDefault="007D35AF" w:rsidP="007D35AF">
      <w:pPr>
        <w:widowControl/>
        <w:spacing w:after="240"/>
        <w:ind w:left="567" w:hanging="567"/>
        <w:rPr>
          <w:szCs w:val="24"/>
        </w:rPr>
      </w:pPr>
      <w:r w:rsidRPr="001510F3">
        <w:t>D.</w:t>
      </w:r>
      <w:r w:rsidRPr="001510F3">
        <w:tab/>
        <w:t>kadangi, kalbant apie Agentūros vidaus kontrolės sistemas, 2022 m. nebuvo pranešta apie jokias problemas, dėl kurių reikėjo imtis taisomųjų veiksmų, taip pat nebuvo imtasi ar neįgyvendintų taisomųjų veiksmų, susijusių su ankstesnių metų auditais ir vertinimais;</w:t>
      </w:r>
    </w:p>
    <w:p w:rsidR="007D35AF" w:rsidRPr="001510F3" w:rsidRDefault="007D35AF" w:rsidP="007D35AF">
      <w:pPr>
        <w:widowControl/>
        <w:spacing w:after="240"/>
        <w:ind w:left="567" w:hanging="567"/>
        <w:rPr>
          <w:b/>
          <w:i/>
          <w:szCs w:val="24"/>
        </w:rPr>
      </w:pPr>
      <w:r w:rsidRPr="001510F3">
        <w:rPr>
          <w:b/>
          <w:i/>
        </w:rPr>
        <w:t>Biudžeto ir finansų valdymas</w:t>
      </w:r>
    </w:p>
    <w:p w:rsidR="007D35AF" w:rsidRPr="001510F3" w:rsidRDefault="007D35AF" w:rsidP="007D35AF">
      <w:pPr>
        <w:pStyle w:val="Normal12Hanging"/>
        <w:widowControl/>
        <w:rPr>
          <w:szCs w:val="24"/>
        </w:rPr>
      </w:pPr>
      <w:r w:rsidRPr="001510F3">
        <w:t>1.</w:t>
      </w:r>
      <w:r w:rsidRPr="001510F3">
        <w:tab/>
        <w:t>palankiai vertina tai, kad dėl 2022 finansiniais metais vykdytos biudžeto stebėsenos einamųjų metų įsipareigojimų asignavimų biudžeto įvykdymo lygis buvo 98,61 proc., t. y. šiek tiek (0,23 proc.) mažesnis nei 2021 m., o einamųjų metų mokėjimų asignavimų panaudojimo lygis buvo 85,06 proc., t. y. 1,17 proc. mažesnis nei 2021 m.;</w:t>
      </w:r>
    </w:p>
    <w:p w:rsidR="007D35AF" w:rsidRPr="001510F3" w:rsidRDefault="007D35AF" w:rsidP="007D35AF">
      <w:pPr>
        <w:pStyle w:val="NormalHanging12a"/>
        <w:rPr>
          <w:b/>
          <w:i/>
        </w:rPr>
      </w:pPr>
      <w:r w:rsidRPr="001510F3">
        <w:t>2.</w:t>
      </w:r>
      <w:r w:rsidRPr="001510F3">
        <w:tab/>
        <w:t xml:space="preserve">primena, kad Agentūra finansuojama iš pramonės įmonių mokamų mokesčių ir išlyginamojo ES įnašo pagal Europos Parlamento ir Tarybos reglamentą (EB) Nr. </w:t>
      </w:r>
      <w:r w:rsidRPr="001510F3">
        <w:lastRenderedPageBreak/>
        <w:t>1907/2006</w:t>
      </w:r>
      <w:r w:rsidRPr="001510F3">
        <w:rPr>
          <w:rStyle w:val="FootnoteReference"/>
        </w:rPr>
        <w:footnoteReference w:id="12"/>
      </w:r>
      <w:r w:rsidRPr="001510F3">
        <w:t>, Europos Parlamento ir Tarybos reglamentą (EB) Nr. 1272/2008</w:t>
      </w:r>
      <w:r w:rsidRPr="001510F3">
        <w:rPr>
          <w:rStyle w:val="FootnoteReference"/>
        </w:rPr>
        <w:footnoteReference w:id="13"/>
      </w:r>
      <w:r w:rsidRPr="001510F3">
        <w:t xml:space="preserve"> ir Europos Parlamento ir Tarybos reglamentą (ES) Nr. 528/2012</w:t>
      </w:r>
      <w:r w:rsidRPr="001510F3">
        <w:rPr>
          <w:rStyle w:val="FootnoteReference"/>
        </w:rPr>
        <w:footnoteReference w:id="14"/>
      </w:r>
      <w:r w:rsidRPr="001510F3">
        <w:t>; pabrėžia, kad dėl vienkartinio mokesčių pobūdžio ir jų priklausomybės nuo strateginių chemijos pramonės subjektų sprendimų kyla didelis netikrumas dėl jų dydžio ir laiko; primena, kad Komisija pažadėjo pasiūlymą stiprinti agentūros valdymą ir padidinti jos finansavimo modelio tvarumą 2020 m.; primygtinai reikalauja, kad Komisija nedelsdama jį pateiktų;</w:t>
      </w:r>
    </w:p>
    <w:p w:rsidR="007D35AF" w:rsidRPr="001510F3" w:rsidRDefault="007D35AF" w:rsidP="007D35AF">
      <w:pPr>
        <w:pStyle w:val="NormalHanging12a"/>
      </w:pPr>
      <w:r w:rsidRPr="001510F3">
        <w:t>3.</w:t>
      </w:r>
      <w:r w:rsidRPr="001510F3">
        <w:tab/>
        <w:t>su pasitenkinimu pažymi, kad 2022 m. pirmą kartą nuo galutinio registracijos termino pagal Reglamentą (EB) Nr. 1907/2006  2018 m. Agentūros pajamos iš mokesčių padidėjo, o priklausomybė nuo Sąjungos finansavimo vykdomai veiklai šiek tiek sumažėjo;</w:t>
      </w:r>
    </w:p>
    <w:p w:rsidR="007D35AF" w:rsidRPr="001510F3" w:rsidRDefault="007D35AF" w:rsidP="007D35AF">
      <w:pPr>
        <w:widowControl/>
        <w:spacing w:after="240"/>
        <w:ind w:left="567" w:hanging="567"/>
        <w:rPr>
          <w:b/>
          <w:i/>
          <w:szCs w:val="24"/>
        </w:rPr>
      </w:pPr>
      <w:r w:rsidRPr="001510F3">
        <w:rPr>
          <w:b/>
          <w:i/>
        </w:rPr>
        <w:t>Veiksmingumas</w:t>
      </w:r>
    </w:p>
    <w:p w:rsidR="007D35AF" w:rsidRPr="001510F3" w:rsidRDefault="007D35AF" w:rsidP="007D35AF">
      <w:pPr>
        <w:pStyle w:val="Normal12Hanging"/>
      </w:pPr>
      <w:r w:rsidRPr="001510F3">
        <w:t>4.</w:t>
      </w:r>
      <w:r w:rsidRPr="001510F3">
        <w:tab/>
        <w:t>pažymi, kad Agentūra yra varomoji jėga įgyvendinant Sąjungos cheminių medžiagų teisės aktus, siekiant apsaugoti visuomenės sveikatą ir aplinką bei sudaryti sąlygas inovacijoms ir konkurencingumui; pažymi, kad Agentūra renka, vertina ir teikia informaciją apie chemines medžiagas, padeda įmonėms laikytis teisės aktų ir skatina saugų cheminių medžiagų naudojimą;</w:t>
      </w:r>
    </w:p>
    <w:p w:rsidR="007D35AF" w:rsidRPr="001510F3" w:rsidRDefault="007D35AF" w:rsidP="007D35AF">
      <w:pPr>
        <w:pStyle w:val="NormalHanging12a"/>
        <w:widowControl/>
      </w:pPr>
      <w:r w:rsidRPr="001510F3">
        <w:t>5.</w:t>
      </w:r>
      <w:r w:rsidRPr="001510F3">
        <w:tab/>
        <w:t>pažymi, kad Agentūra įgyvendino 93 proc. darbo programos ir pasiekė 151 iš 162 konkrečių veiksmų ir rezultatų, suplanuotų 2022 m., o 8 veiksmai vis dar vykdomi, kaip ir planuota; be to, pažymi, kad dėl trijų „neužbaigtų“ veiksmų reikėjo, kad valstybės narės prisidėtų, arba kad darbo krypčiai suteiktas prioritetas būtų panaikintas;</w:t>
      </w:r>
    </w:p>
    <w:p w:rsidR="007D35AF" w:rsidRPr="001510F3" w:rsidRDefault="007D35AF" w:rsidP="007D35AF">
      <w:pPr>
        <w:pStyle w:val="NormalHanging12a"/>
      </w:pPr>
      <w:r w:rsidRPr="001510F3">
        <w:t>6.</w:t>
      </w:r>
      <w:r w:rsidRPr="001510F3">
        <w:tab/>
        <w:t>pažymi, kad Agentūra daugiausia dėmesio skyrė savo pagrindinių užduočių vykdymui ir paramai Europos Komisijai įgyvendinti savo Cheminių medžiagų strategiją tvarumui užtikrinti laikantis Valdančiosios tarybos 2019–2023 m. strateginiame plane ir 2021 m. atliktoje peržiūroje nustatytos krypties;</w:t>
      </w:r>
    </w:p>
    <w:p w:rsidR="007D35AF" w:rsidRPr="001510F3" w:rsidRDefault="007D35AF" w:rsidP="007D35AF">
      <w:pPr>
        <w:pStyle w:val="NormalHanging12a"/>
        <w:rPr>
          <w:szCs w:val="24"/>
        </w:rPr>
      </w:pPr>
      <w:r w:rsidRPr="001510F3">
        <w:t>7.</w:t>
      </w:r>
      <w:r w:rsidRPr="001510F3">
        <w:tab/>
        <w:t xml:space="preserve">atkreipia dėmesį į kai kuriuos iššūkius, su kuriais Agentūra susidūrė 2022 m., įskaitant neveiksmingą leidimų išdavimo sistemą, nustatytą 2021 m., ir į tai, kad 2023 m. turėtų būti toliau teikiama vis daugiau paraiškų dėl šešiavalenčio chromo, o tai apsunkintų mokslinių komitetų, kuriems stinga patyrusių narių, nuomonių teikimo pajėgumus; be to, pažymi, kad valstybės narės pateikė nedaug biocidinių veikliųjų medžiagų vertinimo ataskaitų projektų, o tai trukdo iki 2024 m. pabaigos užbaigti vertinimus, kaip nustatyta Reglamente (ES) Nr. 528/2012, pabrėžia, kad pagal Aktyviųjų medžiagų veiksmų planą Agentūra pastaraisiais metais dėjo pastangas, kad padėtų valstybėms narėms siekti </w:t>
      </w:r>
      <w:r w:rsidRPr="001510F3">
        <w:lastRenderedPageBreak/>
        <w:t>tolesnės pažangos;</w:t>
      </w:r>
    </w:p>
    <w:p w:rsidR="007D35AF" w:rsidRPr="001510F3" w:rsidRDefault="007D35AF" w:rsidP="007D35AF">
      <w:pPr>
        <w:pStyle w:val="Normal12Hanging"/>
      </w:pPr>
      <w:r w:rsidRPr="001510F3">
        <w:t>8.</w:t>
      </w:r>
      <w:r w:rsidRPr="001510F3">
        <w:tab/>
        <w:t>palankiai vertina Agentūros veiklą skatinant bandymų su gyvūnais alternatyvas ir veiksmus, kurių imtasi siekiant padidinti šio darbo veiksmingumą ir matomumą;</w:t>
      </w:r>
    </w:p>
    <w:p w:rsidR="007D35AF" w:rsidRPr="001510F3" w:rsidRDefault="007D35AF" w:rsidP="007D35AF">
      <w:pPr>
        <w:widowControl/>
        <w:spacing w:after="240"/>
        <w:ind w:left="567" w:hanging="567"/>
        <w:rPr>
          <w:b/>
          <w:i/>
          <w:szCs w:val="24"/>
        </w:rPr>
      </w:pPr>
      <w:r w:rsidRPr="001510F3">
        <w:rPr>
          <w:b/>
          <w:i/>
        </w:rPr>
        <w:t>Veiksmingumas ir nauda</w:t>
      </w:r>
    </w:p>
    <w:p w:rsidR="007D35AF" w:rsidRPr="001510F3" w:rsidRDefault="007D35AF" w:rsidP="007D35AF">
      <w:pPr>
        <w:widowControl/>
        <w:spacing w:after="240"/>
        <w:ind w:left="567" w:hanging="567"/>
        <w:rPr>
          <w:szCs w:val="24"/>
        </w:rPr>
      </w:pPr>
      <w:r w:rsidRPr="001510F3">
        <w:t>9.</w:t>
      </w:r>
      <w:r w:rsidRPr="001510F3">
        <w:tab/>
        <w:t>palankiai vertina Agentūros veiksmingumo didinimo strategiją, kuria siekiama sukurti pridėtinę vertę pasitelkiant veiklos rezultatais grindžiamą valdymą, ir už tai, kad kuriamos naujos planavimo ir ataskaitų teikimo priemonės, kurios būtų patogesnės naudoti, užtikrintų geresnius ataskaitų teikimo pajėgumus ir sutaupytų laiko visiems darbuotojams; pažymi, kad ataskaitų teikimo aspektai buvo peržiūrėti siekiant geriau atspindėti Agentūros darbo programą ir sudaryti sąlygas geriau susieti Agentūros lygmens tikslus su atskirų darbuotojų tikslais;</w:t>
      </w:r>
    </w:p>
    <w:p w:rsidR="007D35AF" w:rsidRPr="001510F3" w:rsidRDefault="007D35AF" w:rsidP="007D35AF">
      <w:pPr>
        <w:widowControl/>
        <w:spacing w:after="240"/>
        <w:ind w:left="567" w:hanging="567"/>
        <w:rPr>
          <w:szCs w:val="24"/>
        </w:rPr>
      </w:pPr>
      <w:r w:rsidRPr="001510F3">
        <w:t>10.</w:t>
      </w:r>
      <w:r w:rsidRPr="001510F3">
        <w:tab/>
        <w:t>pažymi, kad 2022 m. Agentūra taip pat pradėjo infrastruktūros pajėgumų optimizavimą, kad kuo labiau sumažintų bet kokius perteklinius pajėgumus IT infrastruktūroje, ir kad iš antrojo pusmečio rezultatų matyti, jog Agentūra sugebėjo maždaug 25 proc. sumažinti tokios infrastruktūros naudojimą (tiek CPU, t. y. procesorių, tiek RAM t. y. atmintinės); palankiai vertina įdėtas pastangas optimizuoti veiklą ir ragina Agentūrą toliau dėti pastangas šioje srityje;</w:t>
      </w:r>
    </w:p>
    <w:p w:rsidR="007D35AF" w:rsidRPr="001510F3" w:rsidRDefault="007D35AF" w:rsidP="007D35AF">
      <w:pPr>
        <w:widowControl/>
        <w:spacing w:after="240"/>
        <w:ind w:left="567" w:hanging="567"/>
        <w:rPr>
          <w:szCs w:val="24"/>
        </w:rPr>
      </w:pPr>
      <w:r w:rsidRPr="001510F3">
        <w:t>11.</w:t>
      </w:r>
      <w:r w:rsidRPr="001510F3">
        <w:tab/>
        <w:t>pažymi, kad Agentūra ir toliau dalijasi savo vidaus audito pajėgumais su ES kosmoso programos agentūra (buvusi Europos pasaulinės palydovinės navigacijos sistemų agentūra); pažymi, kad Agentūra ir Europos maisto saugos tarnyba palaiko nuolatinius ryšius darbo ir vyresniosios vadovybės lygmeniu, kai reguliariai vertinamos ir išnaudojamos bendradarbiavimo galimybės (atliekant išsamią darbo programų peržiūrą);</w:t>
      </w:r>
    </w:p>
    <w:p w:rsidR="007D35AF" w:rsidRPr="001510F3" w:rsidRDefault="007D35AF" w:rsidP="007D35AF">
      <w:pPr>
        <w:widowControl/>
        <w:spacing w:after="240"/>
        <w:ind w:left="567" w:hanging="567"/>
        <w:rPr>
          <w:szCs w:val="24"/>
        </w:rPr>
      </w:pPr>
      <w:r w:rsidRPr="001510F3">
        <w:t>12.</w:t>
      </w:r>
      <w:r w:rsidRPr="001510F3">
        <w:tab/>
        <w:t>be to, pažymi, kad Agentūra tęsė strateginį bendradarbiavimą su Europos maisto saugos tarnyba teikdama duomenų formatą IUCLID kaip paslaugą, teikiamą iš jos debesijos tarnybų, Europos maisto saugos tarnybos darbui pagal Europos Parlamento ir Tarybos reglamentą (EB) Nr. 1107/2009</w:t>
      </w:r>
      <w:r w:rsidRPr="001510F3">
        <w:rPr>
          <w:rStyle w:val="FootnoteReference"/>
          <w:szCs w:val="24"/>
        </w:rPr>
        <w:footnoteReference w:id="15"/>
      </w:r>
      <w:r w:rsidRPr="001510F3">
        <w:t xml:space="preserve"> ir dėl to, remiantis esamomis IT platformomis, buvo pasiekta masto ekonomija;</w:t>
      </w:r>
    </w:p>
    <w:p w:rsidR="007D35AF" w:rsidRPr="001510F3" w:rsidRDefault="007D35AF" w:rsidP="007D35AF">
      <w:pPr>
        <w:pStyle w:val="NormalHanging12a"/>
      </w:pPr>
      <w:r w:rsidRPr="001510F3">
        <w:t>13.</w:t>
      </w:r>
      <w:r w:rsidRPr="001510F3">
        <w:tab/>
        <w:t>primena, kad svarbu didinti Agentūros skaitmeninimą ne tik vidaus operacijų ir valdymo tikslais, bet ir siekiant paspartinti procedūrų skaitmeninimą; pabrėžia, jog Agentūra turi ir toliau aktyviai veikti šioje srityje, kad būtų išvengta skaitmeninio atotrūkio tarp agentūrų; vis dėlto atkreipia dėmesį į tai, kad reikia imtis visų būtinų saugumo priemonių, kad būtų išvengta bet kokio pavojaus internete tvarkomos informacijos saugumo srityje; primygtinai atkreipia dėmesį į būtinybę sustiprinti kovą su kibernetiniais išpuoliais ar bandymais įsiskverbti, visų pirma iš Rusijos ar Kinijos;</w:t>
      </w:r>
    </w:p>
    <w:p w:rsidR="007D35AF" w:rsidRPr="001510F3" w:rsidRDefault="007D35AF" w:rsidP="007D35AF">
      <w:pPr>
        <w:pStyle w:val="NormalHanging12a"/>
      </w:pPr>
      <w:r w:rsidRPr="001510F3">
        <w:t>14.</w:t>
      </w:r>
      <w:r w:rsidRPr="001510F3">
        <w:tab/>
        <w:t>palankiai vertina tai, kad Agentūra, bendradarbiaudama su Europos maisto saugos tarnyba, ėmėsi veiksmų skatindama taikyti princi</w:t>
      </w:r>
      <w:bookmarkStart w:id="11" w:name="_GoBack"/>
      <w:bookmarkEnd w:id="11"/>
      <w:r w:rsidRPr="001510F3">
        <w:t>pą „viena medžiaga – vienas vertinimas“, kad būtų užtikrintas didesnis veikliųjų medžiagų pavojaus ir rizikos vertinimo nuoseklumas;</w:t>
      </w:r>
    </w:p>
    <w:p w:rsidR="007D35AF" w:rsidRPr="001510F3" w:rsidRDefault="007D35AF" w:rsidP="007D35AF">
      <w:pPr>
        <w:widowControl/>
        <w:spacing w:after="240"/>
        <w:ind w:left="567" w:hanging="567"/>
        <w:rPr>
          <w:b/>
          <w:i/>
          <w:szCs w:val="24"/>
        </w:rPr>
      </w:pPr>
      <w:r w:rsidRPr="001510F3">
        <w:rPr>
          <w:b/>
          <w:i/>
        </w:rPr>
        <w:lastRenderedPageBreak/>
        <w:t>Personalo politika</w:t>
      </w:r>
    </w:p>
    <w:p w:rsidR="007D35AF" w:rsidRPr="001510F3" w:rsidRDefault="007D35AF" w:rsidP="007D35AF">
      <w:pPr>
        <w:pStyle w:val="Normal12Hanging"/>
        <w:widowControl/>
        <w:rPr>
          <w:szCs w:val="24"/>
        </w:rPr>
      </w:pPr>
      <w:r w:rsidRPr="001510F3">
        <w:t>15.</w:t>
      </w:r>
      <w:r w:rsidRPr="001510F3">
        <w:tab/>
        <w:t>pažymi, kad 2022 m. gruodžio 31 d. etatų planas buvo įvykdytas 98,07 proc.: paskirti 458 iš 467 laikinųjų darbuotojų, patvirtintų pagal Sąjungos biudžetą (patvirtintų pareigybių skaičius toks pat, kaip ir 2021 m.); pažymi, kad 2022 m. Agentūroje taip pat dirbo 128 sutartininkai, 48 laikinieji darbuotojai, penki konsultantai ir 2 deleguotieji nacionaliniai ekspertai;</w:t>
      </w:r>
    </w:p>
    <w:p w:rsidR="007D35AF" w:rsidRPr="001510F3" w:rsidRDefault="007D35AF" w:rsidP="007D35AF">
      <w:pPr>
        <w:pStyle w:val="NormalHanging12a"/>
      </w:pPr>
      <w:r w:rsidRPr="001510F3">
        <w:t>16.</w:t>
      </w:r>
      <w:r w:rsidRPr="001510F3">
        <w:tab/>
        <w:t>primena, kad svarbu užtikrinti darbuotojų lyčių pusiausvyrą, ir šiuo atžvilgiu palankiai vertina tai, kad Agentūra įgyvendino 2022 m. priimtos Įvairovės ir įtraukties chartijos tikslų įgyvendinimo veiksmų planą, kuriuo, be kitų įtraukties priemonių, siekiama užtikrinti lyčių pusiausvyrą valdymo grupėje; prašo Agentūrą informuoti biudžeto įvykdymą tvirtinančią instituciją apie savo veiksmų planą; pripažįsta, kad rezultatams šioje srityje pasiekti reikia laiko; tačiau pažymi, kad lyčių pusiausvyra Agentūros vyresniojoje ir vidurinės grandies vadovybėje šiek tiek pagerėjo: 76 proc. užima vyrai (2021 m. – 82 proc.), o moterys – 24 proc. (18 proc. 2021 m.); pažymi, kad iš viso darbuotojų lyčių pusiausvyra yra 261 vyras (45 proc.) ir 317 moterų (55 proc.);</w:t>
      </w:r>
    </w:p>
    <w:p w:rsidR="007D35AF" w:rsidRPr="001510F3" w:rsidRDefault="007D35AF" w:rsidP="007D35AF">
      <w:pPr>
        <w:pStyle w:val="NormalHanging12a"/>
      </w:pPr>
      <w:r w:rsidRPr="001510F3">
        <w:t>17.</w:t>
      </w:r>
      <w:r w:rsidRPr="001510F3">
        <w:tab/>
        <w:t>su pasitenkinimu pažymi, kad 2022 m. gruodžio 31 d. Agentūroje dirbo darbuotojai iš 26 valstybių narių; pažymi, kad 32 proc. darbuotojų yra valstybės narės, kurioje įsikūrusi Agentūra, piliečiai; primena geografinės pusiausvyros svarbą ir ragina Agentūrą toliau imtis būtinų priemonių, kad būtų užtikrintas subalansuotas ir teisingas geografinis atstovavimas; vis dėlto yra susirūpinęs dėl geografinės pusiausvyros Agentūros vyresniosios ir vidurinės grandies vadovybėje, kurioje yra tik vienas direktorius iš Vidurio ir Rytų Europos; primygtinai tvirtina, kad reikia atlikti patobulinimus; ragina Agentūrą pateikti paaiškinimą šiuo klausimu biudžeto įvykdymą tvirtinančiai institucijai;</w:t>
      </w:r>
    </w:p>
    <w:p w:rsidR="007D35AF" w:rsidRPr="001510F3" w:rsidRDefault="007D35AF" w:rsidP="007D35AF">
      <w:pPr>
        <w:pStyle w:val="NormalHanging12a"/>
      </w:pPr>
      <w:r w:rsidRPr="001510F3">
        <w:t>18.</w:t>
      </w:r>
      <w:r w:rsidRPr="001510F3">
        <w:tab/>
        <w:t>pažymi, kad Agentūra vykdo asmens orumo apsaugos ir psichologinio bei seksualinio priekabiavimo prevencijos politiką, ir priklauso konfidencialių patarėjų tarpžinybinei darbo grupei; nekantriai laukia jų ataskaitos ir rekomendacijų; pažymi, kad 2022 m. nebuvo pranešta apie jokius priekabiavimo atvejus, ir ragina Agentūrą toliau tęsti aktyvų darbą, kad priekabiavimo atvejų nepasitaikytų ir ateityje;</w:t>
      </w:r>
    </w:p>
    <w:p w:rsidR="007D35AF" w:rsidRPr="001510F3" w:rsidRDefault="007D35AF" w:rsidP="007D35AF">
      <w:pPr>
        <w:pStyle w:val="NormalHanging12a"/>
      </w:pPr>
      <w:r w:rsidRPr="001510F3">
        <w:t>19.</w:t>
      </w:r>
      <w:r w:rsidRPr="001510F3">
        <w:tab/>
        <w:t>pažymi, kad nuo 2022 m. kovo mėn. Agentūros darbuotojai pradėjo palaipsniui grįžti į Agentūros patalpas ir 2022 m. spalio mėn. baigė įgyvendinti naujas mišrias darbo taisykles; atsižvelgdamas į tai pažymi, kad naujosiomis taisyklėmis skatinamas lankstumas ir darbuotojų įgalėjimas, kartu išlaikant socialinę sanglaudą ir bendradarbiavimą reguliariai kiekvieną savaitę būnant biure;</w:t>
      </w:r>
    </w:p>
    <w:p w:rsidR="007D35AF" w:rsidRPr="001510F3" w:rsidRDefault="007D35AF" w:rsidP="007D35AF">
      <w:pPr>
        <w:pStyle w:val="NormalHanging12a"/>
        <w:widowControl/>
      </w:pPr>
      <w:r w:rsidRPr="001510F3">
        <w:t>20.</w:t>
      </w:r>
      <w:r w:rsidRPr="001510F3">
        <w:tab/>
        <w:t>pažymi, kad Agentūra pasinaudojo didesniu vidaus judumu, kad patenkintų kintančius mokslinių, techninių ir administracinių ekspertinių žinių poreikius savo darbe; pažymi, kad tai suteikė karjeros galimybių ir taip padėjo motyvuoti Agentūros darbuotojus ir išlaikyti gerų veiklos rezultatų kultūrą, nuolatinį tobulėjimą ir gebėjimą reaguoti; palankiai vertina tai, kad, siekdama motyvuoti darbuotojus ir ugdyti įgūdžių rinkinius, ji taip pat pradėjo įgyvendinti naujas iniciatyvas, įskaitant mentorystę ir konsultuojamąjį ugdymą;</w:t>
      </w:r>
    </w:p>
    <w:p w:rsidR="007D35AF" w:rsidRPr="001510F3" w:rsidRDefault="007D35AF" w:rsidP="007D35AF">
      <w:pPr>
        <w:pStyle w:val="NormalHanging12a"/>
      </w:pPr>
      <w:r w:rsidRPr="001510F3">
        <w:t>21.</w:t>
      </w:r>
      <w:r w:rsidRPr="001510F3">
        <w:tab/>
        <w:t xml:space="preserve">pabrėžia, kad būtina užtikrinti tinkamą darbuotojų skaičių, atsižvelgiant į Europos žaliąjį kursą, Sąjungos cheminių medžiagų strategiją tvarumui užtikrinti, Žiedinės ekonomikos veiksmų planą ir visų pirma nulinės taršos tikslą ir su tuo susijusį užduočių </w:t>
      </w:r>
      <w:r w:rsidRPr="001510F3">
        <w:lastRenderedPageBreak/>
        <w:t>apimties padidėjimą;</w:t>
      </w:r>
    </w:p>
    <w:p w:rsidR="007D35AF" w:rsidRPr="001510F3" w:rsidRDefault="007D35AF" w:rsidP="007D35AF">
      <w:pPr>
        <w:widowControl/>
        <w:spacing w:after="240"/>
        <w:ind w:left="567" w:hanging="567"/>
        <w:rPr>
          <w:b/>
          <w:i/>
          <w:szCs w:val="24"/>
        </w:rPr>
      </w:pPr>
      <w:r w:rsidRPr="001510F3">
        <w:rPr>
          <w:b/>
          <w:i/>
        </w:rPr>
        <w:t>Interesų konfliktų prevencija ir valdymas, taip pat skaidrumas</w:t>
      </w:r>
    </w:p>
    <w:p w:rsidR="007D35AF" w:rsidRPr="001510F3" w:rsidRDefault="007D35AF" w:rsidP="007D35AF">
      <w:pPr>
        <w:widowControl/>
        <w:spacing w:after="240"/>
        <w:ind w:left="567" w:hanging="567"/>
      </w:pPr>
      <w:r w:rsidRPr="001510F3">
        <w:t>22.</w:t>
      </w:r>
      <w:r w:rsidRPr="001510F3">
        <w:tab/>
        <w:t>pažymi, kad, remdamasi išsamiu savo veiklos rizikos vertinimu, Agentūra nustatė procesus ir pagalbinius procesus, kuriuos vykdant reikia valdyti interesų konfliktus; be to, pažymi, kad atliekant visas šias procedūras kiekvieną kartą, kai darbuotojui paskiriama užduotis, procedūros administratorius peržiūri metines interesų deklaracijas, o kai kurių jautrių procedūrų atveju darbuotojas privalo papildomai pateikti su konkrečiu atveju susijusią darbuotojo interesų nebuvimo deklaraciją;</w:t>
      </w:r>
    </w:p>
    <w:p w:rsidR="007D35AF" w:rsidRPr="001510F3" w:rsidRDefault="007D35AF" w:rsidP="007D35AF">
      <w:pPr>
        <w:widowControl/>
        <w:spacing w:after="240"/>
        <w:ind w:left="567" w:hanging="567"/>
        <w:rPr>
          <w:szCs w:val="24"/>
        </w:rPr>
      </w:pPr>
      <w:r w:rsidRPr="001510F3">
        <w:t>23.</w:t>
      </w:r>
      <w:r w:rsidRPr="001510F3">
        <w:tab/>
        <w:t>palankiai vertina tai, kad, siekiant pagerinti praktiką, susijusią su interesų konfliktais pasibaigus tarnybos laikui, valdančioji taryba paskutinį kartą peržiūrėjo Agentūros interesų konfliktų politiką 2023 m. birželio mėn.; pažymi, kad nustatytais pakeitimais stiprinama sisteminga buvusių Agentūros darbuotojų atitikties pasibaigus tarnybos laikui stebėsena, atsižvelgiant į Europos Audito Rūmų rekomendacijas ir biudžeto įvykdymą tvirtinančios institucijos ankstesniais metais pateiktas pastabas;</w:t>
      </w:r>
    </w:p>
    <w:p w:rsidR="007D35AF" w:rsidRPr="001510F3" w:rsidRDefault="007D35AF" w:rsidP="007D35AF">
      <w:pPr>
        <w:widowControl/>
        <w:spacing w:after="240"/>
        <w:ind w:left="567" w:hanging="567"/>
        <w:rPr>
          <w:szCs w:val="24"/>
        </w:rPr>
      </w:pPr>
      <w:r w:rsidRPr="001510F3">
        <w:t>24.</w:t>
      </w:r>
      <w:r w:rsidRPr="001510F3">
        <w:tab/>
        <w:t>pastebi, kad Agentūra savo interneto svetainėje skelbia savo vyresniosios vadovybės susitikimus su interesų grupių atstovais;</w:t>
      </w:r>
    </w:p>
    <w:p w:rsidR="007D35AF" w:rsidRPr="001510F3" w:rsidRDefault="007D35AF" w:rsidP="007D35AF">
      <w:pPr>
        <w:widowControl/>
        <w:spacing w:after="240"/>
        <w:ind w:left="567" w:hanging="567"/>
      </w:pPr>
      <w:r w:rsidRPr="001510F3">
        <w:t>25.</w:t>
      </w:r>
      <w:r w:rsidRPr="001510F3">
        <w:tab/>
        <w:t>palankiai vertina tai, kad 2022 m. Agentūra įdiegė naują elektroninę priemonę, skirtą prie Agentūros darbo prisidedančių išorės ekspertų metinėms interesų deklaracijoms rinkti ir peržiūrėti, taip suteikdama papildomą patikinimą dėl proceso;</w:t>
      </w:r>
    </w:p>
    <w:p w:rsidR="007D35AF" w:rsidRPr="001510F3" w:rsidRDefault="007D35AF" w:rsidP="007D35AF">
      <w:pPr>
        <w:widowControl/>
        <w:spacing w:after="240"/>
        <w:ind w:left="567" w:hanging="567"/>
        <w:rPr>
          <w:szCs w:val="24"/>
        </w:rPr>
      </w:pPr>
      <w:r w:rsidRPr="001510F3">
        <w:t>26.</w:t>
      </w:r>
      <w:r w:rsidRPr="001510F3">
        <w:tab/>
        <w:t>su pasitenkinimu pažymi, kad Agentūros kovos su sukčiavimu strategiją paskutinį kartą jos valdančioji taryba peržiūrėjo 2022 m. gruodžio mėn. ir joje daugiausia dėmesio skiriama kovos su sukčiavimu kultūros palaikymui ir tolesniam plėtojimui Agentūroje ir reguliariam pagrindinių politikos krypčių ir procedūrų peržiūrai; pažymi, kad strategija sustiprinamas vidaus kovos su korupcija mechanizmas, nurodant sukčiavimo prevencijos vaidmenis ir atsakomybę, taip pat kovos su sukčiavimu priemones ir išteklius; palankiai vertina tai, kad 2022 m. visi Agentūros darbuotojai dalyvavo kovos su sukčiavimu mokymuose; su pasitenkinimu pažymi, kad Agentūra yra parengusi informatoriams skirtas gaires, kad Agentūros darbuotojai galėtų pateikti pranešimą apie bet kokią veiklą, kuri prieštarauja viešajam interesui;</w:t>
      </w:r>
    </w:p>
    <w:p w:rsidR="007D35AF" w:rsidRPr="001510F3" w:rsidRDefault="007D35AF" w:rsidP="007D35AF">
      <w:pPr>
        <w:widowControl/>
        <w:spacing w:after="240"/>
        <w:ind w:left="567" w:hanging="567"/>
        <w:rPr>
          <w:szCs w:val="24"/>
        </w:rPr>
      </w:pPr>
      <w:r w:rsidRPr="001510F3">
        <w:t>27.</w:t>
      </w:r>
      <w:r w:rsidRPr="001510F3">
        <w:tab/>
        <w:t>primena, kad Agentūros sprendimų priėmimo procesai parengti taip, kad būtų aiškūs, atviri ir užtikrintų subalansuotą rezultatą, grindžiamą pagrįstu moksliniu požiūriu; pažymi, kad informacija apie Agentūros ir valstybių narių ketinimus, pvz., nagrinėti chemines medžiagas arba rengti dokumentų rinkinius, yra prieinama internete, todėl įmonės turi prieigą prie duomenų, kurių joms reikia, kad galėtų priimti informacija pagrįstus verslo sprendimus; be to, pažymi, kad akredituotos suinteresuotųjų subjektų organizacijos gali dalyvauti moksliniuose susitikimuose stebėtojų teisėmis, išskyrus atvejus, kai dėl konfidencialios verslo informacijos reikia užbaigti sesijas; be to, pažymi, kad Agentūros mokslinių komitetų svarstymai, nuomonės ir išvados pateikiamos nuomonėse ir protokoluose ir skelbiamos internete;</w:t>
      </w:r>
    </w:p>
    <w:p w:rsidR="007D35AF" w:rsidRPr="001510F3" w:rsidRDefault="007D35AF" w:rsidP="007D35AF">
      <w:pPr>
        <w:pStyle w:val="NormalHanging12a"/>
      </w:pPr>
      <w:r w:rsidRPr="001510F3">
        <w:t>28.</w:t>
      </w:r>
      <w:r w:rsidRPr="001510F3">
        <w:tab/>
        <w:t>primena, kad Agentūrai svarbu didinti matomumą žiniasklaidoje, internete ir socialinėje žiniasklaidoje, siekiant su savo darbu supažindinti visuomenę;</w:t>
      </w:r>
    </w:p>
    <w:p w:rsidR="007D35AF" w:rsidRPr="001510F3" w:rsidRDefault="007D35AF" w:rsidP="007D35AF">
      <w:pPr>
        <w:widowControl/>
        <w:spacing w:after="240"/>
        <w:ind w:left="567" w:hanging="567"/>
        <w:rPr>
          <w:b/>
          <w:i/>
          <w:szCs w:val="24"/>
        </w:rPr>
      </w:pPr>
      <w:r w:rsidRPr="001510F3">
        <w:rPr>
          <w:b/>
          <w:i/>
        </w:rPr>
        <w:t>Kitos pastabos</w:t>
      </w:r>
    </w:p>
    <w:p w:rsidR="007D35AF" w:rsidRPr="001510F3" w:rsidRDefault="007D35AF" w:rsidP="007D35AF">
      <w:pPr>
        <w:widowControl/>
        <w:spacing w:after="240"/>
        <w:ind w:left="567" w:hanging="567"/>
        <w:rPr>
          <w:szCs w:val="24"/>
        </w:rPr>
      </w:pPr>
      <w:r w:rsidRPr="001510F3">
        <w:lastRenderedPageBreak/>
        <w:t>29.</w:t>
      </w:r>
      <w:r w:rsidRPr="001510F3">
        <w:tab/>
        <w:t>palankiai vertina tai, kad 2022 m. Agentūra patvirtino kibernetinio saugumo politiką ir atliko visos IT rizikos vertinimą; be to, pažymi, kad Agentūra įvedė biometrinio tapatumo nustatymo galimybę, pagerino saugumo operacijų centro matomumą ir atliko duomenų centrų gedimų testavimą;</w:t>
      </w:r>
    </w:p>
    <w:p w:rsidR="007D35AF" w:rsidRPr="001510F3" w:rsidRDefault="007D35AF" w:rsidP="007D35AF">
      <w:pPr>
        <w:widowControl/>
        <w:spacing w:after="240"/>
        <w:ind w:left="567" w:hanging="567"/>
        <w:rPr>
          <w:szCs w:val="24"/>
        </w:rPr>
      </w:pPr>
      <w:r w:rsidRPr="001510F3">
        <w:t>30.</w:t>
      </w:r>
      <w:r w:rsidRPr="001510F3">
        <w:tab/>
        <w:t>su pasitenkinimu pažymi, kad 2022 m. Agentūra prisijungė prie Europos Komisijos viešųjų pirkimų valdymo priemonės (PPMT) bandomojo etapo, kad išbandytų šią e. viešųjų pirkimų priemonę (iki jos įdiegimo 2023 m.); atkreipia dėmesį į tai, kad Agentūra jau anksčiau buvo įdiegusi kitas e. viešųjų pirkimų priemones, pvz., „eTendering“ arba „eSubmission“, ir tuo pat metu 2022 m. atnaujino savo prenumeratą „Cloudia“ – Suomijos valdžios institucijų centrinės perkančiosios organizacijos e. viešųjų pirkimų platformoje, kad visi administraciniai viešieji pirkimai vykdomi per „Hansel“ būtų visiškai suskaitmeninti;</w:t>
      </w:r>
    </w:p>
    <w:p w:rsidR="007D35AF" w:rsidRPr="001510F3" w:rsidRDefault="007D35AF" w:rsidP="007D35AF">
      <w:pPr>
        <w:widowControl/>
        <w:spacing w:after="240"/>
        <w:ind w:left="567" w:hanging="567"/>
        <w:rPr>
          <w:rFonts w:eastAsia="Calibri"/>
          <w:iCs/>
          <w:szCs w:val="24"/>
        </w:rPr>
      </w:pPr>
      <w:r w:rsidRPr="001510F3">
        <w:t>31.</w:t>
      </w:r>
      <w:r w:rsidRPr="001510F3">
        <w:tab/>
        <w:t>pastebi, kad 2022 m. buvo sėkmingai atnaujinta Aplinkosaugos vadybos ir audito sistema (EMAS) ir ISO 14001 sertifikatai; remdamasis Audito Rūmų ataskaita, džiaugdamasis pažymi, kad Agentūra yra viena iš agentūrų, skelbiančių metinę aplinkosaugos ataskaitą;</w:t>
      </w:r>
    </w:p>
    <w:p w:rsidR="007D35AF" w:rsidRPr="001510F3" w:rsidRDefault="007D35AF" w:rsidP="007D35AF">
      <w:pPr>
        <w:pStyle w:val="NormalHanging12a"/>
      </w:pPr>
      <w:r w:rsidRPr="001510F3">
        <w:t>32.</w:t>
      </w:r>
      <w:r w:rsidRPr="001510F3">
        <w:tab/>
        <w:t>atkreipia dėmesį į tai, kad Agentūra toliau dėjo pastangas, kad Europoje būtų palaipsniui nutraukti bandymai su gyvūnais, kiek tai įmanoma pagal dabartinę reglamentavimo sistemą; pažymi, kad Agentūra skatina bandymų su gyvūnais alternatyvas trimis būdais: sutelkdama dėmesį į medžiagų grupes taikant atskirą strategiją, investuodama į tarptautinę veiklą, kuria skatinamos alternatyvos ir naujo požiūrio metodikos, ir sudarydama sąlygas naudotis Agentūros turimais duomenimis; pakartoja savo raginimą Agentūrai paspartinti laipsniško panaikinimo procesą; be to, pažymi, kad Agentūra bendradarbiauja su Komisija ir kitais suinteresuotaisiais subjektais, kad padėtų Komisijai parengti veiksmų gaires dėl visiško cheminių medžiagų bandymų su gyvūnais pakeitimo;</w:t>
      </w:r>
    </w:p>
    <w:p w:rsidR="007D35AF" w:rsidRPr="001510F3" w:rsidRDefault="007D35AF" w:rsidP="007D35AF">
      <w:pPr>
        <w:pStyle w:val="NormalHanging12a"/>
      </w:pPr>
      <w:r w:rsidRPr="001510F3">
        <w:t>33.</w:t>
      </w:r>
      <w:r w:rsidRPr="001510F3">
        <w:tab/>
        <w:t>palankiai vertina tai, kad Agentūra toliau įgyvendino įvairias priemones, kad padidintų savo viešumą ir matomumą internete, savo interneto svetainėje skelbdama naujas versijas ir dažnai atnaujindama informaciją, sukūrė bendrą kanalą „Instagram“ kartu su keturiomis agentūromis, pavadintą „One Health One Environment“, ir palankiai vertina jos veiklą socialiniuose tinkluose; atsižvelgdamas į tai, pažymi, kad 2022 m., palyginti su 2021 m., padidėjo bendras Agentūros nušvietimas žiniasklaidoje ir pagerėjo jos socialinės žiniasklaidos rodikliai;</w:t>
      </w:r>
    </w:p>
    <w:p w:rsidR="007D35AF" w:rsidRPr="001510F3" w:rsidRDefault="007D35AF" w:rsidP="007D35AF">
      <w:pPr>
        <w:pStyle w:val="NormalCenter12a"/>
        <w:rPr>
          <w:szCs w:val="24"/>
        </w:rPr>
      </w:pPr>
      <w:r w:rsidRPr="001510F3">
        <w:t>°</w:t>
      </w:r>
    </w:p>
    <w:p w:rsidR="007D35AF" w:rsidRPr="001510F3" w:rsidRDefault="007D35AF" w:rsidP="007D35AF">
      <w:pPr>
        <w:pStyle w:val="NormalCenter12a"/>
        <w:rPr>
          <w:szCs w:val="24"/>
        </w:rPr>
      </w:pPr>
      <w:r w:rsidRPr="001510F3">
        <w:t>°</w:t>
      </w:r>
      <w:r w:rsidRPr="001510F3">
        <w:tab/>
        <w:t>°</w:t>
      </w:r>
    </w:p>
    <w:p w:rsidR="007D35AF" w:rsidRPr="001510F3" w:rsidRDefault="007D35AF" w:rsidP="007D35AF">
      <w:pPr>
        <w:pStyle w:val="NormalHanging12a"/>
        <w:widowControl/>
      </w:pPr>
      <w:r w:rsidRPr="001510F3">
        <w:t>34.</w:t>
      </w:r>
      <w:r w:rsidRPr="001510F3">
        <w:tab/>
        <w:t xml:space="preserve">pažymi, kad kitos su sprendimu dėl biudžeto įvykdymo patvirtinimo susijusios pastabos, kurios yra horizontaliojo pobūdžio, pateikiamos jo </w:t>
      </w:r>
      <w:r w:rsidR="00376CE5" w:rsidRPr="001510F3">
        <w:t xml:space="preserve">2024 m. balandžio 11 d. </w:t>
      </w:r>
      <w:r w:rsidRPr="001510F3">
        <w:t>rezoliucijoje</w:t>
      </w:r>
      <w:r w:rsidRPr="001510F3">
        <w:rPr>
          <w:vertAlign w:val="superscript"/>
        </w:rPr>
        <w:footnoteReference w:id="16"/>
      </w:r>
      <w:r w:rsidRPr="001510F3">
        <w:t xml:space="preserve"> dėl agentūrų veiklos, finansų valdymo ir kontrolės.</w:t>
      </w:r>
    </w:p>
    <w:p w:rsidR="00E365E1" w:rsidRPr="001510F3" w:rsidRDefault="00E365E1" w:rsidP="007E7B21">
      <w:bookmarkStart w:id="12" w:name="TextBodyEnd"/>
      <w:bookmarkEnd w:id="12"/>
    </w:p>
    <w:sectPr w:rsidR="00E365E1" w:rsidRPr="001510F3" w:rsidSect="00141D6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B21" w:rsidRPr="00141D6B" w:rsidRDefault="007E7B21">
      <w:r w:rsidRPr="00141D6B">
        <w:separator/>
      </w:r>
    </w:p>
  </w:endnote>
  <w:endnote w:type="continuationSeparator" w:id="0">
    <w:p w:rsidR="007E7B21" w:rsidRPr="00141D6B" w:rsidRDefault="007E7B21">
      <w:r w:rsidRPr="00141D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5AF" w:rsidRPr="00141D6B" w:rsidRDefault="007D35AF" w:rsidP="008A7877">
    <w:pPr>
      <w:pStyle w:val="EPFooter"/>
    </w:pPr>
    <w:r w:rsidRPr="00141D6B">
      <w:t>PE</w:t>
    </w:r>
    <w:r w:rsidRPr="00141D6B">
      <w:rPr>
        <w:rStyle w:val="HideTWBExt"/>
      </w:rPr>
      <w:t>&lt;NoPE&gt;</w:t>
    </w:r>
    <w:r w:rsidRPr="00141D6B">
      <w:t>753.516</w:t>
    </w:r>
    <w:r w:rsidRPr="00141D6B">
      <w:rPr>
        <w:rStyle w:val="HideTWBExt"/>
      </w:rPr>
      <w:t>&lt;/NoPE&gt;&lt;Version&gt;</w:t>
    </w:r>
    <w:r w:rsidRPr="00141D6B">
      <w:t>v02-00</w:t>
    </w:r>
    <w:r w:rsidRPr="00141D6B">
      <w:rPr>
        <w:rStyle w:val="HideTWBExt"/>
      </w:rPr>
      <w:t>&lt;/Version&gt;</w:t>
    </w:r>
    <w:r w:rsidRPr="00141D6B">
      <w:tab/>
    </w:r>
    <w:r w:rsidRPr="00141D6B">
      <w:fldChar w:fldCharType="begin"/>
    </w:r>
    <w:r w:rsidRPr="00141D6B">
      <w:instrText xml:space="preserve"> PAGE  \* MERGEFORMAT </w:instrText>
    </w:r>
    <w:r w:rsidRPr="00141D6B">
      <w:fldChar w:fldCharType="separate"/>
    </w:r>
    <w:r w:rsidR="00141D6B" w:rsidRPr="00141D6B">
      <w:rPr>
        <w:noProof/>
      </w:rPr>
      <w:t>2</w:t>
    </w:r>
    <w:r w:rsidRPr="00141D6B">
      <w:fldChar w:fldCharType="end"/>
    </w:r>
    <w:r w:rsidRPr="00141D6B">
      <w:t>/</w:t>
    </w:r>
    <w:fldSimple w:instr=" NUMPAGES  \* MERGEFORMAT ">
      <w:r w:rsidR="00141D6B" w:rsidRPr="00141D6B">
        <w:rPr>
          <w:noProof/>
        </w:rPr>
        <w:t>3</w:t>
      </w:r>
    </w:fldSimple>
    <w:r w:rsidRPr="00141D6B">
      <w:tab/>
    </w:r>
    <w:r w:rsidRPr="00141D6B">
      <w:rPr>
        <w:rStyle w:val="HideTWBExt"/>
      </w:rPr>
      <w:t>&lt;PathFdR&gt;</w:t>
    </w:r>
    <w:r w:rsidRPr="00141D6B">
      <w:t>RR\1299248LT.docx</w:t>
    </w:r>
    <w:r w:rsidRPr="00141D6B">
      <w:rPr>
        <w:rStyle w:val="HideTWBExt"/>
      </w:rPr>
      <w:t>&lt;/PathFdR&gt;</w:t>
    </w:r>
  </w:p>
  <w:p w:rsidR="007D35AF" w:rsidRPr="00141D6B" w:rsidRDefault="007D35AF" w:rsidP="008A7877">
    <w:pPr>
      <w:pStyle w:val="EPFooter2"/>
    </w:pPr>
    <w:r w:rsidRPr="00141D6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5AF" w:rsidRPr="00141D6B" w:rsidRDefault="007D35AF" w:rsidP="008A787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5AF" w:rsidRPr="00141D6B" w:rsidRDefault="007D35AF" w:rsidP="008A7877">
    <w:pPr>
      <w:pStyle w:val="EPFooter"/>
    </w:pPr>
    <w:r w:rsidRPr="00141D6B">
      <w:rPr>
        <w:rStyle w:val="HideTWBExt"/>
      </w:rPr>
      <w:t>&lt;PathFdR&gt;</w:t>
    </w:r>
    <w:r w:rsidRPr="00141D6B">
      <w:t>RR\1299248LT.docx</w:t>
    </w:r>
    <w:r w:rsidRPr="00141D6B">
      <w:rPr>
        <w:rStyle w:val="HideTWBExt"/>
      </w:rPr>
      <w:t>&lt;/PathFdR&gt;</w:t>
    </w:r>
    <w:r w:rsidRPr="00141D6B">
      <w:tab/>
    </w:r>
    <w:r w:rsidRPr="00141D6B">
      <w:tab/>
      <w:t>PE</w:t>
    </w:r>
    <w:r w:rsidRPr="00141D6B">
      <w:rPr>
        <w:rStyle w:val="HideTWBExt"/>
      </w:rPr>
      <w:t>&lt;NoPE&gt;</w:t>
    </w:r>
    <w:r w:rsidRPr="00141D6B">
      <w:t>753.516</w:t>
    </w:r>
    <w:r w:rsidRPr="00141D6B">
      <w:rPr>
        <w:rStyle w:val="HideTWBExt"/>
      </w:rPr>
      <w:t>&lt;/NoPE&gt;&lt;Version&gt;</w:t>
    </w:r>
    <w:r w:rsidRPr="00141D6B">
      <w:t>v02-00</w:t>
    </w:r>
    <w:r w:rsidRPr="00141D6B">
      <w:rPr>
        <w:rStyle w:val="HideTWBExt"/>
      </w:rPr>
      <w:t>&lt;/Version&gt;</w:t>
    </w:r>
  </w:p>
  <w:p w:rsidR="007D35AF" w:rsidRPr="00141D6B" w:rsidRDefault="007D35AF" w:rsidP="008A7877">
    <w:pPr>
      <w:pStyle w:val="EPFooter2"/>
    </w:pPr>
    <w:r w:rsidRPr="00141D6B">
      <w:t>LT</w:t>
    </w:r>
    <w:r w:rsidRPr="00141D6B">
      <w:tab/>
    </w:r>
    <w:r w:rsidRPr="00141D6B">
      <w:rPr>
        <w:b w:val="0"/>
        <w:i/>
        <w:color w:val="C0C0C0"/>
        <w:sz w:val="22"/>
      </w:rPr>
      <w:t>Suvienijusi įvairovę</w:t>
    </w:r>
    <w:r w:rsidRPr="00141D6B">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D6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D6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D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B21" w:rsidRPr="00141D6B" w:rsidRDefault="007E7B21">
      <w:r w:rsidRPr="00141D6B">
        <w:separator/>
      </w:r>
    </w:p>
  </w:footnote>
  <w:footnote w:type="continuationSeparator" w:id="0">
    <w:p w:rsidR="007E7B21" w:rsidRPr="00141D6B" w:rsidRDefault="007E7B21">
      <w:r w:rsidRPr="00141D6B">
        <w:continuationSeparator/>
      </w:r>
    </w:p>
  </w:footnote>
  <w:footnote w:id="1">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C, C/2023/594, 2023 10 27.</w:t>
      </w:r>
    </w:p>
  </w:footnote>
  <w:footnote w:id="2">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C, C/2023/112, 2023 10 12.</w:t>
      </w:r>
    </w:p>
  </w:footnote>
  <w:footnote w:id="3">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L 193, 2018 7 30, p. 1.</w:t>
      </w:r>
    </w:p>
  </w:footnote>
  <w:footnote w:id="4">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L 396, 2006 12 30, p. 1.</w:t>
      </w:r>
    </w:p>
  </w:footnote>
  <w:footnote w:id="5">
    <w:p w:rsidR="007D35AF" w:rsidRPr="00141D6B" w:rsidRDefault="007D35AF" w:rsidP="00141D6B">
      <w:pPr>
        <w:pStyle w:val="FootnoteText"/>
        <w:ind w:left="567" w:hanging="567"/>
        <w:rPr>
          <w:sz w:val="24"/>
          <w:szCs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L 122, 2019 5 10, p. 1</w:t>
      </w:r>
    </w:p>
  </w:footnote>
  <w:footnote w:id="6">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C, C/2023/594, 2023 10 27.</w:t>
      </w:r>
    </w:p>
  </w:footnote>
  <w:footnote w:id="7">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C, C/2023/112, 2023 10 12.</w:t>
      </w:r>
    </w:p>
  </w:footnote>
  <w:footnote w:id="8">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L 193, 2018 7 30, p. 1.</w:t>
      </w:r>
    </w:p>
  </w:footnote>
  <w:footnote w:id="9">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L 396, 2006 12 30, p. 1.</w:t>
      </w:r>
    </w:p>
  </w:footnote>
  <w:footnote w:id="10">
    <w:p w:rsidR="007D35AF" w:rsidRPr="00141D6B" w:rsidRDefault="007D35AF" w:rsidP="00141D6B">
      <w:pPr>
        <w:pStyle w:val="FootnoteText"/>
        <w:ind w:left="567" w:hanging="567"/>
        <w:rPr>
          <w:sz w:val="24"/>
          <w:szCs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L 122, 2019 5 10, p. 1</w:t>
      </w:r>
    </w:p>
  </w:footnote>
  <w:footnote w:id="11">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OL C 453, 2022 11 29, p. 39.</w:t>
      </w:r>
    </w:p>
  </w:footnote>
  <w:footnote w:id="12">
    <w:p w:rsidR="007D35AF" w:rsidRPr="00141D6B" w:rsidRDefault="007D35AF" w:rsidP="00141D6B">
      <w:pPr>
        <w:pStyle w:val="FootnoteText"/>
        <w:ind w:left="567" w:hanging="567"/>
        <w:rPr>
          <w:sz w:val="24"/>
          <w:lang w:val="lt-LT"/>
        </w:rPr>
      </w:pPr>
      <w:r w:rsidRPr="00141D6B">
        <w:rPr>
          <w:sz w:val="24"/>
          <w:vertAlign w:val="superscript"/>
          <w:lang w:val="lt-LT"/>
        </w:rPr>
        <w:footnoteRef/>
      </w:r>
      <w:r w:rsidR="00141D6B" w:rsidRPr="00141D6B">
        <w:rPr>
          <w:sz w:val="24"/>
          <w:lang w:val="lt-LT"/>
        </w:rPr>
        <w:t xml:space="preserve"> </w:t>
      </w:r>
      <w:r w:rsidR="00141D6B" w:rsidRPr="00141D6B">
        <w:rPr>
          <w:sz w:val="24"/>
          <w:lang w:val="lt-LT"/>
        </w:rPr>
        <w:tab/>
      </w:r>
      <w:r w:rsidRPr="00141D6B">
        <w:rPr>
          <w:sz w:val="24"/>
          <w:lang w:val="lt-LT"/>
        </w:rPr>
        <w:t>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w:t>
      </w:r>
      <w:r w:rsidRPr="00141D6B">
        <w:rPr>
          <w:sz w:val="24"/>
          <w:lang w:val="lt-LT"/>
        </w:rPr>
        <w:t>1488/94, Tarybos direktyvą 76/769/EEB ir Komisijos direktyvas 91/155/EEB, 93/67/EEB, 93/105/EB bei 2000/21/EB (O</w:t>
      </w:r>
      <w:r w:rsidR="0031241F">
        <w:rPr>
          <w:sz w:val="24"/>
          <w:lang w:val="lt-LT"/>
        </w:rPr>
        <w:t>L</w:t>
      </w:r>
      <w:bookmarkStart w:id="10" w:name="_MON_1777232395"/>
      <w:bookmarkEnd w:id="10"/>
      <w:r w:rsidR="0031241F">
        <w:rPr>
          <w:sz w:val="24"/>
          <w:lang w:val="lt-LT"/>
        </w:rPr>
        <w:object w:dxaOrig="1534"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v:imagedata r:id="rId1" o:title=""/>
          </v:shape>
          <o:OLEObject Type="Embed" ProgID="Word.Document.12" ShapeID="_x0000_i1025" DrawAspect="Icon" ObjectID="_1777232419" r:id="rId2">
            <o:FieldCodes>\s</o:FieldCodes>
          </o:OLEObject>
        </w:object>
      </w:r>
      <w:r w:rsidRPr="00141D6B">
        <w:rPr>
          <w:sz w:val="24"/>
          <w:lang w:val="lt-LT"/>
        </w:rPr>
        <w:t> L 396, 2006 12 30, p. 1).</w:t>
      </w:r>
    </w:p>
  </w:footnote>
  <w:footnote w:id="13">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footnote>
  <w:footnote w:id="14">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2012 m. gegužės 22 d. Europos Parlamento ir Tarybos reglamentas (ES) Nr. 528/2012 dėl biocidinių produktų tiekimo rinkai ir jų naudojimo (OL L 167, 2012 6 27, p. 1).</w:t>
      </w:r>
    </w:p>
  </w:footnote>
  <w:footnote w:id="15">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141D6B">
        <w:rPr>
          <w:sz w:val="24"/>
          <w:lang w:val="lt-LT"/>
        </w:rPr>
        <w:t xml:space="preserve">2009 m. spalio 21 d. </w:t>
      </w:r>
      <w:r w:rsidRPr="00141D6B">
        <w:rPr>
          <w:sz w:val="24"/>
          <w:lang w:val="lt-LT"/>
        </w:rPr>
        <w:t xml:space="preserve">Europos Parlamento ir Tarybos reglamentą (EB) </w:t>
      </w:r>
      <w:r w:rsidR="0031241F">
        <w:rPr>
          <w:sz w:val="24"/>
          <w:lang w:val="lt-LT"/>
        </w:rPr>
        <w:t xml:space="preserve">Nr. </w:t>
      </w:r>
      <w:r w:rsidRPr="00141D6B">
        <w:rPr>
          <w:sz w:val="24"/>
          <w:lang w:val="lt-LT"/>
        </w:rPr>
        <w:t>1107/2009 dėl augalų apsaugos produktų pateikimo į rinką ir panaikinantį Tarybos direktyvas 79/117/EEB ir 91/414/EEB (OL L 309, 2009 11 24, p. 1),</w:t>
      </w:r>
    </w:p>
  </w:footnote>
  <w:footnote w:id="16">
    <w:p w:rsidR="007D35AF" w:rsidRPr="00141D6B" w:rsidRDefault="007D35AF" w:rsidP="00141D6B">
      <w:pPr>
        <w:pStyle w:val="FootnoteText"/>
        <w:ind w:left="567" w:hanging="567"/>
        <w:rPr>
          <w:sz w:val="24"/>
          <w:lang w:val="lt-LT"/>
        </w:rPr>
      </w:pPr>
      <w:r w:rsidRPr="00141D6B">
        <w:rPr>
          <w:rStyle w:val="FootnoteReference"/>
          <w:sz w:val="24"/>
          <w:lang w:val="lt-LT"/>
        </w:rPr>
        <w:footnoteRef/>
      </w:r>
      <w:r w:rsidR="00141D6B" w:rsidRPr="00141D6B">
        <w:rPr>
          <w:sz w:val="24"/>
          <w:lang w:val="lt-LT"/>
        </w:rPr>
        <w:t xml:space="preserve"> </w:t>
      </w:r>
      <w:r w:rsidR="00141D6B" w:rsidRPr="00141D6B">
        <w:rPr>
          <w:sz w:val="24"/>
          <w:lang w:val="lt-LT"/>
        </w:rPr>
        <w:tab/>
      </w:r>
      <w:r w:rsidRPr="006C390D">
        <w:rPr>
          <w:sz w:val="24"/>
          <w:lang w:val="lt-LT"/>
        </w:rPr>
        <w:t>Priimti tekstai, P9_</w:t>
      </w:r>
      <w:r w:rsidRPr="001510F3">
        <w:rPr>
          <w:sz w:val="24"/>
          <w:lang w:val="lt-LT"/>
        </w:rPr>
        <w:t>TA(2024)0</w:t>
      </w:r>
      <w:r w:rsidR="00F1526A" w:rsidRPr="001510F3">
        <w:rPr>
          <w:sz w:val="24"/>
          <w:lang w:val="lt-LT"/>
        </w:rPr>
        <w:t>28</w:t>
      </w:r>
      <w:r w:rsidRPr="001510F3">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5AF" w:rsidRPr="00141D6B" w:rsidRDefault="007D3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5AF" w:rsidRPr="00141D6B" w:rsidRDefault="007D35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5AF" w:rsidRPr="00141D6B" w:rsidRDefault="007D35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D6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D6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D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LT"/>
    <w:docVar w:name="dvnumam" w:val="0"/>
    <w:docVar w:name="dvpe" w:val="753.516"/>
    <w:docVar w:name="dvrapporteur" w:val="Pranešėjas: "/>
    <w:docVar w:name="dvtitre" w:val="1.2024 m. balandzio 11 d. Europos Parlamento sprendimas dėl Europos cheminių medžiagų agentūros 2022 finansinių metų biudžeto įvykdymo patvirtinimo(2023/2148(DEC))"/>
  </w:docVars>
  <w:rsids>
    <w:rsidRoot w:val="007E7B21"/>
    <w:rsid w:val="00002272"/>
    <w:rsid w:val="00064002"/>
    <w:rsid w:val="000677B9"/>
    <w:rsid w:val="000831BA"/>
    <w:rsid w:val="000A42CC"/>
    <w:rsid w:val="000E7DD9"/>
    <w:rsid w:val="0010095E"/>
    <w:rsid w:val="00125B37"/>
    <w:rsid w:val="00141D6B"/>
    <w:rsid w:val="001510F3"/>
    <w:rsid w:val="001718AC"/>
    <w:rsid w:val="00187494"/>
    <w:rsid w:val="001F32AE"/>
    <w:rsid w:val="002767FF"/>
    <w:rsid w:val="002B18FE"/>
    <w:rsid w:val="002B5493"/>
    <w:rsid w:val="0031241F"/>
    <w:rsid w:val="00343214"/>
    <w:rsid w:val="00361C00"/>
    <w:rsid w:val="00376CE5"/>
    <w:rsid w:val="00395FA1"/>
    <w:rsid w:val="003967BF"/>
    <w:rsid w:val="003E021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390D"/>
    <w:rsid w:val="006C6126"/>
    <w:rsid w:val="006F3D3E"/>
    <w:rsid w:val="006F74FA"/>
    <w:rsid w:val="00731ADD"/>
    <w:rsid w:val="00734777"/>
    <w:rsid w:val="00747932"/>
    <w:rsid w:val="00751A4A"/>
    <w:rsid w:val="00756632"/>
    <w:rsid w:val="00762C74"/>
    <w:rsid w:val="00786EC0"/>
    <w:rsid w:val="007D1690"/>
    <w:rsid w:val="007D35AF"/>
    <w:rsid w:val="007E22AD"/>
    <w:rsid w:val="007E7B21"/>
    <w:rsid w:val="00817416"/>
    <w:rsid w:val="00842779"/>
    <w:rsid w:val="00865F67"/>
    <w:rsid w:val="00881A7B"/>
    <w:rsid w:val="008840E5"/>
    <w:rsid w:val="00887B3E"/>
    <w:rsid w:val="00897FA8"/>
    <w:rsid w:val="008C2AC6"/>
    <w:rsid w:val="00930C23"/>
    <w:rsid w:val="0093193B"/>
    <w:rsid w:val="009509D8"/>
    <w:rsid w:val="00950B64"/>
    <w:rsid w:val="00981893"/>
    <w:rsid w:val="00A1687D"/>
    <w:rsid w:val="00A43E52"/>
    <w:rsid w:val="00A4572C"/>
    <w:rsid w:val="00A4678D"/>
    <w:rsid w:val="00A778C7"/>
    <w:rsid w:val="00AB441E"/>
    <w:rsid w:val="00AB6293"/>
    <w:rsid w:val="00AC1DEE"/>
    <w:rsid w:val="00AE0928"/>
    <w:rsid w:val="00AF3B82"/>
    <w:rsid w:val="00B12E95"/>
    <w:rsid w:val="00B22876"/>
    <w:rsid w:val="00B558F0"/>
    <w:rsid w:val="00BD48FE"/>
    <w:rsid w:val="00BD7BD8"/>
    <w:rsid w:val="00BE6ADC"/>
    <w:rsid w:val="00C05BFE"/>
    <w:rsid w:val="00C23CD4"/>
    <w:rsid w:val="00C36382"/>
    <w:rsid w:val="00C61C0C"/>
    <w:rsid w:val="00C941CB"/>
    <w:rsid w:val="00CC2357"/>
    <w:rsid w:val="00CF071A"/>
    <w:rsid w:val="00D058B8"/>
    <w:rsid w:val="00D250C7"/>
    <w:rsid w:val="00D500BB"/>
    <w:rsid w:val="00D56C11"/>
    <w:rsid w:val="00D834A0"/>
    <w:rsid w:val="00D872DF"/>
    <w:rsid w:val="00D91E21"/>
    <w:rsid w:val="00DA7FCD"/>
    <w:rsid w:val="00E0078A"/>
    <w:rsid w:val="00E365E1"/>
    <w:rsid w:val="00E820A4"/>
    <w:rsid w:val="00EB006A"/>
    <w:rsid w:val="00EB4772"/>
    <w:rsid w:val="00ED169E"/>
    <w:rsid w:val="00ED4235"/>
    <w:rsid w:val="00F04346"/>
    <w:rsid w:val="00F075DC"/>
    <w:rsid w:val="00F149E9"/>
    <w:rsid w:val="00F1526A"/>
    <w:rsid w:val="00F5134D"/>
    <w:rsid w:val="00F74202"/>
    <w:rsid w:val="00F87713"/>
    <w:rsid w:val="00F97A2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D5953"/>
  <w15:chartTrackingRefBased/>
  <w15:docId w15:val="{A43A3987-C36C-44E1-B763-ED7503ECE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D35A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D35AF"/>
    <w:pPr>
      <w:spacing w:before="480" w:after="240"/>
    </w:pPr>
  </w:style>
  <w:style w:type="paragraph" w:customStyle="1" w:styleId="PageHeading">
    <w:name w:val="PageHeading"/>
    <w:basedOn w:val="Normal"/>
    <w:rsid w:val="007D35AF"/>
    <w:pPr>
      <w:keepNext/>
      <w:spacing w:after="480"/>
      <w:jc w:val="center"/>
    </w:pPr>
    <w:rPr>
      <w:rFonts w:ascii="Arial" w:hAnsi="Arial" w:cs="Arial"/>
      <w:b/>
    </w:rPr>
  </w:style>
  <w:style w:type="paragraph" w:customStyle="1" w:styleId="NormalBold">
    <w:name w:val="NormalBold"/>
    <w:basedOn w:val="Normal"/>
    <w:rsid w:val="007D35AF"/>
    <w:rPr>
      <w:b/>
    </w:rPr>
  </w:style>
  <w:style w:type="paragraph" w:customStyle="1" w:styleId="NormalHanging12a">
    <w:name w:val="NormalHanging12a"/>
    <w:basedOn w:val="Normal"/>
    <w:link w:val="NormalHanging12aChar"/>
    <w:rsid w:val="007D35AF"/>
    <w:pPr>
      <w:spacing w:after="240"/>
      <w:ind w:left="567" w:hanging="567"/>
    </w:pPr>
  </w:style>
  <w:style w:type="paragraph" w:customStyle="1" w:styleId="NormalCenter12a">
    <w:name w:val="NormalCenter12a"/>
    <w:basedOn w:val="Normal"/>
    <w:rsid w:val="007D35AF"/>
    <w:pPr>
      <w:spacing w:after="240"/>
      <w:jc w:val="center"/>
    </w:pPr>
  </w:style>
  <w:style w:type="paragraph" w:styleId="Header">
    <w:name w:val="header"/>
    <w:basedOn w:val="Normal"/>
    <w:link w:val="HeaderChar"/>
    <w:rsid w:val="007D35AF"/>
    <w:pPr>
      <w:tabs>
        <w:tab w:val="center" w:pos="4513"/>
        <w:tab w:val="right" w:pos="9026"/>
      </w:tabs>
    </w:pPr>
  </w:style>
  <w:style w:type="character" w:customStyle="1" w:styleId="HeaderChar">
    <w:name w:val="Header Char"/>
    <w:basedOn w:val="DefaultParagraphFont"/>
    <w:link w:val="Header"/>
    <w:rsid w:val="007D35AF"/>
    <w:rPr>
      <w:sz w:val="24"/>
      <w:lang w:val="lt-LT"/>
    </w:rPr>
  </w:style>
  <w:style w:type="paragraph" w:customStyle="1" w:styleId="EPFooter">
    <w:name w:val="EPFooter"/>
    <w:basedOn w:val="Normal"/>
    <w:rsid w:val="007D35AF"/>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7D35AF"/>
    <w:rPr>
      <w:sz w:val="24"/>
      <w:lang w:val="lt-LT"/>
    </w:rPr>
  </w:style>
  <w:style w:type="paragraph" w:customStyle="1" w:styleId="Normal12Hanging">
    <w:name w:val="Normal12Hanging"/>
    <w:basedOn w:val="Normal"/>
    <w:link w:val="Normal12HangingChar"/>
    <w:rsid w:val="007D35AF"/>
    <w:pPr>
      <w:spacing w:after="240"/>
      <w:ind w:left="567" w:hanging="567"/>
    </w:pPr>
  </w:style>
  <w:style w:type="character" w:customStyle="1" w:styleId="Normal12HangingChar">
    <w:name w:val="Normal12Hanging Char"/>
    <w:link w:val="Normal12Hanging"/>
    <w:locked/>
    <w:rsid w:val="007D35AF"/>
    <w:rPr>
      <w:sz w:val="24"/>
      <w:lang w:val="lt-LT"/>
    </w:rPr>
  </w:style>
  <w:style w:type="paragraph" w:styleId="BalloonText">
    <w:name w:val="Balloon Text"/>
    <w:basedOn w:val="Normal"/>
    <w:link w:val="BalloonTextChar"/>
    <w:rsid w:val="00E0078A"/>
    <w:rPr>
      <w:rFonts w:ascii="Segoe UI" w:hAnsi="Segoe UI" w:cs="Segoe UI"/>
      <w:sz w:val="18"/>
      <w:szCs w:val="18"/>
    </w:rPr>
  </w:style>
  <w:style w:type="character" w:customStyle="1" w:styleId="BalloonTextChar">
    <w:name w:val="Balloon Text Char"/>
    <w:basedOn w:val="DefaultParagraphFont"/>
    <w:link w:val="BalloonText"/>
    <w:rsid w:val="00E0078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F2D68-6AFB-4156-91C6-031018C1C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2930</Words>
  <Characters>19803</Characters>
  <Application>Microsoft Office Word</Application>
  <DocSecurity>0</DocSecurity>
  <Lines>165</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2024-05-14T20:52:00Z</dcterms:created>
  <dcterms:modified xsi:type="dcterms:W3CDTF">2024-05-14T20:52:00Z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P9_TA(2024)0258_</vt:lpwstr>
  </property>
  <property fmtid="{D5CDD505-2E9C-101B-9397-08002B2CF9AE}" pid="4" name="&lt;Type&gt;">
    <vt:lpwstr>RR</vt:lpwstr>
  </property>
</Properties>
</file>