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6D95" w:rsidTr="0010095E">
        <w:trPr>
          <w:trHeight w:hRule="exact" w:val="1418"/>
        </w:trPr>
        <w:tc>
          <w:tcPr>
            <w:tcW w:w="6804" w:type="dxa"/>
            <w:shd w:val="clear" w:color="auto" w:fill="auto"/>
            <w:vAlign w:val="center"/>
          </w:tcPr>
          <w:p w:rsidR="00751A4A" w:rsidRPr="00616D95" w:rsidRDefault="00006949" w:rsidP="0010095E">
            <w:pPr>
              <w:pStyle w:val="EPName"/>
            </w:pPr>
            <w:bookmarkStart w:id="0" w:name="_GoBack"/>
            <w:bookmarkEnd w:id="0"/>
            <w:r w:rsidRPr="00616D95">
              <w:t>Parlamentul European</w:t>
            </w:r>
          </w:p>
          <w:p w:rsidR="00751A4A" w:rsidRPr="00616D95" w:rsidRDefault="00817416" w:rsidP="00756632">
            <w:pPr>
              <w:pStyle w:val="EPTerm"/>
              <w:rPr>
                <w:rStyle w:val="HideTWBExt"/>
                <w:noProof w:val="0"/>
                <w:vanish w:val="0"/>
                <w:color w:val="auto"/>
              </w:rPr>
            </w:pPr>
            <w:r w:rsidRPr="00616D95">
              <w:t>2019-2024</w:t>
            </w:r>
          </w:p>
        </w:tc>
        <w:tc>
          <w:tcPr>
            <w:tcW w:w="2268" w:type="dxa"/>
            <w:shd w:val="clear" w:color="auto" w:fill="auto"/>
          </w:tcPr>
          <w:p w:rsidR="00751A4A" w:rsidRPr="00616D95" w:rsidRDefault="00187494" w:rsidP="0010095E">
            <w:pPr>
              <w:pStyle w:val="EPLogo"/>
            </w:pPr>
            <w:r w:rsidRPr="00616D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6D95" w:rsidRDefault="00D058B8" w:rsidP="004C5D52">
      <w:pPr>
        <w:pStyle w:val="LineTop"/>
      </w:pPr>
    </w:p>
    <w:p w:rsidR="00680577" w:rsidRPr="00616D95" w:rsidRDefault="00006949" w:rsidP="00680577">
      <w:pPr>
        <w:pStyle w:val="EPBodyTA1"/>
      </w:pPr>
      <w:r w:rsidRPr="00616D95">
        <w:t>TEXTE ADOPTATE</w:t>
      </w:r>
    </w:p>
    <w:p w:rsidR="00D058B8" w:rsidRPr="00616D95" w:rsidRDefault="00D058B8" w:rsidP="00D058B8">
      <w:pPr>
        <w:pStyle w:val="LineBottom"/>
      </w:pPr>
    </w:p>
    <w:p w:rsidR="00006949" w:rsidRPr="00616D95" w:rsidRDefault="00006949" w:rsidP="00006949">
      <w:pPr>
        <w:pStyle w:val="ATHeading1"/>
      </w:pPr>
      <w:bookmarkStart w:id="1" w:name="TANumber"/>
      <w:r w:rsidRPr="00616D95">
        <w:t>P9_TA(2024)</w:t>
      </w:r>
      <w:bookmarkEnd w:id="1"/>
      <w:r w:rsidR="005142D0" w:rsidRPr="00616D95">
        <w:t>0</w:t>
      </w:r>
      <w:r w:rsidR="005142D0" w:rsidRPr="00616D95">
        <w:t>258</w:t>
      </w:r>
    </w:p>
    <w:p w:rsidR="00006949" w:rsidRPr="00616D95" w:rsidRDefault="00006949" w:rsidP="00006949">
      <w:pPr>
        <w:pStyle w:val="ATHeading2"/>
      </w:pPr>
      <w:bookmarkStart w:id="2" w:name="title"/>
      <w:r w:rsidRPr="00616D95">
        <w:t>Descărcarea de gestiune 2022: Agenția Europeană pentru Produse Chimice</w:t>
      </w:r>
      <w:bookmarkEnd w:id="2"/>
    </w:p>
    <w:p w:rsidR="00006949" w:rsidRPr="00616D95" w:rsidRDefault="00006949" w:rsidP="00006949">
      <w:pPr>
        <w:rPr>
          <w:i/>
          <w:vanish/>
        </w:rPr>
      </w:pPr>
      <w:r w:rsidRPr="00616D95">
        <w:rPr>
          <w:i/>
        </w:rPr>
        <w:fldChar w:fldCharType="begin"/>
      </w:r>
      <w:r w:rsidRPr="00616D95">
        <w:rPr>
          <w:i/>
        </w:rPr>
        <w:instrText xml:space="preserve"> TC"(</w:instrText>
      </w:r>
      <w:bookmarkStart w:id="3" w:name="DocNumber"/>
      <w:r w:rsidRPr="00616D95">
        <w:rPr>
          <w:i/>
        </w:rPr>
        <w:instrText>A9-0135/2024</w:instrText>
      </w:r>
      <w:bookmarkEnd w:id="3"/>
      <w:r w:rsidRPr="00616D95">
        <w:rPr>
          <w:i/>
        </w:rPr>
        <w:instrText xml:space="preserve"> - Raportor: Petri </w:instrText>
      </w:r>
      <w:proofErr w:type="spellStart"/>
      <w:r w:rsidRPr="00616D95">
        <w:rPr>
          <w:i/>
        </w:rPr>
        <w:instrText>Sarvamaa</w:instrText>
      </w:r>
      <w:proofErr w:type="spellEnd"/>
      <w:r w:rsidRPr="00616D95">
        <w:rPr>
          <w:i/>
        </w:rPr>
        <w:instrText xml:space="preserve">)"\l3 \n&gt; \* MERGEFORMAT </w:instrText>
      </w:r>
      <w:r w:rsidRPr="00616D95">
        <w:rPr>
          <w:i/>
        </w:rPr>
        <w:fldChar w:fldCharType="end"/>
      </w:r>
    </w:p>
    <w:p w:rsidR="00006949" w:rsidRPr="00616D95" w:rsidRDefault="00006949" w:rsidP="00006949">
      <w:pPr>
        <w:rPr>
          <w:vanish/>
        </w:rPr>
      </w:pPr>
      <w:bookmarkStart w:id="4" w:name="Commission"/>
      <w:r w:rsidRPr="00616D95">
        <w:rPr>
          <w:vanish/>
        </w:rPr>
        <w:t>Comisia pentru control bugetar</w:t>
      </w:r>
      <w:bookmarkEnd w:id="4"/>
    </w:p>
    <w:p w:rsidR="00006949" w:rsidRPr="00616D95" w:rsidRDefault="00006949" w:rsidP="00006949">
      <w:pPr>
        <w:rPr>
          <w:vanish/>
        </w:rPr>
      </w:pPr>
      <w:bookmarkStart w:id="5" w:name="PE"/>
      <w:r w:rsidRPr="00616D95">
        <w:rPr>
          <w:vanish/>
        </w:rPr>
        <w:t>PE753.516</w:t>
      </w:r>
      <w:bookmarkEnd w:id="5"/>
    </w:p>
    <w:p w:rsidR="00006949" w:rsidRPr="00616D95" w:rsidRDefault="00006949" w:rsidP="00DE62E7">
      <w:pPr>
        <w:pStyle w:val="ATHeading3"/>
      </w:pPr>
      <w:bookmarkStart w:id="6" w:name="Sujet"/>
      <w:r w:rsidRPr="00616D95">
        <w:t>1. Decizia Parlamentului European din 11 aprilie 2024 privind descărcarea de gestiune pentru execuția bugetului Agenției Europene pentru Produse Chimice aferent exercițiului financiar 2022</w:t>
      </w:r>
      <w:bookmarkEnd w:id="6"/>
      <w:r w:rsidRPr="00616D95">
        <w:t xml:space="preserve"> </w:t>
      </w:r>
      <w:bookmarkStart w:id="7" w:name="References"/>
      <w:r w:rsidRPr="00616D95">
        <w:t>(2023/2148(DEC))</w:t>
      </w:r>
      <w:bookmarkEnd w:id="7"/>
    </w:p>
    <w:p w:rsidR="00555A5B" w:rsidRPr="00616D95" w:rsidRDefault="00555A5B" w:rsidP="00555A5B">
      <w:pPr>
        <w:pStyle w:val="EPComma"/>
      </w:pPr>
      <w:bookmarkStart w:id="8" w:name="TextBodyBegin"/>
      <w:bookmarkEnd w:id="8"/>
      <w:r w:rsidRPr="00616D95">
        <w:rPr>
          <w:i/>
          <w:iCs/>
        </w:rPr>
        <w:t>Parlamentul European</w:t>
      </w:r>
      <w:r w:rsidRPr="00616D95">
        <w:t>,</w:t>
      </w:r>
    </w:p>
    <w:p w:rsidR="00555A5B" w:rsidRPr="00616D95" w:rsidRDefault="00555A5B" w:rsidP="00555A5B">
      <w:pPr>
        <w:pStyle w:val="NormalHanging12a"/>
      </w:pPr>
      <w:r w:rsidRPr="00616D95">
        <w:t>–</w:t>
      </w:r>
      <w:r w:rsidRPr="00616D95">
        <w:tab/>
        <w:t>având în vedere conturile anuale finale ale Agenției Europene pentru Produse Chimice pentru exercițiul financiar 2022,</w:t>
      </w:r>
    </w:p>
    <w:p w:rsidR="00555A5B" w:rsidRPr="00616D95" w:rsidRDefault="00555A5B" w:rsidP="00555A5B">
      <w:pPr>
        <w:pStyle w:val="NormalHanging12a"/>
      </w:pPr>
      <w:r w:rsidRPr="00616D95">
        <w:t>–</w:t>
      </w:r>
      <w:r w:rsidRPr="00616D95">
        <w:tab/>
        <w:t>având în vedere Raportul anual al Curții de Conturi privind agențiile UE pentru exercițiul financiar 2022, însoțit de răspunsurile agențiilor</w:t>
      </w:r>
      <w:r w:rsidRPr="00616D95">
        <w:rPr>
          <w:rStyle w:val="FootnoteReference"/>
        </w:rPr>
        <w:footnoteReference w:id="1"/>
      </w:r>
      <w:r w:rsidRPr="00616D95">
        <w:t>,</w:t>
      </w:r>
    </w:p>
    <w:p w:rsidR="00555A5B" w:rsidRPr="00616D95" w:rsidRDefault="00555A5B" w:rsidP="00555A5B">
      <w:pPr>
        <w:pStyle w:val="NormalHanging12a"/>
      </w:pPr>
      <w:r w:rsidRPr="00616D95">
        <w:t>–</w:t>
      </w:r>
      <w:r w:rsidRPr="00616D95">
        <w:tab/>
        <w:t>având în vedere declarația de asigurare</w:t>
      </w:r>
      <w:r w:rsidRPr="00616D95">
        <w:rPr>
          <w:rStyle w:val="FootnoteReference"/>
        </w:rPr>
        <w:footnoteReference w:id="2"/>
      </w:r>
      <w:r w:rsidRPr="00616D95">
        <w:t xml:space="preserve"> privind fiabilitatea conturilor și legalitatea și regularitatea operațiunilor subiacente întocmită de Curtea de Conturi pentru exercițiul financiar 2022 în temeiul articolului 287 din Tratatul privind funcționarea Uniunii Europene,</w:t>
      </w:r>
    </w:p>
    <w:p w:rsidR="00555A5B" w:rsidRPr="00616D95" w:rsidRDefault="00555A5B" w:rsidP="00555A5B">
      <w:pPr>
        <w:pStyle w:val="NormalHanging12a"/>
      </w:pPr>
      <w:r w:rsidRPr="00616D95">
        <w:t>–</w:t>
      </w:r>
      <w:r w:rsidRPr="00616D95">
        <w:tab/>
        <w:t xml:space="preserve">având în vedere Recomandarea Consiliului din 22 februarie 2024 privind descărcarea de gestiune a Agenției în ceea ce privește execuția bugetară pentru exercițiul financiar 2022 </w:t>
      </w:r>
      <w:r w:rsidR="00B65032" w:rsidRPr="00616D95">
        <w:t>(06180/2024 – C9</w:t>
      </w:r>
      <w:r w:rsidR="00B65032" w:rsidRPr="00616D95">
        <w:noBreakHyphen/>
        <w:t>0086/2024)</w:t>
      </w:r>
      <w:r w:rsidRPr="00616D95">
        <w:t>,</w:t>
      </w:r>
    </w:p>
    <w:p w:rsidR="00555A5B" w:rsidRPr="00616D95" w:rsidRDefault="00555A5B" w:rsidP="00555A5B">
      <w:pPr>
        <w:pStyle w:val="NormalHanging12a"/>
      </w:pPr>
      <w:r w:rsidRPr="00616D95">
        <w:t>–</w:t>
      </w:r>
      <w:r w:rsidRPr="00616D95">
        <w:tab/>
        <w:t>având în vedere articolul 319 din Tratatul privind funcționarea Uniunii Europene,</w:t>
      </w:r>
    </w:p>
    <w:p w:rsidR="00555A5B" w:rsidRPr="00616D95" w:rsidRDefault="00555A5B" w:rsidP="00555A5B">
      <w:pPr>
        <w:pStyle w:val="NormalHanging12a"/>
      </w:pPr>
      <w:r w:rsidRPr="00616D95">
        <w:t>–</w:t>
      </w:r>
      <w:r w:rsidRPr="00616D95">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16D95">
        <w:rPr>
          <w:rStyle w:val="FootnoteReference"/>
        </w:rPr>
        <w:footnoteReference w:id="3"/>
      </w:r>
      <w:r w:rsidRPr="00616D95">
        <w:t>, în special articolul 70,</w:t>
      </w:r>
    </w:p>
    <w:p w:rsidR="00555A5B" w:rsidRPr="00616D95" w:rsidRDefault="00555A5B" w:rsidP="00555A5B">
      <w:pPr>
        <w:pStyle w:val="NormalHanging12a"/>
      </w:pPr>
      <w:r w:rsidRPr="00616D95">
        <w:t>–</w:t>
      </w:r>
      <w:r w:rsidRPr="00616D95">
        <w:tab/>
        <w:t xml:space="preserve">având în vedere Regulamentul (CE) nr. 1907/2006 al Parlamentului European și al Consiliului din 18 decembrie 2006 privind înregistrarea, evaluarea, autorizarea și </w:t>
      </w:r>
      <w:r w:rsidRPr="00616D95">
        <w:lastRenderedPageBreak/>
        <w:t>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w:t>
      </w:r>
      <w:r w:rsidRPr="00616D95">
        <w:rPr>
          <w:rStyle w:val="FootnoteReference"/>
        </w:rPr>
        <w:footnoteReference w:id="4"/>
      </w:r>
      <w:r w:rsidRPr="00616D95">
        <w:t>, în special articolul 97,</w:t>
      </w:r>
    </w:p>
    <w:p w:rsidR="00555A5B" w:rsidRPr="00616D95" w:rsidRDefault="00555A5B" w:rsidP="00555A5B">
      <w:pPr>
        <w:pStyle w:val="NormalHanging12a"/>
      </w:pPr>
      <w:r w:rsidRPr="00616D95">
        <w:t>–</w:t>
      </w:r>
      <w:r w:rsidRPr="00616D95">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16D95">
        <w:rPr>
          <w:rStyle w:val="FootnoteReference"/>
        </w:rPr>
        <w:footnoteReference w:id="5"/>
      </w:r>
      <w:r w:rsidRPr="00616D95">
        <w:t>, în special articolul 105,</w:t>
      </w:r>
    </w:p>
    <w:p w:rsidR="00555A5B" w:rsidRPr="00616D95" w:rsidRDefault="00555A5B" w:rsidP="00555A5B">
      <w:pPr>
        <w:pStyle w:val="NormalHanging12a"/>
      </w:pPr>
      <w:r w:rsidRPr="00616D95">
        <w:t>–</w:t>
      </w:r>
      <w:r w:rsidRPr="00616D95">
        <w:tab/>
        <w:t>având în vedere articolul 100 și anexa V la Regulamentul său de procedură,</w:t>
      </w:r>
    </w:p>
    <w:p w:rsidR="00555A5B" w:rsidRPr="00616D95" w:rsidRDefault="00555A5B" w:rsidP="00555A5B">
      <w:pPr>
        <w:pStyle w:val="NormalHanging12a"/>
      </w:pPr>
      <w:r w:rsidRPr="00616D95">
        <w:t>–</w:t>
      </w:r>
      <w:r w:rsidRPr="00616D95">
        <w:tab/>
        <w:t>având în vedere avizul Comisiei pentru mediu, sănătate publică și siguranță alimentară,</w:t>
      </w:r>
    </w:p>
    <w:p w:rsidR="00555A5B" w:rsidRPr="00616D95" w:rsidRDefault="00555A5B" w:rsidP="00555A5B">
      <w:pPr>
        <w:pStyle w:val="NormalHanging12a"/>
      </w:pPr>
      <w:r w:rsidRPr="00616D95">
        <w:t>–</w:t>
      </w:r>
      <w:r w:rsidRPr="00616D95">
        <w:tab/>
        <w:t>având în vedere raportul Comisiei pentru control bugetar (A9-0135/2024),</w:t>
      </w:r>
    </w:p>
    <w:p w:rsidR="00555A5B" w:rsidRPr="00616D95" w:rsidRDefault="00555A5B" w:rsidP="00555A5B">
      <w:pPr>
        <w:pStyle w:val="NormalHanging12a"/>
      </w:pPr>
      <w:r w:rsidRPr="00616D95">
        <w:t>1.</w:t>
      </w:r>
      <w:r w:rsidRPr="00616D95">
        <w:tab/>
        <w:t>acordă directoarei executive a Agenției Europene pentru Produse Chimice descărcarea de gestiune pentru execuția bugetului Agenției aferent exercițiului financiar 2022;</w:t>
      </w:r>
    </w:p>
    <w:p w:rsidR="00555A5B" w:rsidRPr="00616D95" w:rsidRDefault="00555A5B" w:rsidP="00555A5B">
      <w:pPr>
        <w:pStyle w:val="NormalHanging12a"/>
      </w:pPr>
      <w:r w:rsidRPr="00616D95">
        <w:t>2.</w:t>
      </w:r>
      <w:r w:rsidRPr="00616D95">
        <w:tab/>
        <w:t>își prezintă observațiile în cadrul rezoluției de mai jos;</w:t>
      </w:r>
    </w:p>
    <w:p w:rsidR="00555A5B" w:rsidRPr="00616D95" w:rsidRDefault="00555A5B" w:rsidP="00555A5B">
      <w:pPr>
        <w:pStyle w:val="NormalHanging12a"/>
      </w:pPr>
      <w:r w:rsidRPr="00616D95">
        <w:t>3.</w:t>
      </w:r>
      <w:r w:rsidRPr="00616D95">
        <w:tab/>
        <w:t xml:space="preserve">încredințează Președintei sarcina de a transmite prezenta decizie împreună cu rezoluția Parlamentului, ca parte integrantă a acesteia, directoarei executive a Agenției Europene pentru Produse Chimice, Consiliului, Comisiei și Curții de Conturi și de a asigura publicarea acestora în </w:t>
      </w:r>
      <w:r w:rsidRPr="00616D95">
        <w:rPr>
          <w:i/>
          <w:iCs/>
        </w:rPr>
        <w:t>Jurnalul Oficial al Uniunii Europene</w:t>
      </w:r>
      <w:r w:rsidRPr="00616D95">
        <w:t xml:space="preserve"> (seria L).</w:t>
      </w:r>
    </w:p>
    <w:p w:rsidR="00555A5B" w:rsidRPr="00616D95" w:rsidRDefault="00555A5B" w:rsidP="00555A5B"/>
    <w:p w:rsidR="00555A5B" w:rsidRPr="00616D95" w:rsidRDefault="00555A5B" w:rsidP="00555A5B">
      <w:pPr>
        <w:widowControl/>
        <w:rPr>
          <w:rFonts w:ascii="Arial" w:hAnsi="Arial" w:cs="Arial"/>
          <w:b/>
        </w:rPr>
        <w:sectPr w:rsidR="00555A5B" w:rsidRPr="00616D95" w:rsidSect="0026441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55A5B" w:rsidRPr="00616D95" w:rsidRDefault="00DE62E7" w:rsidP="005142D0">
      <w:pPr>
        <w:pStyle w:val="ATHeading3"/>
      </w:pPr>
      <w:r w:rsidRPr="00616D95">
        <w:lastRenderedPageBreak/>
        <w:t xml:space="preserve">2. Decizia Parlamentului European din 11 aprilie 2024 </w:t>
      </w:r>
      <w:r w:rsidR="00555A5B" w:rsidRPr="00616D95">
        <w:t>privind închiderea conturilor Agenției Europene pentru Produse Chimice pentru exercițiul financiar 2022</w:t>
      </w:r>
      <w:r w:rsidRPr="00616D95">
        <w:t xml:space="preserve"> </w:t>
      </w:r>
      <w:r w:rsidR="00555A5B" w:rsidRPr="00616D95">
        <w:t>(2023/2148(DEC))</w:t>
      </w:r>
    </w:p>
    <w:p w:rsidR="00555A5B" w:rsidRPr="00616D95" w:rsidRDefault="00555A5B" w:rsidP="00555A5B">
      <w:pPr>
        <w:pStyle w:val="EPComma"/>
      </w:pPr>
      <w:r w:rsidRPr="00616D95">
        <w:rPr>
          <w:i/>
          <w:iCs/>
        </w:rPr>
        <w:t>Parlamentul European</w:t>
      </w:r>
      <w:r w:rsidRPr="00616D95">
        <w:t>,</w:t>
      </w:r>
    </w:p>
    <w:p w:rsidR="00555A5B" w:rsidRPr="00616D95" w:rsidRDefault="00555A5B" w:rsidP="00555A5B">
      <w:pPr>
        <w:pStyle w:val="NormalHanging12a"/>
      </w:pPr>
      <w:r w:rsidRPr="00616D95">
        <w:t>–</w:t>
      </w:r>
      <w:r w:rsidRPr="00616D95">
        <w:tab/>
        <w:t>având în vedere conturile anuale finale ale Agenției Europene pentru Produse Chimice pentru exercițiul financiar 2022,</w:t>
      </w:r>
    </w:p>
    <w:p w:rsidR="00555A5B" w:rsidRPr="00616D95" w:rsidRDefault="00555A5B" w:rsidP="00555A5B">
      <w:pPr>
        <w:pStyle w:val="NormalHanging12a"/>
      </w:pPr>
      <w:r w:rsidRPr="00616D95">
        <w:t>–</w:t>
      </w:r>
      <w:r w:rsidRPr="00616D95">
        <w:tab/>
        <w:t>având în vedere Raportul anual al Curții de Conturi privind agențiile UE pentru exercițiul financiar 2022, însoțit de răspunsurile agențiilor</w:t>
      </w:r>
      <w:r w:rsidRPr="00616D95">
        <w:rPr>
          <w:rStyle w:val="FootnoteReference"/>
        </w:rPr>
        <w:footnoteReference w:id="6"/>
      </w:r>
      <w:r w:rsidRPr="00616D95">
        <w:t>,</w:t>
      </w:r>
    </w:p>
    <w:p w:rsidR="00555A5B" w:rsidRPr="00616D95" w:rsidRDefault="00555A5B" w:rsidP="00555A5B">
      <w:pPr>
        <w:pStyle w:val="NormalHanging12a"/>
      </w:pPr>
      <w:r w:rsidRPr="00616D95">
        <w:t>–</w:t>
      </w:r>
      <w:r w:rsidRPr="00616D95">
        <w:tab/>
        <w:t>având în vedere declarația de asigurare</w:t>
      </w:r>
      <w:r w:rsidRPr="00616D95">
        <w:rPr>
          <w:rStyle w:val="FootnoteReference"/>
        </w:rPr>
        <w:footnoteReference w:id="7"/>
      </w:r>
      <w:r w:rsidRPr="00616D95">
        <w:t xml:space="preserve"> privind fiabilitatea conturilor și legalitatea și regularitatea operațiunilor subiacente întocmită de Curtea de Conturi pentru exercițiul financiar 2022 în temeiul articolului 287 din Tratatul privind funcționarea Uniunii Europene,</w:t>
      </w:r>
    </w:p>
    <w:p w:rsidR="00555A5B" w:rsidRPr="00616D95" w:rsidRDefault="00555A5B" w:rsidP="00555A5B">
      <w:pPr>
        <w:pStyle w:val="NormalHanging12a"/>
      </w:pPr>
      <w:r w:rsidRPr="00616D95">
        <w:t>–</w:t>
      </w:r>
      <w:r w:rsidRPr="00616D95">
        <w:tab/>
        <w:t xml:space="preserve">având în vedere Recomandarea Consiliului din 22 februarie 2024 privind descărcarea de gestiune a Agenției în ceea ce privește execuția bugetară pentru exercițiul financiar 2022 </w:t>
      </w:r>
      <w:r w:rsidR="00B65032" w:rsidRPr="00616D95">
        <w:t>(06180/2024 – C9</w:t>
      </w:r>
      <w:r w:rsidR="00B65032" w:rsidRPr="00616D95">
        <w:noBreakHyphen/>
        <w:t>0086/2024)</w:t>
      </w:r>
      <w:r w:rsidRPr="00616D95">
        <w:t>,</w:t>
      </w:r>
    </w:p>
    <w:p w:rsidR="00555A5B" w:rsidRPr="00616D95" w:rsidRDefault="00555A5B" w:rsidP="00555A5B">
      <w:pPr>
        <w:pStyle w:val="NormalHanging12a"/>
      </w:pPr>
      <w:r w:rsidRPr="00616D95">
        <w:t>–</w:t>
      </w:r>
      <w:r w:rsidRPr="00616D95">
        <w:tab/>
        <w:t>având în vedere articolul 319 din Tratatul privind funcționarea Uniunii Europene,</w:t>
      </w:r>
    </w:p>
    <w:p w:rsidR="00555A5B" w:rsidRPr="00616D95" w:rsidRDefault="00555A5B" w:rsidP="00555A5B">
      <w:pPr>
        <w:pStyle w:val="NormalHanging12a"/>
      </w:pPr>
      <w:r w:rsidRPr="00616D95">
        <w:t>–</w:t>
      </w:r>
      <w:r w:rsidRPr="00616D95">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16D95">
        <w:rPr>
          <w:rStyle w:val="FootnoteReference"/>
        </w:rPr>
        <w:footnoteReference w:id="8"/>
      </w:r>
      <w:r w:rsidRPr="00616D95">
        <w:t>, în special articolul 70,</w:t>
      </w:r>
    </w:p>
    <w:p w:rsidR="00555A5B" w:rsidRPr="00616D95" w:rsidRDefault="00555A5B" w:rsidP="00555A5B">
      <w:pPr>
        <w:pStyle w:val="NormalHanging12a"/>
      </w:pPr>
      <w:r w:rsidRPr="00616D95">
        <w:t>–</w:t>
      </w:r>
      <w:r w:rsidRPr="00616D95">
        <w:tab/>
        <w:t>având în vedere 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w:t>
      </w:r>
      <w:r w:rsidRPr="00616D95">
        <w:rPr>
          <w:rStyle w:val="FootnoteReference"/>
        </w:rPr>
        <w:footnoteReference w:id="9"/>
      </w:r>
      <w:r w:rsidRPr="00616D95">
        <w:t>, în special articolul 97,</w:t>
      </w:r>
    </w:p>
    <w:p w:rsidR="00555A5B" w:rsidRPr="00616D95" w:rsidRDefault="00555A5B" w:rsidP="00555A5B">
      <w:pPr>
        <w:pStyle w:val="NormalHanging12a"/>
      </w:pPr>
      <w:r w:rsidRPr="00616D95">
        <w:t>–</w:t>
      </w:r>
      <w:r w:rsidRPr="00616D95">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16D95">
        <w:rPr>
          <w:rStyle w:val="FootnoteReference"/>
        </w:rPr>
        <w:footnoteReference w:id="10"/>
      </w:r>
      <w:r w:rsidRPr="00616D95">
        <w:t>, în special articolul 105,</w:t>
      </w:r>
    </w:p>
    <w:p w:rsidR="00555A5B" w:rsidRPr="00616D95" w:rsidRDefault="00555A5B" w:rsidP="00555A5B">
      <w:pPr>
        <w:pStyle w:val="NormalHanging12a"/>
      </w:pPr>
      <w:r w:rsidRPr="00616D95">
        <w:lastRenderedPageBreak/>
        <w:t>–</w:t>
      </w:r>
      <w:r w:rsidRPr="00616D95">
        <w:tab/>
        <w:t>având în vedere articolul 100 și anexa V la Regulamentul său de procedură,</w:t>
      </w:r>
    </w:p>
    <w:p w:rsidR="00555A5B" w:rsidRPr="00616D95" w:rsidRDefault="00555A5B" w:rsidP="00555A5B">
      <w:pPr>
        <w:pStyle w:val="NormalHanging12a"/>
      </w:pPr>
      <w:r w:rsidRPr="00616D95">
        <w:t>–</w:t>
      </w:r>
      <w:r w:rsidRPr="00616D95">
        <w:tab/>
        <w:t>având în vedere avizul Comisiei pentru mediu, sănătate publică și siguranță alimentară,</w:t>
      </w:r>
    </w:p>
    <w:p w:rsidR="00555A5B" w:rsidRPr="00616D95" w:rsidRDefault="00555A5B" w:rsidP="00555A5B">
      <w:pPr>
        <w:pStyle w:val="NormalHanging12a"/>
      </w:pPr>
      <w:r w:rsidRPr="00616D95">
        <w:t>–</w:t>
      </w:r>
      <w:r w:rsidRPr="00616D95">
        <w:tab/>
        <w:t>având în vedere raportul Comisiei pentru control bugetar (A9-0135/2024),</w:t>
      </w:r>
    </w:p>
    <w:p w:rsidR="00555A5B" w:rsidRPr="00616D95" w:rsidRDefault="00555A5B" w:rsidP="00555A5B">
      <w:pPr>
        <w:pStyle w:val="NormalHanging12a"/>
      </w:pPr>
      <w:r w:rsidRPr="00616D95">
        <w:t>1.</w:t>
      </w:r>
      <w:r w:rsidRPr="00616D95">
        <w:tab/>
        <w:t>aprobă închiderea conturilor Agenției Europene pentru Produse Chimice pentru exercițiul financiar 2022;</w:t>
      </w:r>
    </w:p>
    <w:p w:rsidR="00555A5B" w:rsidRPr="00616D95" w:rsidRDefault="00555A5B" w:rsidP="00555A5B">
      <w:pPr>
        <w:pStyle w:val="NormalHanging12a"/>
      </w:pPr>
      <w:r w:rsidRPr="00616D95">
        <w:t>2.</w:t>
      </w:r>
      <w:r w:rsidRPr="00616D95">
        <w:tab/>
        <w:t xml:space="preserve">încredințează Președintei sarcina de a transmite prezenta decizie directoarei executive a Agenției Europene pentru Produse Chimice, Consiliului, Comisiei și Curții de Conturi și de a asigura publicarea acesteia în </w:t>
      </w:r>
      <w:r w:rsidRPr="00616D95">
        <w:rPr>
          <w:i/>
          <w:iCs/>
        </w:rPr>
        <w:t>Jurnalul Oficial al Uniunii Europene</w:t>
      </w:r>
      <w:r w:rsidRPr="00616D95">
        <w:t xml:space="preserve"> (seria L).</w:t>
      </w:r>
    </w:p>
    <w:p w:rsidR="00555A5B" w:rsidRPr="00616D95" w:rsidRDefault="00555A5B" w:rsidP="00555A5B"/>
    <w:p w:rsidR="00555A5B" w:rsidRPr="00616D95" w:rsidRDefault="00555A5B" w:rsidP="00555A5B">
      <w:pPr>
        <w:widowControl/>
        <w:rPr>
          <w:rFonts w:ascii="Arial" w:hAnsi="Arial" w:cs="Arial"/>
          <w:b/>
        </w:rPr>
        <w:sectPr w:rsidR="00555A5B" w:rsidRPr="00616D95" w:rsidSect="00264417">
          <w:footnotePr>
            <w:numRestart w:val="eachPage"/>
          </w:footnotePr>
          <w:endnotePr>
            <w:numFmt w:val="decimal"/>
          </w:endnotePr>
          <w:pgSz w:w="11906" w:h="16838"/>
          <w:pgMar w:top="1134" w:right="1418" w:bottom="1418" w:left="1418" w:header="567" w:footer="567" w:gutter="0"/>
          <w:cols w:space="720"/>
          <w:docGrid w:linePitch="326"/>
        </w:sectPr>
      </w:pPr>
    </w:p>
    <w:p w:rsidR="00555A5B" w:rsidRPr="00616D95" w:rsidRDefault="00DE62E7" w:rsidP="005142D0">
      <w:pPr>
        <w:pStyle w:val="ATHeading3"/>
      </w:pPr>
      <w:r w:rsidRPr="00616D95">
        <w:lastRenderedPageBreak/>
        <w:t xml:space="preserve">3. Rezoluția Parlamentului European din 11 aprilie 2024 </w:t>
      </w:r>
      <w:r w:rsidR="00555A5B" w:rsidRPr="00616D95">
        <w:t>conținând observațiile care fac parte integrantă din decizia privind descărcarea de gestiune pentru execuția bugetului Agenției Europene pentru Produse Chimice aferent exercițiului financiar</w:t>
      </w:r>
      <w:r w:rsidRPr="00616D95">
        <w:t> </w:t>
      </w:r>
      <w:r w:rsidR="00555A5B" w:rsidRPr="00616D95">
        <w:t>2022</w:t>
      </w:r>
      <w:r w:rsidRPr="00616D95">
        <w:t xml:space="preserve"> </w:t>
      </w:r>
      <w:r w:rsidR="00555A5B" w:rsidRPr="00616D95">
        <w:t>(2023/2148(DEC))</w:t>
      </w:r>
    </w:p>
    <w:p w:rsidR="00555A5B" w:rsidRPr="00616D95" w:rsidRDefault="00555A5B" w:rsidP="00555A5B">
      <w:pPr>
        <w:pStyle w:val="EPComma"/>
      </w:pPr>
      <w:r w:rsidRPr="00616D95">
        <w:rPr>
          <w:i/>
          <w:iCs/>
        </w:rPr>
        <w:t>Parlamentul European</w:t>
      </w:r>
      <w:r w:rsidRPr="00616D95">
        <w:t>,</w:t>
      </w:r>
    </w:p>
    <w:p w:rsidR="00555A5B" w:rsidRPr="00616D95" w:rsidRDefault="00555A5B" w:rsidP="00555A5B">
      <w:pPr>
        <w:pStyle w:val="NormalHanging12a"/>
        <w:widowControl/>
      </w:pPr>
      <w:r w:rsidRPr="00616D95">
        <w:t>–</w:t>
      </w:r>
      <w:r w:rsidRPr="00616D95">
        <w:tab/>
        <w:t>având în vedere decizia sa privind descărcarea de gestiune pentru execuția bugetului Agenției Europene pentru Produse Chimice aferent exercițiului financiar 2022,</w:t>
      </w:r>
    </w:p>
    <w:p w:rsidR="00555A5B" w:rsidRPr="00616D95" w:rsidRDefault="00555A5B" w:rsidP="00555A5B">
      <w:pPr>
        <w:pStyle w:val="NormalHanging12a"/>
        <w:widowControl/>
      </w:pPr>
      <w:r w:rsidRPr="00616D95">
        <w:t>–</w:t>
      </w:r>
      <w:r w:rsidRPr="00616D95">
        <w:tab/>
        <w:t>având în vedere articolul 100 și anexa V la Regulamentul său de procedură,</w:t>
      </w:r>
    </w:p>
    <w:p w:rsidR="00555A5B" w:rsidRPr="00616D95" w:rsidRDefault="00555A5B" w:rsidP="00555A5B">
      <w:pPr>
        <w:pStyle w:val="NormalHanging12a"/>
        <w:widowControl/>
      </w:pPr>
      <w:r w:rsidRPr="00616D95">
        <w:t>–</w:t>
      </w:r>
      <w:r w:rsidRPr="00616D95">
        <w:tab/>
        <w:t>având în vedere avizul Comisiei pentru mediu, sănătate publică și siguranță alimentară,</w:t>
      </w:r>
    </w:p>
    <w:p w:rsidR="00555A5B" w:rsidRPr="00616D95" w:rsidRDefault="00555A5B" w:rsidP="00555A5B">
      <w:pPr>
        <w:pStyle w:val="NormalHanging12a"/>
        <w:widowControl/>
      </w:pPr>
      <w:r w:rsidRPr="00616D95">
        <w:t>–</w:t>
      </w:r>
      <w:r w:rsidRPr="00616D95">
        <w:tab/>
        <w:t>având în vedere raportul Comisiei pentru control bugetar (A9-0135/2024),</w:t>
      </w:r>
    </w:p>
    <w:p w:rsidR="00555A5B" w:rsidRPr="00616D95" w:rsidRDefault="00555A5B" w:rsidP="00555A5B">
      <w:pPr>
        <w:widowControl/>
        <w:spacing w:after="240"/>
        <w:ind w:left="567" w:hanging="567"/>
        <w:rPr>
          <w:szCs w:val="24"/>
        </w:rPr>
      </w:pPr>
      <w:r w:rsidRPr="00616D95">
        <w:t>A.</w:t>
      </w:r>
      <w:r w:rsidRPr="00616D95">
        <w:tab/>
        <w:t>întrucât, potrivit situației veniturilor și cheltuielilor sale</w:t>
      </w:r>
      <w:r w:rsidRPr="00616D95">
        <w:rPr>
          <w:rStyle w:val="FootnoteReference"/>
          <w:szCs w:val="24"/>
        </w:rPr>
        <w:footnoteReference w:id="11"/>
      </w:r>
      <w:r w:rsidRPr="00616D95">
        <w:t>, bugetul definitiv al Agenției Europene pentru Produse Chimice („Agenția”) aferent exercițiului financiar 2022 a fost de 114 777 691 EUR, ceea ce reprezintă o creștere cu 5,83 % față de bugetul pe 2021; întrucât bugetul Agenției este finanțat în principal din două surse de venituri, și anume taxele colectate și contribuția de la bugetul general al Uniunii;</w:t>
      </w:r>
    </w:p>
    <w:p w:rsidR="00555A5B" w:rsidRPr="00616D95" w:rsidRDefault="00555A5B" w:rsidP="00555A5B">
      <w:pPr>
        <w:widowControl/>
        <w:spacing w:after="240"/>
        <w:ind w:left="567" w:hanging="567"/>
        <w:rPr>
          <w:szCs w:val="24"/>
        </w:rPr>
      </w:pPr>
      <w:r w:rsidRPr="00616D95">
        <w:t>B.</w:t>
      </w:r>
      <w:r w:rsidRPr="00616D95">
        <w:tab/>
        <w:t>întrucât, în raportul său privind conturile anuale ale Agenției pentru exercițiul financiar 2022 („raportul Curții”), Curtea de Conturi („Curtea”) declară că a obținut asigurări rezonabile cu privire la fiabilitatea conturilor anuale ale Agenției și cu privire la legalitatea și regularitatea operațiunilor subiacente;</w:t>
      </w:r>
    </w:p>
    <w:p w:rsidR="00555A5B" w:rsidRPr="00616D95" w:rsidRDefault="00555A5B" w:rsidP="00555A5B">
      <w:pPr>
        <w:widowControl/>
        <w:spacing w:after="240"/>
        <w:ind w:left="567" w:hanging="567"/>
        <w:rPr>
          <w:szCs w:val="24"/>
        </w:rPr>
      </w:pPr>
      <w:r w:rsidRPr="00616D95">
        <w:t>C.</w:t>
      </w:r>
      <w:r w:rsidRPr="00616D95">
        <w:tab/>
        <w:t>întrucât, în ceea ce privește sectorul achizițiilor publice al Agenției, nu au fost raportate probleme care să necesite acțiuni corective pentru 2022 și nici nu există acțiuni corective în curs sau restante în urma auditurilor și evaluărilor din exercițiile anterioare;</w:t>
      </w:r>
    </w:p>
    <w:p w:rsidR="00555A5B" w:rsidRPr="00616D95" w:rsidRDefault="00555A5B" w:rsidP="00555A5B">
      <w:pPr>
        <w:widowControl/>
        <w:spacing w:after="240"/>
        <w:ind w:left="567" w:hanging="567"/>
        <w:rPr>
          <w:szCs w:val="24"/>
        </w:rPr>
      </w:pPr>
      <w:r w:rsidRPr="00616D95">
        <w:t>D.</w:t>
      </w:r>
      <w:r w:rsidRPr="00616D95">
        <w:tab/>
        <w:t>întrucât, în ceea ce privește sistemele de control intern ale Agenției, nu au fost raportate probleme care să necesite acțiuni corective pentru 2022 și nici nu există acțiuni corective în curs sau restante în urma auditurilor și evaluărilor din exercițiile anterioare,</w:t>
      </w:r>
    </w:p>
    <w:p w:rsidR="00555A5B" w:rsidRPr="00616D95" w:rsidRDefault="00555A5B" w:rsidP="00555A5B">
      <w:pPr>
        <w:widowControl/>
        <w:spacing w:after="240"/>
        <w:ind w:left="567" w:hanging="567"/>
        <w:rPr>
          <w:b/>
          <w:i/>
          <w:szCs w:val="24"/>
        </w:rPr>
      </w:pPr>
      <w:r w:rsidRPr="00616D95">
        <w:rPr>
          <w:b/>
          <w:i/>
        </w:rPr>
        <w:t>Gestiunea bugetară și financiară</w:t>
      </w:r>
    </w:p>
    <w:p w:rsidR="00555A5B" w:rsidRPr="00616D95" w:rsidRDefault="00555A5B" w:rsidP="00555A5B">
      <w:pPr>
        <w:pStyle w:val="Normal12Hanging"/>
        <w:widowControl/>
        <w:rPr>
          <w:szCs w:val="24"/>
        </w:rPr>
      </w:pPr>
      <w:r w:rsidRPr="00616D95">
        <w:t>1.</w:t>
      </w:r>
      <w:r w:rsidRPr="00616D95">
        <w:tab/>
        <w:t>ia act cu satisfacție de faptul că eforturile de monitorizare a bugetului în cursul exercițiului financiar 2022 au condus la o rată de execuție bugetară a creditelor de angajament din anul curent de 98,61 %, ceea ce reprezintă o scădere ușoară de 0,23 % față de 2021, și că rata de execuție a creditelor de plată a fost de 85,06 %, ceea ce reprezintă o scădere 1,17 % față de 2021;</w:t>
      </w:r>
    </w:p>
    <w:p w:rsidR="00555A5B" w:rsidRPr="00616D95" w:rsidRDefault="00555A5B" w:rsidP="00555A5B">
      <w:pPr>
        <w:pStyle w:val="NormalHanging12a"/>
        <w:rPr>
          <w:b/>
          <w:i/>
        </w:rPr>
      </w:pPr>
      <w:r w:rsidRPr="00616D95">
        <w:t>2.</w:t>
      </w:r>
      <w:r w:rsidRPr="00616D95">
        <w:tab/>
        <w:t xml:space="preserve">reamintește că Agenția este finanțată prin taxe plătite de industrie și printr-o contribuție </w:t>
      </w:r>
      <w:r w:rsidRPr="00616D95">
        <w:lastRenderedPageBreak/>
        <w:t>de echilibrare a UE, în conformitate cu Regulamentul (CE) nr. 1907/2006</w:t>
      </w:r>
      <w:r w:rsidRPr="00616D95">
        <w:rPr>
          <w:rStyle w:val="FootnoteReference"/>
        </w:rPr>
        <w:footnoteReference w:id="12"/>
      </w:r>
      <w:r w:rsidRPr="00616D95">
        <w:t xml:space="preserve"> al Parlamentului European și al Consiliului, cu Regulamentul (CE) nr. 1272/2008 al Parlamentului European și al Consiliului</w:t>
      </w:r>
      <w:r w:rsidRPr="00616D95">
        <w:rPr>
          <w:rStyle w:val="FootnoteReference"/>
        </w:rPr>
        <w:footnoteReference w:id="13"/>
      </w:r>
      <w:r w:rsidRPr="00616D95">
        <w:t xml:space="preserve"> și cu Regulamentul (UE) nr. 528/2012 al Parlamentului European și al Consiliului</w:t>
      </w:r>
      <w:r w:rsidRPr="00616D95">
        <w:rPr>
          <w:rStyle w:val="FootnoteReference"/>
        </w:rPr>
        <w:footnoteReference w:id="14"/>
      </w:r>
      <w:r w:rsidRPr="00616D95">
        <w:t>; subliniază că, din cauza caracterului punctual al taxelor și a dependenței acestora de deciziile strategice ale actorilor din industria chimică, există un grad ridicat de incertitudine în ceea ce privește cuantumul și calendarul acestora; reamintește promisiunea Comisiei de a înainta o propunere care să urmărească consolidarea guvernanței Agenției și creșterea sustenabilității modelului său de finanțare în 2020; insistă asupra faptului că Comisia ar trebui să o prezinte imediat;</w:t>
      </w:r>
    </w:p>
    <w:p w:rsidR="00555A5B" w:rsidRPr="00616D95" w:rsidRDefault="00555A5B" w:rsidP="00555A5B">
      <w:pPr>
        <w:pStyle w:val="NormalHanging12a"/>
      </w:pPr>
      <w:r w:rsidRPr="00616D95">
        <w:t>3.</w:t>
      </w:r>
      <w:r w:rsidRPr="00616D95">
        <w:tab/>
        <w:t>ia act cu satisfacție de faptul că, în 2022, pentru prima dată de la termenul final de înregistrare în temeiul Regulamentului (CE) nr. 1907/2006</w:t>
      </w:r>
      <w:r w:rsidRPr="00616D95">
        <w:rPr>
          <w:rStyle w:val="FootnoteReference"/>
        </w:rPr>
        <w:t xml:space="preserve"> </w:t>
      </w:r>
      <w:r w:rsidRPr="00616D95">
        <w:t>în 2018, veniturile Agenției din taxe au crescut, în timp ce dependența de Uniune pentru finanțarea operațiunilor sale a scăzut ușor;</w:t>
      </w:r>
    </w:p>
    <w:p w:rsidR="00555A5B" w:rsidRPr="00616D95" w:rsidRDefault="00555A5B" w:rsidP="00555A5B">
      <w:pPr>
        <w:widowControl/>
        <w:spacing w:after="240"/>
        <w:ind w:left="567" w:hanging="567"/>
        <w:rPr>
          <w:b/>
          <w:i/>
          <w:szCs w:val="24"/>
        </w:rPr>
      </w:pPr>
      <w:r w:rsidRPr="00616D95">
        <w:rPr>
          <w:b/>
          <w:i/>
        </w:rPr>
        <w:t>Performanțe</w:t>
      </w:r>
    </w:p>
    <w:p w:rsidR="00555A5B" w:rsidRPr="00616D95" w:rsidRDefault="00555A5B" w:rsidP="00555A5B">
      <w:pPr>
        <w:pStyle w:val="Normal12Hanging"/>
      </w:pPr>
      <w:r w:rsidRPr="00616D95">
        <w:t>4.</w:t>
      </w:r>
      <w:r w:rsidRPr="00616D95">
        <w:tab/>
        <w:t>observă că Agenția este forța motrice în punerea în aplicare a legislației Uniunii privind substanțele chimice în beneficiul sănătății publice și al mediului, dar și al inovării și competitivității; ia act de faptul că Agenția colectează, evaluează și diseminează informații privind produsele chimice, ajută întreprinderile să respecte legislația și promovează utilizarea produselor chimice în condiții de siguranță;</w:t>
      </w:r>
    </w:p>
    <w:p w:rsidR="00555A5B" w:rsidRPr="00616D95" w:rsidRDefault="00555A5B" w:rsidP="00555A5B">
      <w:pPr>
        <w:pStyle w:val="NormalHanging12a"/>
        <w:widowControl/>
      </w:pPr>
      <w:r w:rsidRPr="00616D95">
        <w:t>5.</w:t>
      </w:r>
      <w:r w:rsidRPr="00616D95">
        <w:tab/>
        <w:t>ia act de faptul că Agenția a pus în aplicare 93 % din programul de lucru și a realizat 151 dintre cele 162 de acțiuni și realizări specifice planificate pentru 2022, 8 acțiuni fiind încă „în curs”, conform planificării; constată, de asemenea, că cele trei acțiuni „nefinalizate” fie ar fi necesitat o contribuție din partea statelor membre, fie o reducere a gradului de prioritate a fluxului de lucru;</w:t>
      </w:r>
    </w:p>
    <w:p w:rsidR="00555A5B" w:rsidRPr="00616D95" w:rsidRDefault="00555A5B" w:rsidP="00555A5B">
      <w:pPr>
        <w:pStyle w:val="NormalHanging12a"/>
      </w:pPr>
      <w:r w:rsidRPr="00616D95">
        <w:t>6.</w:t>
      </w:r>
      <w:r w:rsidRPr="00616D95">
        <w:tab/>
        <w:t>ia act de faptul că Agenția s-a axat pe îndeplinirea sarcinilor sale principale și pe sprijinirea Comisiei Europene în punerea în aplicare a Strategiei sale pentru promovarea sustenabilității în domeniul substanțelor chimice, în conformitate cu direcția stabilită de Consiliul de administrație în Planul strategic 2019-2023 și în evaluarea acestuia efectuată în 2021;</w:t>
      </w:r>
    </w:p>
    <w:p w:rsidR="00555A5B" w:rsidRPr="00616D95" w:rsidRDefault="00555A5B" w:rsidP="00555A5B">
      <w:pPr>
        <w:pStyle w:val="NormalHanging12a"/>
        <w:rPr>
          <w:szCs w:val="24"/>
        </w:rPr>
      </w:pPr>
      <w:r w:rsidRPr="00616D95">
        <w:t>7.</w:t>
      </w:r>
      <w:r w:rsidRPr="00616D95">
        <w:tab/>
        <w:t xml:space="preserve">atrage atenția asupra unora dintre provocările cu care s-a confruntat Agenția în 2022, inclusiv un sistem de autorizare ineficient, identificat în 2021, în privința căruia se </w:t>
      </w:r>
      <w:r w:rsidRPr="00616D95">
        <w:lastRenderedPageBreak/>
        <w:t xml:space="preserve">remarcă un număr de cereri de crom hexavalent aflat în creștere și care, conform estimărilor, este probabil să se mențină în 2023, creând presiuni asupra capacității comitetelor științifice de a emite avize, precum și un deficit de membri experimentați; constată, de asemenea, că statele membre au prezentat un număr redus de proiecte de rapoarte de evaluare a substanțelor active </w:t>
      </w:r>
      <w:proofErr w:type="spellStart"/>
      <w:r w:rsidRPr="00616D95">
        <w:t>biocide</w:t>
      </w:r>
      <w:proofErr w:type="spellEnd"/>
      <w:r w:rsidRPr="00616D95">
        <w:t>, ceea ce împiedică finalizarea evaluărilor până la sfârșitul anului 2024, astfel cum se prevede în Regulamentul (UE) nr. 528/2012, subliniază faptul că, în conformitate cu Planul de acțiune privind substanțele active, Agenția a depus eforturi în ultimii ani pentru a sprijini statele membre să realizeze progrese suplimentare;</w:t>
      </w:r>
    </w:p>
    <w:p w:rsidR="00555A5B" w:rsidRPr="00616D95" w:rsidRDefault="00555A5B" w:rsidP="00555A5B">
      <w:pPr>
        <w:pStyle w:val="Normal12Hanging"/>
      </w:pPr>
      <w:r w:rsidRPr="00616D95">
        <w:t>8.</w:t>
      </w:r>
      <w:r w:rsidRPr="00616D95">
        <w:tab/>
        <w:t>salută activitățile Agenției de promovare a alternativelor la testarea pe animale și măsurile luate pentru a mări eficacitatea și vizibilitatea acestei activități;</w:t>
      </w:r>
    </w:p>
    <w:p w:rsidR="00555A5B" w:rsidRPr="00616D95" w:rsidRDefault="00555A5B" w:rsidP="00555A5B">
      <w:pPr>
        <w:widowControl/>
        <w:spacing w:after="240"/>
        <w:ind w:left="567" w:hanging="567"/>
        <w:rPr>
          <w:b/>
          <w:i/>
          <w:szCs w:val="24"/>
        </w:rPr>
      </w:pPr>
      <w:r w:rsidRPr="00616D95">
        <w:rPr>
          <w:b/>
          <w:i/>
        </w:rPr>
        <w:t>Eficiență și creșteri ale eficienței</w:t>
      </w:r>
    </w:p>
    <w:p w:rsidR="00555A5B" w:rsidRPr="00616D95" w:rsidRDefault="00555A5B" w:rsidP="00555A5B">
      <w:pPr>
        <w:widowControl/>
        <w:spacing w:after="240"/>
        <w:ind w:left="567" w:hanging="567"/>
        <w:rPr>
          <w:szCs w:val="24"/>
        </w:rPr>
      </w:pPr>
      <w:r w:rsidRPr="00616D95">
        <w:t>9.</w:t>
      </w:r>
      <w:r w:rsidRPr="00616D95">
        <w:tab/>
        <w:t>felicită Agenția pentru strategia sa de creștere a eficienței, care urmărește să obțină valoare adăugată printr-o guvernanță bazată pe performanță și pentru dezvoltarea de noi instrumente de sprijinire a planificării și a raportării, care sunt mai ușor de utilizat, oferă capacități de raportare mai bune și permit realizarea unor economii de timp pentru întregul personal; ia act de faptul că dimensiunile raportării au fost revizuite pentru a reflecta mai bine programul de lucru al Agenției și a permite o mai bună corelare între obiectivele de la nivelul Agenției și cele ale membrilor individuali ai personalului;</w:t>
      </w:r>
    </w:p>
    <w:p w:rsidR="00555A5B" w:rsidRPr="00616D95" w:rsidRDefault="00555A5B" w:rsidP="00555A5B">
      <w:pPr>
        <w:widowControl/>
        <w:spacing w:after="240"/>
        <w:ind w:left="567" w:hanging="567"/>
        <w:rPr>
          <w:szCs w:val="24"/>
        </w:rPr>
      </w:pPr>
      <w:r w:rsidRPr="00616D95">
        <w:t>10.</w:t>
      </w:r>
      <w:r w:rsidRPr="00616D95">
        <w:tab/>
        <w:t xml:space="preserve">ia act de faptul că, în 2022, Agenția a început, de asemenea, un exercițiu de optimizare a capacității infrastructurii pentru a reduce la minimum orice </w:t>
      </w:r>
      <w:proofErr w:type="spellStart"/>
      <w:r w:rsidRPr="00616D95">
        <w:t>supracapacitate</w:t>
      </w:r>
      <w:proofErr w:type="spellEnd"/>
      <w:r w:rsidRPr="00616D95">
        <w:t xml:space="preserve"> a infrastructurii informatice, precum și de faptul că rezultatele din a doua jumătate a anului arată că Agenția a fost în măsură să reducă utilizarea acestei infrastructuri (atât a CPU – a procesoarelor, cât și a RAM – a memoriei) cu aproximativ 25 %; salută eforturile depuse în cadrul exercițiului de optimizare și încurajează Agenția să își continue eforturile în acest sens;</w:t>
      </w:r>
    </w:p>
    <w:p w:rsidR="00555A5B" w:rsidRPr="00616D95" w:rsidRDefault="00555A5B" w:rsidP="00555A5B">
      <w:pPr>
        <w:widowControl/>
        <w:spacing w:after="240"/>
        <w:ind w:left="567" w:hanging="567"/>
        <w:rPr>
          <w:szCs w:val="24"/>
        </w:rPr>
      </w:pPr>
      <w:r w:rsidRPr="00616D95">
        <w:t>11.</w:t>
      </w:r>
      <w:r w:rsidRPr="00616D95">
        <w:tab/>
        <w:t>observă că Agenția continuă să își partajeze structura de audit intern cu Agenția UE pentru Programul spațial (fosta Agenție de Supraveghere a Sistemului Global de Navigație prin Satelit European); ia act de faptul că Agenția și Autoritatea Europeană pentru Siguranța Alimentară mențin contacte periodice la nivel de lucru și de conducere de nivel superior, în cadrul cărora oportunitățile de cooperare sunt evaluate în mod regulat (prin efectuarea unei revizuiri detaliate a programelor de lucru) și exploatate;</w:t>
      </w:r>
    </w:p>
    <w:p w:rsidR="00555A5B" w:rsidRPr="00616D95" w:rsidRDefault="00555A5B" w:rsidP="00555A5B">
      <w:pPr>
        <w:widowControl/>
        <w:spacing w:after="240"/>
        <w:ind w:left="567" w:hanging="567"/>
        <w:rPr>
          <w:szCs w:val="24"/>
        </w:rPr>
      </w:pPr>
      <w:r w:rsidRPr="00616D95">
        <w:t>12.</w:t>
      </w:r>
      <w:r w:rsidRPr="00616D95">
        <w:tab/>
        <w:t xml:space="preserve">constată, de asemenea, că Agenția și-a continuat cooperarea strategică cu Autoritatea Europeană pentru Siguranța Alimentară în ceea ce privește furnizarea formatului de date IUCLID, ce constituie un serviciu furnizat de serviciile sale de </w:t>
      </w:r>
      <w:proofErr w:type="spellStart"/>
      <w:r w:rsidRPr="00616D95">
        <w:t>cloud</w:t>
      </w:r>
      <w:proofErr w:type="spellEnd"/>
      <w:r w:rsidRPr="00616D95">
        <w:t>, pentru a fi folosit în cadrul activității Autorității Europene pentru Siguranța Alimentară în temeiul Regulamentului (CE) nr. 1107/2009 al Parlamentului European și al Consiliului</w:t>
      </w:r>
      <w:r w:rsidRPr="00616D95">
        <w:rPr>
          <w:rStyle w:val="FootnoteReference"/>
          <w:szCs w:val="24"/>
        </w:rPr>
        <w:footnoteReference w:id="15"/>
      </w:r>
      <w:r w:rsidRPr="00616D95">
        <w:t xml:space="preserve"> și, prin urmare, faptul că s-au realizat economii de scară prin valorificarea platformelor informatice existente;</w:t>
      </w:r>
    </w:p>
    <w:p w:rsidR="00555A5B" w:rsidRPr="00616D95" w:rsidRDefault="00555A5B" w:rsidP="00555A5B">
      <w:pPr>
        <w:pStyle w:val="NormalHanging12a"/>
      </w:pPr>
      <w:r w:rsidRPr="00616D95">
        <w:t>13.</w:t>
      </w:r>
      <w:r w:rsidRPr="00616D95">
        <w:tab/>
        <w:t xml:space="preserve">reamintește că este important să se îmbunătățească gradul de digitalizare a Agenției în ceea ce privește funcționarea și gestionarea internă, dar și pentru a accelera digitalizarea </w:t>
      </w:r>
      <w:r w:rsidRPr="00616D95">
        <w:lastRenderedPageBreak/>
        <w:t xml:space="preserve">procedurilor; accentuează că Agenția trebuie să își continue eforturile </w:t>
      </w:r>
      <w:proofErr w:type="spellStart"/>
      <w:r w:rsidRPr="00616D95">
        <w:t>proactive</w:t>
      </w:r>
      <w:proofErr w:type="spellEnd"/>
      <w:r w:rsidRPr="00616D95">
        <w:t xml:space="preserve"> în această privință, pentru a evita apariția unui decalaj digital între agenții; atrage totuși atenția că trebuie luate toate măsurile de securitate necesare pentru a evita orice risc la adresa securității online a informațiilor prelucrate; insistă asupra necesității de a intensifica acțiunile împotriva atacurilor cibernetice sau a tentativelor de infiltrare, în special a celor care provin din Rusia sau China;</w:t>
      </w:r>
    </w:p>
    <w:p w:rsidR="00555A5B" w:rsidRPr="00616D95" w:rsidRDefault="00555A5B" w:rsidP="00555A5B">
      <w:pPr>
        <w:pStyle w:val="NormalHanging12a"/>
      </w:pPr>
      <w:r w:rsidRPr="00616D95">
        <w:t>14.</w:t>
      </w:r>
      <w:r w:rsidRPr="00616D95">
        <w:tab/>
        <w:t>apreciază faptul că Agenția a luat măsuri pentru a promova principiul „o substanță – o evaluare” în cooperare cu Autoritatea Europeană pentru Siguranța Alimentară, pentru a asigura o mai mare coerență în evaluarea pericolelor și a riscurilor prezentate de substanțele active;</w:t>
      </w:r>
    </w:p>
    <w:p w:rsidR="00555A5B" w:rsidRPr="00616D95" w:rsidRDefault="00555A5B" w:rsidP="00555A5B">
      <w:pPr>
        <w:widowControl/>
        <w:spacing w:after="240"/>
        <w:ind w:left="567" w:hanging="567"/>
        <w:rPr>
          <w:b/>
          <w:i/>
          <w:szCs w:val="24"/>
        </w:rPr>
      </w:pPr>
      <w:r w:rsidRPr="00616D95">
        <w:rPr>
          <w:b/>
          <w:i/>
        </w:rPr>
        <w:t>Politica de personal</w:t>
      </w:r>
    </w:p>
    <w:p w:rsidR="00555A5B" w:rsidRPr="00616D95" w:rsidRDefault="00555A5B" w:rsidP="00555A5B">
      <w:pPr>
        <w:pStyle w:val="Normal12Hanging"/>
        <w:widowControl/>
        <w:rPr>
          <w:szCs w:val="24"/>
        </w:rPr>
      </w:pPr>
      <w:r w:rsidRPr="00616D95">
        <w:t>15.</w:t>
      </w:r>
      <w:r w:rsidRPr="00616D95">
        <w:tab/>
        <w:t>constată că, la 31 decembrie 2022, schema de personal era completată în proporție de 98,07 %, fiind ocupate 458 dintre cele 467 de posturi de agenți temporari autorizate în temeiul bugetului Uniunii (numărul de posturi autorizate fiind identic cu cel din 2021); în plus, constată că, în 2022, în cadrul Agenției au lucrat, de asemenea, 128 de agenți contractuali, 48 de lucrători temporari, cinci consultanți și doi experți naționali detașați;</w:t>
      </w:r>
    </w:p>
    <w:p w:rsidR="00555A5B" w:rsidRPr="00616D95" w:rsidRDefault="00555A5B" w:rsidP="00555A5B">
      <w:pPr>
        <w:pStyle w:val="NormalHanging12a"/>
      </w:pPr>
      <w:r w:rsidRPr="00616D95">
        <w:t>16.</w:t>
      </w:r>
      <w:r w:rsidRPr="00616D95">
        <w:tab/>
        <w:t>reamintește că este important să se asigure echilibrul de gen în rândul personalului și salută, în acest sens, faptul că Agenția a pus în aplicare un plan de acțiune, cu scopul de a realiza obiectivele Cartei sale privind diversitatea și incluziunea, adoptată în 2022, astfel încât să se poată asigura, printre alte măsuri de incluziune, echilibrul de gen în cadrul echipei de conducere; invită Agenția să informeze autoritatea care acordă descărcarea de gestiune cu privire la punerea în aplicare a planului său de acțiune; recunoaște că obținerea de rezultate în acest domeniu necesită timp; constată, cu toate acestea, că echilibrul de gen în cadrul personalului de conducere de nivel superior și mediu al Agenției a scăzut ușor, 76 % dintre posturi fiind ocupate de bărbați (82 % în 2021) și 24 % de femei (18 % în 2021); ia act de faptul că, per ansamblu, echilibrul de gen în rândul personalului este de 261 de bărbați (45 %) și 317 femei (55 %);</w:t>
      </w:r>
    </w:p>
    <w:p w:rsidR="00555A5B" w:rsidRPr="00616D95" w:rsidRDefault="00555A5B" w:rsidP="00555A5B">
      <w:pPr>
        <w:pStyle w:val="NormalHanging12a"/>
      </w:pPr>
      <w:r w:rsidRPr="00616D95">
        <w:t>17.</w:t>
      </w:r>
      <w:r w:rsidRPr="00616D95">
        <w:tab/>
        <w:t>ia act cu satisfacție de faptul că, la 31 decembrie 2022, Agenția dispunea de personal din 26 de state membre; observă că 32 % dintre membrii personalului său sunt cetățeni ai statului membru în care se află Agenția; reamintește importanța echilibrului geografic și încurajează Agenția să continue să ia măsurile necesare pentru a avea o reprezentare geografică echilibrată și echitabilă; își exprimă totuși îngrijorarea cu privire la echilibrul geografic în cadrul conducerii de nivel superior și mediu al Agenției, care are un singur director din Europa Centrală și de Est; insistă că trebuie să se aducă îmbunătățiri; invită Agenția să informeze autoritatea care acordă descărcarea de gestiune cu privire la acest lucru;</w:t>
      </w:r>
    </w:p>
    <w:p w:rsidR="00555A5B" w:rsidRPr="00616D95" w:rsidRDefault="00555A5B" w:rsidP="00555A5B">
      <w:pPr>
        <w:pStyle w:val="NormalHanging12a"/>
      </w:pPr>
      <w:r w:rsidRPr="00616D95">
        <w:t>18.</w:t>
      </w:r>
      <w:r w:rsidRPr="00616D95">
        <w:tab/>
        <w:t>constată că Agenția are o politică de protecție a demnității persoanei și de prevenire a hărțuirii psihologice și sexuale și că Agenția face parte din grupul operativ de consilieri confidențiali existent la nivelul agențiilor; așteaptă cu interes să primească raportul și recomandările acestora; ia act de faptul că nu au fost raportate cazuri de hărțuire în 2022 și încurajează Agenția să dezvolte în continuare activitatea de prevenire a cazurilor și în viitor;</w:t>
      </w:r>
    </w:p>
    <w:p w:rsidR="00555A5B" w:rsidRPr="00616D95" w:rsidRDefault="00555A5B" w:rsidP="00555A5B">
      <w:pPr>
        <w:pStyle w:val="NormalHanging12a"/>
      </w:pPr>
      <w:r w:rsidRPr="00616D95">
        <w:t>19.</w:t>
      </w:r>
      <w:r w:rsidRPr="00616D95">
        <w:tab/>
        <w:t xml:space="preserve">ia act de faptul că, începând din martie 2022, personalul Agenției a început să se întoarcă treptat la sediul Agenției, ceea ce s-a încheiat cu punerea în aplicare a noilor norme de lucru hibride în octombrie 2022; constată, în acest context, că noile norme </w:t>
      </w:r>
      <w:r w:rsidRPr="00616D95">
        <w:lastRenderedPageBreak/>
        <w:t>promovează flexibilitatea și capacitarea personalului, menținând în același timp coeziunea socială și colaborarea prin prezența săptămânală regulată la birou;</w:t>
      </w:r>
    </w:p>
    <w:p w:rsidR="00555A5B" w:rsidRPr="00616D95" w:rsidRDefault="00555A5B" w:rsidP="00555A5B">
      <w:pPr>
        <w:pStyle w:val="NormalHanging12a"/>
        <w:widowControl/>
      </w:pPr>
      <w:r w:rsidRPr="00616D95">
        <w:t>20.</w:t>
      </w:r>
      <w:r w:rsidRPr="00616D95">
        <w:tab/>
        <w:t xml:space="preserve">observă că Agenția a recurs la o mobilitate internă sporită pentru a răspunde nevoilor în continuă evoluție de expertiză </w:t>
      </w:r>
      <w:proofErr w:type="spellStart"/>
      <w:r w:rsidRPr="00616D95">
        <w:t>științifico</w:t>
      </w:r>
      <w:proofErr w:type="spellEnd"/>
      <w:r w:rsidRPr="00616D95">
        <w:t>-tehnică și administrativă în activitatea sa; ia act de faptul că acest lucru a oferit oportunități de progres în carieră și, prin urmare, a contribuit la motivarea personalului Agenției și la menținerea unei culturi a performanței ridicate, a îmbunătățirii continue și a capacității de reacție; salută faptul că, pentru a motiva angajații și a construi seturi de competențe, Agenția a introdus, de asemenea, noi inițiative, inclusiv mentoratul și îndrumarea;</w:t>
      </w:r>
    </w:p>
    <w:p w:rsidR="00555A5B" w:rsidRPr="00616D95" w:rsidRDefault="00555A5B" w:rsidP="00555A5B">
      <w:pPr>
        <w:pStyle w:val="NormalHanging12a"/>
      </w:pPr>
      <w:r w:rsidRPr="00616D95">
        <w:t>21.</w:t>
      </w:r>
      <w:r w:rsidRPr="00616D95">
        <w:tab/>
        <w:t>subliniază că trebuie să se asigure personalul necesar, astfel încât să se reflecte nevoile Pactului verde european și ale Strategiei Uniunii pentru promovarea sustenabilității în domeniul substanțelor chimice, ale Planului de acțiune al UE pentru economia circulară și în, special, ale obiectivului de reducere a poluării la zero și a creșterii asociate a sarcinilor;</w:t>
      </w:r>
    </w:p>
    <w:p w:rsidR="00555A5B" w:rsidRPr="00616D95" w:rsidRDefault="00555A5B" w:rsidP="00555A5B">
      <w:pPr>
        <w:widowControl/>
        <w:spacing w:after="240"/>
        <w:ind w:left="567" w:hanging="567"/>
        <w:rPr>
          <w:b/>
          <w:i/>
          <w:szCs w:val="24"/>
        </w:rPr>
      </w:pPr>
      <w:r w:rsidRPr="00616D95">
        <w:rPr>
          <w:b/>
          <w:i/>
        </w:rPr>
        <w:t>Prevenirea și gestionarea conflictelor de interese și transparența</w:t>
      </w:r>
    </w:p>
    <w:p w:rsidR="00555A5B" w:rsidRPr="00616D95" w:rsidRDefault="00555A5B" w:rsidP="00555A5B">
      <w:pPr>
        <w:widowControl/>
        <w:spacing w:after="240"/>
        <w:ind w:left="567" w:hanging="567"/>
      </w:pPr>
      <w:r w:rsidRPr="00616D95">
        <w:t>22.</w:t>
      </w:r>
      <w:r w:rsidRPr="00616D95">
        <w:tab/>
        <w:t xml:space="preserve">ia act de faptul că, pe baza unei evaluări aprofundate a riscurilor în activitățile sale, Agenția a identificat procesele și </w:t>
      </w:r>
      <w:proofErr w:type="spellStart"/>
      <w:r w:rsidRPr="00616D95">
        <w:t>subprocesele</w:t>
      </w:r>
      <w:proofErr w:type="spellEnd"/>
      <w:r w:rsidRPr="00616D95">
        <w:t xml:space="preserve"> care necesită un efort de gestionare a conflictelor de interese; constată totodată că, în toate aceste procese, proprietarul procesului efectuează o revizuire a declarațiilor anuale de interese de fiecare dată când o sarcină este atribuită unui membru al personalului, în timp ce, pentru unele procese sensibile, acest proces este completat de depunerea de către membrul personalului a unei declarații specifice fiecărui caz privind absența conflictelor de interese;</w:t>
      </w:r>
    </w:p>
    <w:p w:rsidR="00555A5B" w:rsidRPr="00616D95" w:rsidRDefault="00555A5B" w:rsidP="00555A5B">
      <w:pPr>
        <w:widowControl/>
        <w:spacing w:after="240"/>
        <w:ind w:left="567" w:hanging="567"/>
        <w:rPr>
          <w:szCs w:val="24"/>
        </w:rPr>
      </w:pPr>
      <w:r w:rsidRPr="00616D95">
        <w:t>23.</w:t>
      </w:r>
      <w:r w:rsidRPr="00616D95">
        <w:tab/>
        <w:t>salută faptul că, pentru a îmbunătăți practica privind gestionarea eventualelor conflicte de interese după încheierea raportului de muncă, politica Agenției privind conflictele de interese a fost revizuită ultima dată de Consiliul de administrație în iunie 2023; ia act de faptul că modificările introduse consolidează monitorizarea sistematică a respectării atribuțiilor post-angajare de către foștii membri ai personalului Agenției, în conformitate cu recomandările Curții de Conturi Europene și cu observațiile autorității care acordă descărcarea de gestiune din anii precedenți;</w:t>
      </w:r>
    </w:p>
    <w:p w:rsidR="00555A5B" w:rsidRPr="00616D95" w:rsidRDefault="00555A5B" w:rsidP="00555A5B">
      <w:pPr>
        <w:widowControl/>
        <w:spacing w:after="240"/>
        <w:ind w:left="567" w:hanging="567"/>
        <w:rPr>
          <w:szCs w:val="24"/>
        </w:rPr>
      </w:pPr>
      <w:r w:rsidRPr="00616D95">
        <w:t>24.</w:t>
      </w:r>
      <w:r w:rsidRPr="00616D95">
        <w:tab/>
        <w:t>observă că Agenția publică pe site-ul său reuniunile organizate de personalul său de conducere de nivel superior cu reprezentanți ai grupurilor de interese;</w:t>
      </w:r>
    </w:p>
    <w:p w:rsidR="00555A5B" w:rsidRPr="00616D95" w:rsidRDefault="00555A5B" w:rsidP="00555A5B">
      <w:pPr>
        <w:widowControl/>
        <w:spacing w:after="240"/>
        <w:ind w:left="567" w:hanging="567"/>
      </w:pPr>
      <w:r w:rsidRPr="00616D95">
        <w:t>25.</w:t>
      </w:r>
      <w:r w:rsidRPr="00616D95">
        <w:tab/>
        <w:t>salută faptul că, în 2022, Agenția a introdus un nou instrument electronic pentru colectarea și revizuirea declarațiilor anuale de interese ale experților externi care contribuie la activitatea Agenției, oferind garanții suplimentare procesului;</w:t>
      </w:r>
    </w:p>
    <w:p w:rsidR="00555A5B" w:rsidRPr="00616D95" w:rsidRDefault="00555A5B" w:rsidP="00555A5B">
      <w:pPr>
        <w:widowControl/>
        <w:spacing w:after="240"/>
        <w:ind w:left="567" w:hanging="567"/>
        <w:rPr>
          <w:szCs w:val="24"/>
        </w:rPr>
      </w:pPr>
      <w:r w:rsidRPr="00616D95">
        <w:t>26.</w:t>
      </w:r>
      <w:r w:rsidRPr="00616D95">
        <w:tab/>
        <w:t>ia act cu satisfacție de faptul că strategia antifraudă a Agenției a fost revizuită ultima dată de Consiliul său de administrație în decembrie 2022 și se axează pe menținerea și dezvoltarea în continuare a culturii antifraudă în cadrul Agenției și pe revizuirea periodică a principalelor politici și proceduri; ia act de faptul că strategia consolidează mecanismul intern de combatere a corupției, specificând rolurile și responsabilitățile în materie de prevenire a fraudei, precum și mijloacele și resursele implicate în combaterea fraudei; salută faptul că întregul personal al Agenției a participat la o formare antifraudă în 2022; ia act cu satisfacție de faptul că Agenția a instituit orientări pentru avertizorii de integritate, astfel încât angajații Agenției să poată notifica orice activitate care contravine interesului public;</w:t>
      </w:r>
    </w:p>
    <w:p w:rsidR="00555A5B" w:rsidRPr="00616D95" w:rsidRDefault="00555A5B" w:rsidP="00555A5B">
      <w:pPr>
        <w:widowControl/>
        <w:spacing w:after="240"/>
        <w:ind w:left="567" w:hanging="567"/>
        <w:rPr>
          <w:szCs w:val="24"/>
        </w:rPr>
      </w:pPr>
      <w:r w:rsidRPr="00616D95">
        <w:lastRenderedPageBreak/>
        <w:t>27.</w:t>
      </w:r>
      <w:r w:rsidRPr="00616D95">
        <w:tab/>
        <w:t>reamintește că procesele decizionale ale Agenției sunt concepute astfel încât să fie clare, deschise și să asigure un rezultat echilibrat, bazat pe o abordare științifică motivată; ia act de faptul că informațiile privind intențiile Agenției și ale statelor membre, de exemplu, de a analiza substanțele sau de a crea dosare sunt disponibile online, astfel încât întreprinderile să aibă acces la datele de care au nevoie pentru a lua decizii comerciale în cunoștință de cauză; constată, de asemenea, că organizațiile acreditate ale părților interesate pot participa la reuniuni științifice în calitate de observatori, cu excepția cazului în care informațiile comerciale confidențiale impun desfășurarea sesiunilor cu ușile închise; constată, de asemenea, că reflecțiile, avizele și concluziile comitetelor științifice ale Agenției sunt înregistrate în documente de tipul avizelor și proceselor-verbale și sunt publicate online;</w:t>
      </w:r>
    </w:p>
    <w:p w:rsidR="00555A5B" w:rsidRPr="00616D95" w:rsidRDefault="00555A5B" w:rsidP="00555A5B">
      <w:pPr>
        <w:pStyle w:val="NormalHanging12a"/>
      </w:pPr>
      <w:r w:rsidRPr="00616D95">
        <w:t>28.</w:t>
      </w:r>
      <w:r w:rsidRPr="00616D95">
        <w:tab/>
        <w:t>reamintește că este important ca Agenția să dezvolte o mai mare vizibilitate în mass-media, pe internet și pe platformele de comunicare socială pentru a-și face activitatea cunoscută cetățenilor;</w:t>
      </w:r>
    </w:p>
    <w:p w:rsidR="00555A5B" w:rsidRPr="00616D95" w:rsidRDefault="00555A5B" w:rsidP="00555A5B">
      <w:pPr>
        <w:widowControl/>
        <w:spacing w:after="240"/>
        <w:ind w:left="567" w:hanging="567"/>
        <w:rPr>
          <w:b/>
          <w:i/>
          <w:szCs w:val="24"/>
        </w:rPr>
      </w:pPr>
      <w:r w:rsidRPr="00616D95">
        <w:rPr>
          <w:b/>
          <w:i/>
        </w:rPr>
        <w:t>Alte observații</w:t>
      </w:r>
    </w:p>
    <w:p w:rsidR="00555A5B" w:rsidRPr="00616D95" w:rsidRDefault="00555A5B" w:rsidP="00555A5B">
      <w:pPr>
        <w:widowControl/>
        <w:spacing w:after="240"/>
        <w:ind w:left="567" w:hanging="567"/>
        <w:rPr>
          <w:szCs w:val="24"/>
        </w:rPr>
      </w:pPr>
      <w:r w:rsidRPr="00616D95">
        <w:t>29.</w:t>
      </w:r>
      <w:r w:rsidRPr="00616D95">
        <w:tab/>
        <w:t xml:space="preserve">salută faptul că, în 2022, Agenția a adoptat o politică de securitate cibernetică și a efectuat un exercițiu de evaluare a riscurilor la nivelul întregii rețele informatice; constată, de asemenea, că Agenția a introdus posibilitatea autentificării </w:t>
      </w:r>
      <w:proofErr w:type="spellStart"/>
      <w:r w:rsidRPr="00616D95">
        <w:t>biometrice</w:t>
      </w:r>
      <w:proofErr w:type="spellEnd"/>
      <w:r w:rsidRPr="00616D95">
        <w:t>, a îmbunătățit vizibilitatea centrului de operațiuni de securitate și a efectuat teste de reziliență între centrele de date;</w:t>
      </w:r>
    </w:p>
    <w:p w:rsidR="00555A5B" w:rsidRPr="00616D95" w:rsidRDefault="00555A5B" w:rsidP="00555A5B">
      <w:pPr>
        <w:widowControl/>
        <w:spacing w:after="240"/>
        <w:ind w:left="567" w:hanging="567"/>
        <w:rPr>
          <w:szCs w:val="24"/>
        </w:rPr>
      </w:pPr>
      <w:r w:rsidRPr="00616D95">
        <w:t>30.</w:t>
      </w:r>
      <w:r w:rsidRPr="00616D95">
        <w:tab/>
        <w:t xml:space="preserve">constată cu satisfacție că, în 2022, Agenția a început să participe la faza de testare a PPMT (instrumentul de gestionare a achizițiilor publice al Comisiei Europene), cu scopul de a testa acest instrument de achiziții publice electronice (înainte de adoptarea sa definitivă în 2023); ia act de faptul că Agenția adoptase deja în trecut alte instrumente de achiziții publice electronice, cum ar fi </w:t>
      </w:r>
      <w:proofErr w:type="spellStart"/>
      <w:r w:rsidRPr="00616D95">
        <w:t>eTendering</w:t>
      </w:r>
      <w:proofErr w:type="spellEnd"/>
      <w:r w:rsidRPr="00616D95">
        <w:t xml:space="preserve"> sau </w:t>
      </w:r>
      <w:proofErr w:type="spellStart"/>
      <w:r w:rsidRPr="00616D95">
        <w:t>eSubmission</w:t>
      </w:r>
      <w:proofErr w:type="spellEnd"/>
      <w:r w:rsidRPr="00616D95">
        <w:t xml:space="preserve"> și, în paralel, și-a reînnoit în 2022 abonamentul la </w:t>
      </w:r>
      <w:proofErr w:type="spellStart"/>
      <w:r w:rsidRPr="00616D95">
        <w:t>Cloudia</w:t>
      </w:r>
      <w:proofErr w:type="spellEnd"/>
      <w:r w:rsidRPr="00616D95">
        <w:t xml:space="preserve"> – platforma de achiziții publice electronice a Hansel (organismul central de achiziție pentru autoritățile publice finlandeze), astfel încât toate achizițiile administrative efectuate prin Hansel să fie complet digitalizate;</w:t>
      </w:r>
    </w:p>
    <w:p w:rsidR="00555A5B" w:rsidRPr="00616D95" w:rsidRDefault="00555A5B" w:rsidP="00555A5B">
      <w:pPr>
        <w:widowControl/>
        <w:spacing w:after="240"/>
        <w:ind w:left="567" w:hanging="567"/>
        <w:rPr>
          <w:rFonts w:eastAsia="Calibri"/>
          <w:iCs/>
          <w:szCs w:val="24"/>
        </w:rPr>
      </w:pPr>
      <w:r w:rsidRPr="00616D95">
        <w:t>31.</w:t>
      </w:r>
      <w:r w:rsidRPr="00616D95">
        <w:tab/>
        <w:t>constată că, în 2022, Agenția a reînnoit cu succes sistemul de management de mediu și audit (EMAS) și certificatele ISO 14001; constată cu satisfacție, pe baza raportului Curții, că Agenția se numără printre agențiile care emit o declarație anuală de mediu;</w:t>
      </w:r>
    </w:p>
    <w:p w:rsidR="00555A5B" w:rsidRPr="00616D95" w:rsidRDefault="00555A5B" w:rsidP="00555A5B">
      <w:pPr>
        <w:pStyle w:val="NormalHanging12a"/>
      </w:pPr>
      <w:r w:rsidRPr="00616D95">
        <w:t>32.</w:t>
      </w:r>
      <w:r w:rsidRPr="00616D95">
        <w:tab/>
        <w:t>subliniază că Agenția și-a continuat eforturile de eliminare treptată a testării pe animale în Europa, în măsura în care acest lucru este posibil în temeiul cadrului de reglementare actual; ia act de faptul că Agenția promovează alternative la testarea pe animale în trei moduri: concentrarea asupra grupurilor de substanțe printr-o strategie separată, investiții în activități internaționale care promovează alternative și metodologii de abordare noi și punerea la dispoziție a datelor deținute de Agenție; își reiterează apelul adresat Agenției de a accelera procesul de eliminare treptată; constată, de asemenea, că Agenția colaborează cu Comisia și cu alte părți interesate pentru a oferi sprijin Comisiei în elaborarea unei foi de parcurs în vederea înlocuirii complete a testării pe animale a substanțelor chimice;</w:t>
      </w:r>
    </w:p>
    <w:p w:rsidR="00555A5B" w:rsidRPr="00616D95" w:rsidRDefault="00555A5B" w:rsidP="00555A5B">
      <w:pPr>
        <w:pStyle w:val="NormalHanging12a"/>
      </w:pPr>
      <w:r w:rsidRPr="00616D95">
        <w:t>33.</w:t>
      </w:r>
      <w:r w:rsidRPr="00616D95">
        <w:tab/>
        <w:t xml:space="preserve">salută faptul că Agenția a continuat să pună în aplicare diferite măsuri pentru a-și spori prezența publică și online prin noi versiuni și numeroase actualizări pe site-ul său, prin lansarea unui canal </w:t>
      </w:r>
      <w:proofErr w:type="spellStart"/>
      <w:r w:rsidRPr="00616D95">
        <w:t>Instagram</w:t>
      </w:r>
      <w:proofErr w:type="spellEnd"/>
      <w:r w:rsidRPr="00616D95">
        <w:t xml:space="preserve"> comun cu patru agenții numite „</w:t>
      </w:r>
      <w:proofErr w:type="spellStart"/>
      <w:r w:rsidRPr="00616D95">
        <w:t>One</w:t>
      </w:r>
      <w:proofErr w:type="spellEnd"/>
      <w:r w:rsidRPr="00616D95">
        <w:t xml:space="preserve"> </w:t>
      </w:r>
      <w:proofErr w:type="spellStart"/>
      <w:r w:rsidRPr="00616D95">
        <w:t>Health</w:t>
      </w:r>
      <w:proofErr w:type="spellEnd"/>
      <w:r w:rsidRPr="00616D95">
        <w:t xml:space="preserve"> </w:t>
      </w:r>
      <w:proofErr w:type="spellStart"/>
      <w:r w:rsidRPr="00616D95">
        <w:t>One</w:t>
      </w:r>
      <w:proofErr w:type="spellEnd"/>
      <w:r w:rsidRPr="00616D95">
        <w:t xml:space="preserve"> </w:t>
      </w:r>
      <w:proofErr w:type="spellStart"/>
      <w:r w:rsidRPr="00616D95">
        <w:t>Environment</w:t>
      </w:r>
      <w:proofErr w:type="spellEnd"/>
      <w:r w:rsidRPr="00616D95">
        <w:t xml:space="preserve">” („O singură sănătate, un singur mediu”) și prin prezența sa pe platformele </w:t>
      </w:r>
      <w:r w:rsidRPr="00616D95">
        <w:lastRenderedPageBreak/>
        <w:t>de comunicare socială; constată, în acest context, o creștere a acoperirii mass-mediei generale și o creștere a indicatorilor Agenției privind platformele de comunicare socială în 2022 comparativ cu 2021;</w:t>
      </w:r>
    </w:p>
    <w:p w:rsidR="00555A5B" w:rsidRPr="00616D95" w:rsidRDefault="00555A5B" w:rsidP="00555A5B">
      <w:pPr>
        <w:pStyle w:val="NormalCenter12a"/>
        <w:rPr>
          <w:szCs w:val="24"/>
        </w:rPr>
      </w:pPr>
      <w:r w:rsidRPr="00616D95">
        <w:t>°</w:t>
      </w:r>
    </w:p>
    <w:p w:rsidR="00555A5B" w:rsidRPr="00616D95" w:rsidRDefault="00555A5B" w:rsidP="00555A5B">
      <w:pPr>
        <w:pStyle w:val="NormalCenter12a"/>
        <w:rPr>
          <w:szCs w:val="24"/>
        </w:rPr>
      </w:pPr>
      <w:r w:rsidRPr="00616D95">
        <w:t>°</w:t>
      </w:r>
      <w:r w:rsidRPr="00616D95">
        <w:tab/>
        <w:t>°</w:t>
      </w:r>
    </w:p>
    <w:p w:rsidR="00555A5B" w:rsidRPr="00616D95" w:rsidRDefault="00555A5B" w:rsidP="00555A5B">
      <w:pPr>
        <w:pStyle w:val="NormalHanging12a"/>
        <w:widowControl/>
      </w:pPr>
      <w:r w:rsidRPr="00616D95">
        <w:t>34.</w:t>
      </w:r>
      <w:r w:rsidRPr="00616D95">
        <w:tab/>
        <w:t xml:space="preserve">face trimitere, pentru alte observații cu caracter orizontal care însoțesc decizia sa privind descărcarea de gestiune, la Rezoluția sa din </w:t>
      </w:r>
      <w:r w:rsidR="00DE62E7" w:rsidRPr="00616D95">
        <w:t>11 aprilie 2024</w:t>
      </w:r>
      <w:r w:rsidRPr="00616D95">
        <w:rPr>
          <w:vertAlign w:val="superscript"/>
        </w:rPr>
        <w:footnoteReference w:id="16"/>
      </w:r>
      <w:r w:rsidRPr="00616D95">
        <w:t xml:space="preserve"> referitoare la performanțele, gestiunea financiară și controlul agențiilor.</w:t>
      </w:r>
    </w:p>
    <w:p w:rsidR="00B65032" w:rsidRPr="00616D95" w:rsidRDefault="00B65032" w:rsidP="00555A5B">
      <w:pPr>
        <w:pStyle w:val="NormalHanging12a"/>
        <w:widowControl/>
      </w:pPr>
    </w:p>
    <w:sectPr w:rsidR="00B65032" w:rsidRPr="00616D95" w:rsidSect="00B6503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949" w:rsidRPr="00264417" w:rsidRDefault="00006949">
      <w:r w:rsidRPr="00264417">
        <w:separator/>
      </w:r>
    </w:p>
  </w:endnote>
  <w:endnote w:type="continuationSeparator" w:id="0">
    <w:p w:rsidR="00006949" w:rsidRPr="00264417" w:rsidRDefault="00006949">
      <w:r w:rsidRPr="00264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A5B" w:rsidRPr="00264417" w:rsidRDefault="00555A5B" w:rsidP="005C38CA">
    <w:pPr>
      <w:pStyle w:val="EPFooter"/>
    </w:pPr>
    <w:r w:rsidRPr="00264417">
      <w:t>PE</w:t>
    </w:r>
    <w:r w:rsidRPr="00264417">
      <w:rPr>
        <w:rStyle w:val="HideTWBExt"/>
      </w:rPr>
      <w:t>&lt;</w:t>
    </w:r>
    <w:proofErr w:type="spellStart"/>
    <w:r w:rsidRPr="00264417">
      <w:rPr>
        <w:rStyle w:val="HideTWBExt"/>
      </w:rPr>
      <w:t>NoPE</w:t>
    </w:r>
    <w:proofErr w:type="spellEnd"/>
    <w:r w:rsidRPr="00264417">
      <w:rPr>
        <w:rStyle w:val="HideTWBExt"/>
      </w:rPr>
      <w:t>&gt;</w:t>
    </w:r>
    <w:r w:rsidRPr="00264417">
      <w:t>753.516</w:t>
    </w:r>
    <w:r w:rsidRPr="00264417">
      <w:rPr>
        <w:rStyle w:val="HideTWBExt"/>
      </w:rPr>
      <w:t>&lt;/</w:t>
    </w:r>
    <w:proofErr w:type="spellStart"/>
    <w:r w:rsidRPr="00264417">
      <w:rPr>
        <w:rStyle w:val="HideTWBExt"/>
      </w:rPr>
      <w:t>NoPE</w:t>
    </w:r>
    <w:proofErr w:type="spellEnd"/>
    <w:r w:rsidRPr="00264417">
      <w:rPr>
        <w:rStyle w:val="HideTWBExt"/>
      </w:rPr>
      <w:t>&gt;&lt;Version&gt;</w:t>
    </w:r>
    <w:r w:rsidRPr="00264417">
      <w:t>v02-00</w:t>
    </w:r>
    <w:r w:rsidRPr="00264417">
      <w:rPr>
        <w:rStyle w:val="HideTWBExt"/>
      </w:rPr>
      <w:t>&lt;/</w:t>
    </w:r>
    <w:proofErr w:type="spellStart"/>
    <w:r w:rsidRPr="00264417">
      <w:rPr>
        <w:rStyle w:val="HideTWBExt"/>
      </w:rPr>
      <w:t>Version</w:t>
    </w:r>
    <w:proofErr w:type="spellEnd"/>
    <w:r w:rsidRPr="00264417">
      <w:rPr>
        <w:rStyle w:val="HideTWBExt"/>
      </w:rPr>
      <w:t>&gt;</w:t>
    </w:r>
    <w:r w:rsidRPr="00264417">
      <w:tab/>
    </w:r>
    <w:r w:rsidRPr="00264417">
      <w:fldChar w:fldCharType="begin"/>
    </w:r>
    <w:r w:rsidRPr="00264417">
      <w:instrText xml:space="preserve"> PAGE  \* MERGEFORMAT </w:instrText>
    </w:r>
    <w:r w:rsidRPr="00264417">
      <w:fldChar w:fldCharType="separate"/>
    </w:r>
    <w:r w:rsidR="00264417" w:rsidRPr="00264417">
      <w:rPr>
        <w:noProof/>
      </w:rPr>
      <w:t>2</w:t>
    </w:r>
    <w:r w:rsidRPr="00264417">
      <w:fldChar w:fldCharType="end"/>
    </w:r>
    <w:r w:rsidRPr="00264417">
      <w:t>/</w:t>
    </w:r>
    <w:r w:rsidR="00616D95">
      <w:fldChar w:fldCharType="begin"/>
    </w:r>
    <w:r w:rsidR="00616D95">
      <w:instrText xml:space="preserve"> NUMPAGES  \* MERGEFORMAT </w:instrText>
    </w:r>
    <w:r w:rsidR="00616D95">
      <w:fldChar w:fldCharType="separate"/>
    </w:r>
    <w:r w:rsidR="00264417" w:rsidRPr="00264417">
      <w:rPr>
        <w:noProof/>
      </w:rPr>
      <w:t>4</w:t>
    </w:r>
    <w:r w:rsidR="00616D95">
      <w:rPr>
        <w:noProof/>
      </w:rPr>
      <w:fldChar w:fldCharType="end"/>
    </w:r>
    <w:r w:rsidRPr="00264417">
      <w:tab/>
    </w:r>
    <w:r w:rsidRPr="00264417">
      <w:rPr>
        <w:rStyle w:val="HideTWBExt"/>
      </w:rPr>
      <w:t>&lt;PathFdR&gt;</w:t>
    </w:r>
    <w:r w:rsidRPr="00264417">
      <w:t>RR\1299248RO.docx</w:t>
    </w:r>
    <w:r w:rsidRPr="00264417">
      <w:rPr>
        <w:rStyle w:val="HideTWBExt"/>
      </w:rPr>
      <w:t>&lt;/</w:t>
    </w:r>
    <w:proofErr w:type="spellStart"/>
    <w:r w:rsidRPr="00264417">
      <w:rPr>
        <w:rStyle w:val="HideTWBExt"/>
      </w:rPr>
      <w:t>PathFdR</w:t>
    </w:r>
    <w:proofErr w:type="spellEnd"/>
    <w:r w:rsidRPr="00264417">
      <w:rPr>
        <w:rStyle w:val="HideTWBExt"/>
      </w:rPr>
      <w:t>&gt;</w:t>
    </w:r>
  </w:p>
  <w:p w:rsidR="00555A5B" w:rsidRPr="00264417" w:rsidRDefault="00555A5B" w:rsidP="005C38CA">
    <w:pPr>
      <w:pStyle w:val="EPFooter2"/>
    </w:pPr>
    <w:r w:rsidRPr="0026441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A5B" w:rsidRPr="00264417" w:rsidRDefault="00555A5B" w:rsidP="005C38CA">
    <w:pPr>
      <w:pStyle w:val="EPFooter"/>
    </w:pPr>
    <w:r w:rsidRPr="00264417">
      <w:rPr>
        <w:rStyle w:val="HideTWBExt"/>
      </w:rPr>
      <w:t>&lt;PathFdR&gt;</w:t>
    </w:r>
    <w:r w:rsidRPr="00264417">
      <w:t>RR\1299248RO.docx</w:t>
    </w:r>
    <w:r w:rsidRPr="00264417">
      <w:rPr>
        <w:rStyle w:val="HideTWBExt"/>
      </w:rPr>
      <w:t>&lt;/</w:t>
    </w:r>
    <w:proofErr w:type="spellStart"/>
    <w:r w:rsidRPr="00264417">
      <w:rPr>
        <w:rStyle w:val="HideTWBExt"/>
      </w:rPr>
      <w:t>PathFdR</w:t>
    </w:r>
    <w:proofErr w:type="spellEnd"/>
    <w:r w:rsidRPr="00264417">
      <w:rPr>
        <w:rStyle w:val="HideTWBExt"/>
      </w:rPr>
      <w:t>&gt;</w:t>
    </w:r>
    <w:r w:rsidRPr="00264417">
      <w:tab/>
    </w:r>
    <w:r w:rsidRPr="00264417">
      <w:tab/>
      <w:t>PE</w:t>
    </w:r>
    <w:r w:rsidRPr="00264417">
      <w:rPr>
        <w:rStyle w:val="HideTWBExt"/>
      </w:rPr>
      <w:t>&lt;</w:t>
    </w:r>
    <w:proofErr w:type="spellStart"/>
    <w:r w:rsidRPr="00264417">
      <w:rPr>
        <w:rStyle w:val="HideTWBExt"/>
      </w:rPr>
      <w:t>NoPE</w:t>
    </w:r>
    <w:proofErr w:type="spellEnd"/>
    <w:r w:rsidRPr="00264417">
      <w:rPr>
        <w:rStyle w:val="HideTWBExt"/>
      </w:rPr>
      <w:t>&gt;</w:t>
    </w:r>
    <w:r w:rsidRPr="00264417">
      <w:t>753.516</w:t>
    </w:r>
    <w:r w:rsidRPr="00264417">
      <w:rPr>
        <w:rStyle w:val="HideTWBExt"/>
      </w:rPr>
      <w:t>&lt;/</w:t>
    </w:r>
    <w:proofErr w:type="spellStart"/>
    <w:r w:rsidRPr="00264417">
      <w:rPr>
        <w:rStyle w:val="HideTWBExt"/>
      </w:rPr>
      <w:t>NoPE</w:t>
    </w:r>
    <w:proofErr w:type="spellEnd"/>
    <w:r w:rsidRPr="00264417">
      <w:rPr>
        <w:rStyle w:val="HideTWBExt"/>
      </w:rPr>
      <w:t>&gt;&lt;Version&gt;</w:t>
    </w:r>
    <w:r w:rsidRPr="00264417">
      <w:t>v02-00</w:t>
    </w:r>
    <w:r w:rsidRPr="00264417">
      <w:rPr>
        <w:rStyle w:val="HideTWBExt"/>
      </w:rPr>
      <w:t>&lt;/</w:t>
    </w:r>
    <w:proofErr w:type="spellStart"/>
    <w:r w:rsidRPr="00264417">
      <w:rPr>
        <w:rStyle w:val="HideTWBExt"/>
      </w:rPr>
      <w:t>Version</w:t>
    </w:r>
    <w:proofErr w:type="spellEnd"/>
    <w:r w:rsidRPr="00264417">
      <w:rPr>
        <w:rStyle w:val="HideTWBExt"/>
      </w:rPr>
      <w:t>&gt;</w:t>
    </w:r>
  </w:p>
  <w:p w:rsidR="00555A5B" w:rsidRPr="00264417" w:rsidRDefault="00555A5B" w:rsidP="005C38CA">
    <w:pPr>
      <w:pStyle w:val="EPFooter2"/>
    </w:pPr>
    <w:r w:rsidRPr="00264417">
      <w:t>RO</w:t>
    </w:r>
    <w:r w:rsidRPr="00264417">
      <w:tab/>
    </w:r>
    <w:r w:rsidRPr="00264417">
      <w:rPr>
        <w:b w:val="0"/>
        <w:i/>
        <w:color w:val="C0C0C0"/>
        <w:sz w:val="22"/>
      </w:rPr>
      <w:t>Unită în diversitate</w:t>
    </w:r>
    <w:r w:rsidRPr="0026441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41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41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4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949" w:rsidRPr="00264417" w:rsidRDefault="00006949">
      <w:r w:rsidRPr="00264417">
        <w:separator/>
      </w:r>
    </w:p>
  </w:footnote>
  <w:footnote w:type="continuationSeparator" w:id="0">
    <w:p w:rsidR="00006949" w:rsidRPr="00264417" w:rsidRDefault="00006949">
      <w:r w:rsidRPr="00264417">
        <w:continuationSeparator/>
      </w:r>
    </w:p>
  </w:footnote>
  <w:footnote w:id="1">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C, C/2023/594, 27.10.2023.</w:t>
      </w:r>
    </w:p>
  </w:footnote>
  <w:footnote w:id="2">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C, C/2023/112, 12.10.2023.</w:t>
      </w:r>
    </w:p>
  </w:footnote>
  <w:footnote w:id="3">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L 193, 30.7.2018, p. 1.</w:t>
      </w:r>
    </w:p>
  </w:footnote>
  <w:footnote w:id="4">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L 396, 30.12.2006, p. 1.</w:t>
      </w:r>
    </w:p>
  </w:footnote>
  <w:footnote w:id="5">
    <w:p w:rsidR="00555A5B" w:rsidRPr="005142D0" w:rsidRDefault="00555A5B" w:rsidP="00264417">
      <w:pPr>
        <w:pStyle w:val="FootnoteText"/>
        <w:ind w:left="567" w:hanging="567"/>
        <w:rPr>
          <w:sz w:val="24"/>
          <w:szCs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L 122, 10.5.2019, p. 1.</w:t>
      </w:r>
    </w:p>
  </w:footnote>
  <w:footnote w:id="6">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C, C/2023/594, 27.10.2023.</w:t>
      </w:r>
    </w:p>
  </w:footnote>
  <w:footnote w:id="7">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C, C/2023/112, 12.10.2023.</w:t>
      </w:r>
    </w:p>
  </w:footnote>
  <w:footnote w:id="8">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L 193, 30.7.2018, p. 1.</w:t>
      </w:r>
    </w:p>
  </w:footnote>
  <w:footnote w:id="9">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L 396, 30.12.2006, p. 1.</w:t>
      </w:r>
    </w:p>
  </w:footnote>
  <w:footnote w:id="10">
    <w:p w:rsidR="00555A5B" w:rsidRPr="005142D0" w:rsidRDefault="00555A5B" w:rsidP="00264417">
      <w:pPr>
        <w:pStyle w:val="FootnoteText"/>
        <w:ind w:left="567" w:hanging="567"/>
        <w:rPr>
          <w:sz w:val="24"/>
          <w:szCs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L 122, 10.5.2019, p. 1.</w:t>
      </w:r>
    </w:p>
  </w:footnote>
  <w:footnote w:id="11">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JO C 453, 29.11.2022, p. 39.</w:t>
      </w:r>
    </w:p>
  </w:footnote>
  <w:footnote w:id="12">
    <w:p w:rsidR="00555A5B" w:rsidRPr="005142D0" w:rsidRDefault="00555A5B" w:rsidP="00264417">
      <w:pPr>
        <w:pStyle w:val="FootnoteText"/>
        <w:ind w:left="567" w:hanging="567"/>
        <w:rPr>
          <w:sz w:val="24"/>
          <w:lang w:val="ro-RO"/>
        </w:rPr>
      </w:pPr>
      <w:r w:rsidRPr="005142D0">
        <w:rPr>
          <w:sz w:val="24"/>
          <w:vertAlign w:val="superscript"/>
          <w:lang w:val="ro-RO"/>
        </w:rPr>
        <w:footnoteRef/>
      </w:r>
      <w:r w:rsidR="00264417" w:rsidRPr="005142D0">
        <w:rPr>
          <w:sz w:val="24"/>
          <w:lang w:val="ro-RO"/>
        </w:rPr>
        <w:t xml:space="preserve"> </w:t>
      </w:r>
      <w:r w:rsidR="00264417" w:rsidRPr="005142D0">
        <w:rPr>
          <w:sz w:val="24"/>
          <w:lang w:val="ro-RO"/>
        </w:rPr>
        <w:tab/>
      </w:r>
      <w:r w:rsidRPr="005142D0">
        <w:rPr>
          <w:sz w:val="24"/>
          <w:lang w:val="ro-RO"/>
        </w:rPr>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w:t>
      </w:r>
    </w:p>
  </w:footnote>
  <w:footnote w:id="13">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14">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 xml:space="preserve">Regulamentul (UE) nr. 528/2012 al Parlamentului European și al Consiliului din 22 mai 2012 privind punerea la dispoziție pe piață și utilizarea produselor </w:t>
      </w:r>
      <w:proofErr w:type="spellStart"/>
      <w:r w:rsidRPr="005142D0">
        <w:rPr>
          <w:sz w:val="24"/>
          <w:lang w:val="ro-RO"/>
        </w:rPr>
        <w:t>biocide</w:t>
      </w:r>
      <w:proofErr w:type="spellEnd"/>
      <w:r w:rsidRPr="005142D0">
        <w:rPr>
          <w:sz w:val="24"/>
          <w:lang w:val="ro-RO"/>
        </w:rPr>
        <w:t xml:space="preserve"> (JO L 167, 27.6.2012, p. 1).</w:t>
      </w:r>
    </w:p>
  </w:footnote>
  <w:footnote w:id="15">
    <w:p w:rsidR="00555A5B" w:rsidRPr="005142D0"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1).</w:t>
      </w:r>
    </w:p>
  </w:footnote>
  <w:footnote w:id="16">
    <w:p w:rsidR="00555A5B" w:rsidRPr="00264417" w:rsidRDefault="00555A5B" w:rsidP="00264417">
      <w:pPr>
        <w:pStyle w:val="FootnoteText"/>
        <w:ind w:left="567" w:hanging="567"/>
        <w:rPr>
          <w:sz w:val="24"/>
          <w:lang w:val="ro-RO"/>
        </w:rPr>
      </w:pPr>
      <w:r w:rsidRPr="005142D0">
        <w:rPr>
          <w:rStyle w:val="FootnoteReference"/>
          <w:sz w:val="24"/>
          <w:lang w:val="ro-RO"/>
        </w:rPr>
        <w:footnoteRef/>
      </w:r>
      <w:r w:rsidR="00264417" w:rsidRPr="005142D0">
        <w:rPr>
          <w:sz w:val="24"/>
          <w:lang w:val="ro-RO"/>
        </w:rPr>
        <w:t xml:space="preserve"> </w:t>
      </w:r>
      <w:r w:rsidR="00264417" w:rsidRPr="005142D0">
        <w:rPr>
          <w:sz w:val="24"/>
          <w:lang w:val="ro-RO"/>
        </w:rPr>
        <w:tab/>
      </w:r>
      <w:r w:rsidRPr="005142D0">
        <w:rPr>
          <w:sz w:val="24"/>
          <w:lang w:val="ro-RO"/>
        </w:rPr>
        <w:t>Texte adoptate, P9_TA(2024)</w:t>
      </w:r>
      <w:r w:rsidR="005142D0" w:rsidRPr="005142D0">
        <w:rPr>
          <w:sz w:val="24"/>
          <w:lang w:val="ro-RO"/>
        </w:rPr>
        <w:t>0</w:t>
      </w:r>
      <w:r w:rsidR="005142D0" w:rsidRPr="005142D0">
        <w:rPr>
          <w:sz w:val="24"/>
          <w:lang w:val="ro-RO"/>
        </w:rPr>
        <w:t>280</w:t>
      </w:r>
      <w:r w:rsidRPr="005142D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4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4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4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RO"/>
    <w:docVar w:name="dvnumam" w:val="0"/>
    <w:docVar w:name="dvpe" w:val="753.516"/>
    <w:docVar w:name="dvrapporteur" w:val="Raportor: "/>
    <w:docVar w:name="dvtitre" w:val="1. Decizia Parlamentului European din 11 aprilie 2024 privind descărcarea de gestiune pentru execuția bugetului Agenției Europene pentru Produse Chimice aferent exercițiului financiar 2022(2023/2148(DEC))"/>
  </w:docVars>
  <w:rsids>
    <w:rsidRoot w:val="00006949"/>
    <w:rsid w:val="00002272"/>
    <w:rsid w:val="00006949"/>
    <w:rsid w:val="00064002"/>
    <w:rsid w:val="000677B9"/>
    <w:rsid w:val="000831BA"/>
    <w:rsid w:val="000A42CC"/>
    <w:rsid w:val="000E7DD9"/>
    <w:rsid w:val="0010095E"/>
    <w:rsid w:val="00125B37"/>
    <w:rsid w:val="00187494"/>
    <w:rsid w:val="001F32AE"/>
    <w:rsid w:val="0026441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2D0"/>
    <w:rsid w:val="00514517"/>
    <w:rsid w:val="00545827"/>
    <w:rsid w:val="00555A5B"/>
    <w:rsid w:val="00560270"/>
    <w:rsid w:val="005C2568"/>
    <w:rsid w:val="006037C0"/>
    <w:rsid w:val="00616D9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03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2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03015"/>
  <w15:chartTrackingRefBased/>
  <w15:docId w15:val="{846EB306-6AAC-406D-BAD1-18916ACF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55A5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55A5B"/>
    <w:pPr>
      <w:spacing w:before="480" w:after="240"/>
    </w:pPr>
  </w:style>
  <w:style w:type="paragraph" w:customStyle="1" w:styleId="PageHeading">
    <w:name w:val="PageHeading"/>
    <w:basedOn w:val="Normal"/>
    <w:rsid w:val="00555A5B"/>
    <w:pPr>
      <w:keepNext/>
      <w:spacing w:after="480"/>
      <w:jc w:val="center"/>
    </w:pPr>
    <w:rPr>
      <w:rFonts w:ascii="Arial" w:hAnsi="Arial" w:cs="Arial"/>
      <w:b/>
    </w:rPr>
  </w:style>
  <w:style w:type="paragraph" w:customStyle="1" w:styleId="NormalBold">
    <w:name w:val="NormalBold"/>
    <w:basedOn w:val="Normal"/>
    <w:rsid w:val="00555A5B"/>
    <w:rPr>
      <w:b/>
    </w:rPr>
  </w:style>
  <w:style w:type="paragraph" w:customStyle="1" w:styleId="NormalHanging12a">
    <w:name w:val="NormalHanging12a"/>
    <w:basedOn w:val="Normal"/>
    <w:link w:val="NormalHanging12aChar"/>
    <w:rsid w:val="00555A5B"/>
    <w:pPr>
      <w:spacing w:after="240"/>
      <w:ind w:left="567" w:hanging="567"/>
    </w:pPr>
  </w:style>
  <w:style w:type="paragraph" w:customStyle="1" w:styleId="NormalCenter12a">
    <w:name w:val="NormalCenter12a"/>
    <w:basedOn w:val="Normal"/>
    <w:rsid w:val="00555A5B"/>
    <w:pPr>
      <w:spacing w:after="240"/>
      <w:jc w:val="center"/>
    </w:pPr>
  </w:style>
  <w:style w:type="paragraph" w:styleId="Header">
    <w:name w:val="header"/>
    <w:basedOn w:val="Normal"/>
    <w:link w:val="HeaderChar"/>
    <w:rsid w:val="00555A5B"/>
    <w:pPr>
      <w:tabs>
        <w:tab w:val="center" w:pos="4513"/>
        <w:tab w:val="right" w:pos="9026"/>
      </w:tabs>
    </w:pPr>
  </w:style>
  <w:style w:type="character" w:customStyle="1" w:styleId="HeaderChar">
    <w:name w:val="Header Char"/>
    <w:basedOn w:val="DefaultParagraphFont"/>
    <w:link w:val="Header"/>
    <w:rsid w:val="00555A5B"/>
    <w:rPr>
      <w:sz w:val="24"/>
      <w:lang w:val="ro-RO"/>
    </w:rPr>
  </w:style>
  <w:style w:type="paragraph" w:customStyle="1" w:styleId="EPFooter">
    <w:name w:val="EPFooter"/>
    <w:basedOn w:val="Normal"/>
    <w:rsid w:val="00555A5B"/>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555A5B"/>
    <w:pPr>
      <w:spacing w:after="240"/>
      <w:ind w:left="567" w:hanging="567"/>
    </w:pPr>
  </w:style>
  <w:style w:type="character" w:customStyle="1" w:styleId="NormalHanging12aChar">
    <w:name w:val="NormalHanging12a Char"/>
    <w:link w:val="NormalHanging12a"/>
    <w:locked/>
    <w:rsid w:val="00555A5B"/>
    <w:rPr>
      <w:sz w:val="24"/>
      <w:lang w:val="ro-RO"/>
    </w:rPr>
  </w:style>
  <w:style w:type="character" w:customStyle="1" w:styleId="Normal12HangingChar">
    <w:name w:val="Normal12Hanging Char"/>
    <w:link w:val="Normal12Hanging"/>
    <w:locked/>
    <w:rsid w:val="00555A5B"/>
    <w:rPr>
      <w:sz w:val="24"/>
      <w:lang w:val="ro-RO"/>
    </w:rPr>
  </w:style>
  <w:style w:type="paragraph" w:customStyle="1" w:styleId="Normal24a">
    <w:name w:val="Normal24a"/>
    <w:basedOn w:val="Normal"/>
    <w:rsid w:val="00555A5B"/>
    <w:pPr>
      <w:spacing w:after="480"/>
    </w:pPr>
  </w:style>
  <w:style w:type="paragraph" w:customStyle="1" w:styleId="NormalBoldCenter">
    <w:name w:val="NormalBoldCenter"/>
    <w:basedOn w:val="Normal"/>
    <w:rsid w:val="00555A5B"/>
    <w:pPr>
      <w:jc w:val="center"/>
    </w:pPr>
    <w:rPr>
      <w:b/>
    </w:rPr>
  </w:style>
  <w:style w:type="paragraph" w:customStyle="1" w:styleId="Normal12a">
    <w:name w:val="Normal12a"/>
    <w:basedOn w:val="Normal"/>
    <w:rsid w:val="00555A5B"/>
    <w:pPr>
      <w:spacing w:after="240"/>
    </w:pPr>
  </w:style>
  <w:style w:type="paragraph" w:customStyle="1" w:styleId="PageHeadingNotTOC">
    <w:name w:val="PageHeadingNotTOC"/>
    <w:basedOn w:val="Normal"/>
    <w:rsid w:val="00555A5B"/>
    <w:pPr>
      <w:keepNext/>
      <w:spacing w:after="480"/>
      <w:jc w:val="center"/>
    </w:pPr>
    <w:rPr>
      <w:rFonts w:ascii="Arial" w:hAnsi="Arial" w:cs="Arial"/>
      <w:b/>
    </w:rPr>
  </w:style>
  <w:style w:type="paragraph" w:customStyle="1" w:styleId="RollCallSymbols14pt">
    <w:name w:val="RollCallSymbols14pt"/>
    <w:basedOn w:val="Normal"/>
    <w:rsid w:val="00555A5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55A5B"/>
    <w:pPr>
      <w:tabs>
        <w:tab w:val="center" w:pos="284"/>
        <w:tab w:val="left" w:pos="426"/>
      </w:tabs>
    </w:pPr>
    <w:rPr>
      <w:snapToGrid w:val="0"/>
      <w:lang w:eastAsia="en-US"/>
    </w:rPr>
  </w:style>
  <w:style w:type="paragraph" w:customStyle="1" w:styleId="RollCallVotes">
    <w:name w:val="RollCallVotes"/>
    <w:basedOn w:val="Normal"/>
    <w:rsid w:val="00555A5B"/>
    <w:pPr>
      <w:spacing w:before="120" w:after="120"/>
      <w:jc w:val="center"/>
    </w:pPr>
    <w:rPr>
      <w:b/>
      <w:bCs/>
      <w:snapToGrid w:val="0"/>
      <w:sz w:val="16"/>
      <w:lang w:eastAsia="en-US"/>
    </w:rPr>
  </w:style>
  <w:style w:type="paragraph" w:customStyle="1" w:styleId="RollCallTable">
    <w:name w:val="RollCallTable"/>
    <w:basedOn w:val="Normal"/>
    <w:rsid w:val="00555A5B"/>
    <w:pPr>
      <w:spacing w:before="120" w:after="120"/>
    </w:pPr>
    <w:rPr>
      <w:snapToGrid w:val="0"/>
      <w:sz w:val="16"/>
      <w:lang w:eastAsia="en-US"/>
    </w:rPr>
  </w:style>
  <w:style w:type="paragraph" w:styleId="Footer">
    <w:name w:val="footer"/>
    <w:basedOn w:val="Normal"/>
    <w:link w:val="FooterChar"/>
    <w:rsid w:val="00DE62E7"/>
    <w:pPr>
      <w:tabs>
        <w:tab w:val="center" w:pos="4513"/>
        <w:tab w:val="right" w:pos="9026"/>
      </w:tabs>
    </w:pPr>
  </w:style>
  <w:style w:type="character" w:customStyle="1" w:styleId="FooterChar">
    <w:name w:val="Footer Char"/>
    <w:basedOn w:val="DefaultParagraphFont"/>
    <w:link w:val="Footer"/>
    <w:rsid w:val="00DE62E7"/>
    <w:rPr>
      <w:sz w:val="24"/>
      <w:lang w:val="ro-RO"/>
    </w:rPr>
  </w:style>
  <w:style w:type="paragraph" w:styleId="BalloonText">
    <w:name w:val="Balloon Text"/>
    <w:basedOn w:val="Normal"/>
    <w:link w:val="BalloonTextChar"/>
    <w:rsid w:val="00B65032"/>
    <w:rPr>
      <w:rFonts w:ascii="Segoe UI" w:hAnsi="Segoe UI" w:cs="Segoe UI"/>
      <w:sz w:val="18"/>
      <w:szCs w:val="18"/>
    </w:rPr>
  </w:style>
  <w:style w:type="character" w:customStyle="1" w:styleId="BalloonTextChar">
    <w:name w:val="Balloon Text Char"/>
    <w:basedOn w:val="DefaultParagraphFont"/>
    <w:link w:val="BalloonText"/>
    <w:rsid w:val="00B65032"/>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D560D-47D8-41BE-BE9D-3A2B4F4AC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3811</Words>
  <Characters>22475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2024-04-11T13:57:00Z</dcterms:created>
  <dcterms:modified xsi:type="dcterms:W3CDTF">2024-04-11T13:57:00Z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A9-0135/2024</vt:lpwstr>
  </property>
  <property fmtid="{D5CDD505-2E9C-101B-9397-08002B2CF9AE}" pid="4" name="&lt;Type&gt;">
    <vt:lpwstr>RR</vt:lpwstr>
  </property>
</Properties>
</file>