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93B4A" w:rsidRPr="00CD016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93B4A" w:rsidRPr="00CD016A" w:rsidRDefault="00CD016A">
            <w:pPr>
              <w:pStyle w:val="EPName"/>
            </w:pPr>
            <w:bookmarkStart w:id="0" w:name="_GoBack"/>
            <w:bookmarkEnd w:id="0"/>
            <w:r w:rsidRPr="00CD016A">
              <w:t>Európsky parlament</w:t>
            </w:r>
          </w:p>
          <w:p w:rsidR="00593B4A" w:rsidRPr="00CD016A" w:rsidRDefault="00CD016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016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93B4A" w:rsidRPr="00CD016A" w:rsidRDefault="00CD016A">
            <w:pPr>
              <w:pStyle w:val="EPLogo"/>
            </w:pPr>
            <w:r w:rsidRPr="00CD01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3B4A" w:rsidRPr="00CD016A" w:rsidRDefault="00593B4A">
      <w:pPr>
        <w:pStyle w:val="LineTop"/>
      </w:pPr>
    </w:p>
    <w:p w:rsidR="00593B4A" w:rsidRPr="00CD016A" w:rsidRDefault="00CD016A">
      <w:pPr>
        <w:pStyle w:val="EPBodyTA1"/>
      </w:pPr>
      <w:r w:rsidRPr="00CD016A">
        <w:t>PRIJATÉ TEXTY</w:t>
      </w:r>
    </w:p>
    <w:p w:rsidR="00593B4A" w:rsidRPr="00CD016A" w:rsidRDefault="00593B4A">
      <w:pPr>
        <w:pStyle w:val="LineBottom"/>
      </w:pPr>
    </w:p>
    <w:p w:rsidR="00593B4A" w:rsidRPr="00CD016A" w:rsidRDefault="00CD016A">
      <w:pPr>
        <w:pStyle w:val="ATHeading1"/>
      </w:pPr>
      <w:bookmarkStart w:id="1" w:name="TANumber"/>
      <w:r w:rsidRPr="00CD016A">
        <w:t>P9_TA(2024)0</w:t>
      </w:r>
      <w:r w:rsidR="00FB3800" w:rsidRPr="00CD016A">
        <w:t>258</w:t>
      </w:r>
      <w:bookmarkEnd w:id="1"/>
    </w:p>
    <w:p w:rsidR="00593B4A" w:rsidRPr="00CD016A" w:rsidRDefault="00CD016A">
      <w:pPr>
        <w:pStyle w:val="ATHeading2"/>
      </w:pPr>
      <w:bookmarkStart w:id="2" w:name="title"/>
      <w:r w:rsidRPr="00CD016A">
        <w:t>Absolutórium za rok 2022: Európska chemická agentúra</w:t>
      </w:r>
      <w:bookmarkEnd w:id="2"/>
    </w:p>
    <w:p w:rsidR="00593B4A" w:rsidRPr="00CD016A" w:rsidRDefault="00CD016A">
      <w:pPr>
        <w:rPr>
          <w:i/>
          <w:vanish/>
        </w:rPr>
      </w:pPr>
      <w:r w:rsidRPr="00CD016A">
        <w:rPr>
          <w:i/>
        </w:rPr>
        <w:fldChar w:fldCharType="begin"/>
      </w:r>
      <w:r w:rsidRPr="00CD016A">
        <w:rPr>
          <w:i/>
        </w:rPr>
        <w:instrText xml:space="preserve"> TC"(</w:instrText>
      </w:r>
      <w:bookmarkStart w:id="3" w:name="DocNumber"/>
      <w:r w:rsidRPr="00CD016A">
        <w:rPr>
          <w:i/>
        </w:rPr>
        <w:instrText>A9-0135/2024</w:instrText>
      </w:r>
      <w:bookmarkEnd w:id="3"/>
      <w:r w:rsidRPr="00CD016A">
        <w:rPr>
          <w:i/>
        </w:rPr>
        <w:instrText xml:space="preserve"> - Spravodajca: </w:instrText>
      </w:r>
      <w:proofErr w:type="spellStart"/>
      <w:r w:rsidRPr="00CD016A">
        <w:rPr>
          <w:i/>
        </w:rPr>
        <w:instrText>Petri</w:instrText>
      </w:r>
      <w:proofErr w:type="spellEnd"/>
      <w:r w:rsidRPr="00CD016A">
        <w:rPr>
          <w:i/>
        </w:rPr>
        <w:instrText xml:space="preserve"> </w:instrText>
      </w:r>
      <w:proofErr w:type="spellStart"/>
      <w:r w:rsidRPr="00CD016A">
        <w:rPr>
          <w:i/>
        </w:rPr>
        <w:instrText>Sarvamaa</w:instrText>
      </w:r>
      <w:proofErr w:type="spellEnd"/>
      <w:r w:rsidRPr="00CD016A">
        <w:rPr>
          <w:i/>
        </w:rPr>
        <w:instrText xml:space="preserve">)"\l3 \n&gt; \* MERGEFORMAT </w:instrText>
      </w:r>
      <w:r w:rsidRPr="00CD016A">
        <w:rPr>
          <w:i/>
        </w:rPr>
        <w:fldChar w:fldCharType="end"/>
      </w:r>
    </w:p>
    <w:p w:rsidR="00593B4A" w:rsidRPr="00CD016A" w:rsidRDefault="00CD016A">
      <w:pPr>
        <w:rPr>
          <w:vanish/>
        </w:rPr>
      </w:pPr>
      <w:bookmarkStart w:id="4" w:name="Commission"/>
      <w:r w:rsidRPr="00CD016A">
        <w:rPr>
          <w:vanish/>
        </w:rPr>
        <w:t>Výbor pre kontrolu rozpočtu</w:t>
      </w:r>
      <w:bookmarkEnd w:id="4"/>
    </w:p>
    <w:p w:rsidR="00593B4A" w:rsidRPr="00CD016A" w:rsidRDefault="00CD016A">
      <w:pPr>
        <w:rPr>
          <w:vanish/>
        </w:rPr>
      </w:pPr>
      <w:bookmarkStart w:id="5" w:name="PE"/>
      <w:r w:rsidRPr="00CD016A">
        <w:rPr>
          <w:vanish/>
        </w:rPr>
        <w:t>PE753.516</w:t>
      </w:r>
      <w:bookmarkEnd w:id="5"/>
    </w:p>
    <w:p w:rsidR="00593B4A" w:rsidRPr="00CD016A" w:rsidRDefault="00CD016A">
      <w:pPr>
        <w:pStyle w:val="ATHeading3"/>
      </w:pPr>
      <w:bookmarkStart w:id="6" w:name="Sujet"/>
      <w:r w:rsidRPr="00CD016A">
        <w:t>1. Rozhodnutie Európskeho</w:t>
      </w:r>
      <w:r w:rsidRPr="00CD016A">
        <w:t xml:space="preserve"> parlamentu z 11. apríla 2024 o absolutóriu za plnenie rozpočtu Európskej chemickej agentúry za rozpočtový rok 2022</w:t>
      </w:r>
      <w:bookmarkEnd w:id="6"/>
      <w:r w:rsidRPr="00CD016A">
        <w:t xml:space="preserve"> </w:t>
      </w:r>
      <w:bookmarkStart w:id="7" w:name="References"/>
      <w:r w:rsidRPr="00CD016A">
        <w:t>(2023/2148(DEC))</w:t>
      </w:r>
      <w:bookmarkEnd w:id="7"/>
    </w:p>
    <w:p w:rsidR="00593B4A" w:rsidRPr="00CD016A" w:rsidRDefault="00CD016A">
      <w:pPr>
        <w:pStyle w:val="EPComma"/>
      </w:pPr>
      <w:bookmarkStart w:id="8" w:name="TextBodyBegin"/>
      <w:bookmarkEnd w:id="8"/>
      <w:r w:rsidRPr="00CD016A">
        <w:rPr>
          <w:i/>
        </w:rPr>
        <w:t>Európsky parlament</w:t>
      </w:r>
      <w:r w:rsidRPr="00CD016A">
        <w:t>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konečnú ročnú účtovnú závierku Európskej chemickej agentúry za rozpočtový rok 2022,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</w:r>
      <w:r w:rsidRPr="00CD016A">
        <w:t>so zreteľom na výročnú správu Dvora audítorov o agentúrach EÚ za rozpočtový rok 2022 spolu s odpoveďami agentúr</w:t>
      </w:r>
      <w:r w:rsidRPr="00CD016A">
        <w:rPr>
          <w:rStyle w:val="FootnoteReference"/>
        </w:rPr>
        <w:footnoteReference w:id="1"/>
      </w:r>
      <w:r w:rsidRPr="00CD016A">
        <w:t>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vyhlásenie o vierohodnosti</w:t>
      </w:r>
      <w:r w:rsidRPr="00CD016A">
        <w:rPr>
          <w:rStyle w:val="FootnoteReference"/>
        </w:rPr>
        <w:footnoteReference w:id="2"/>
      </w:r>
      <w:r w:rsidRPr="00CD016A">
        <w:t xml:space="preserve"> týkajúce sa spoľahlivosti účtov a zákonnosti a správnosti príslušných operácií, ktoré poskytol Dv</w:t>
      </w:r>
      <w:r w:rsidRPr="00CD016A">
        <w:t>or audítorov za rozpočtový rok 2022 v súlade s článkom 287 Zmluvy o fungovaní Európskej únie,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odporúčanie Rady z 22. februára 2024 o udelení absolutória agentúre za plnenie rozpočtu za rozpočtový rok 2022 (0</w:t>
      </w:r>
      <w:r w:rsidRPr="00CD016A">
        <w:t>6180</w:t>
      </w:r>
      <w:r w:rsidRPr="00CD016A">
        <w:t>/2024 – C9</w:t>
      </w:r>
      <w:r w:rsidRPr="00CD016A">
        <w:noBreakHyphen/>
        <w:t>0</w:t>
      </w:r>
      <w:r w:rsidRPr="00CD016A">
        <w:t>086</w:t>
      </w:r>
      <w:r w:rsidRPr="00CD016A">
        <w:t>/2024),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článok 319 Zmluvy o fungovaní Európskej únie,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nariadenie Európskeho parlamentu a Rady (EÚ, </w:t>
      </w:r>
      <w:proofErr w:type="spellStart"/>
      <w:r w:rsidRPr="00CD016A">
        <w:t>Euratom</w:t>
      </w:r>
      <w:proofErr w:type="spellEnd"/>
      <w:r w:rsidRPr="00CD016A">
        <w:t>) 2018/1046 z 18. júla 2018 o rozpočtových pravidlách, ktoré sa vzťahujú na všeobecný rozpočet Únie, o zmene nariade</w:t>
      </w:r>
      <w:r w:rsidRPr="00CD016A">
        <w:t xml:space="preserve">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D016A">
        <w:t>Euratom</w:t>
      </w:r>
      <w:proofErr w:type="spellEnd"/>
      <w:r w:rsidRPr="00CD016A">
        <w:t>) č. 966/2012</w:t>
      </w:r>
      <w:r w:rsidRPr="00CD016A">
        <w:rPr>
          <w:rStyle w:val="FootnoteReference"/>
        </w:rPr>
        <w:footnoteReference w:id="3"/>
      </w:r>
      <w:r w:rsidRPr="00CD016A">
        <w:t>, a najmä na jeho článok 7</w:t>
      </w:r>
      <w:r w:rsidRPr="00CD016A">
        <w:t>0,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nariadenie Európskeho parlamentu a Rady (ES) č. 1907/2006 z 18. decembra 2006 o registrácii, hodnotení, autorizácii a obmedzovaní chemických látok (REACH) a o zriadení Európskej agentúry pre chemické látky, o zmene a doplnení smernice 1</w:t>
      </w:r>
      <w:r w:rsidRPr="00CD016A">
        <w:t xml:space="preserve">999/45/ES a o zrušení nariadenia Rady (EHS) č. 793/93 a nariadenia Komisie (ES) č. 1488/94, smernice Rady 76/769/EHS a smerníc Komisie 91/155/EHS, </w:t>
      </w:r>
      <w:r w:rsidRPr="00CD016A">
        <w:lastRenderedPageBreak/>
        <w:t>93/67/EHS, 93/105/ES a 2000/21/ES</w:t>
      </w:r>
      <w:r w:rsidRPr="00CD016A">
        <w:rPr>
          <w:rStyle w:val="FootnoteReference"/>
        </w:rPr>
        <w:footnoteReference w:id="4"/>
      </w:r>
      <w:r w:rsidRPr="00CD016A">
        <w:t xml:space="preserve"> a najmä na jeho článok 97,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delegované nariadenie Komisie </w:t>
      </w:r>
      <w:r w:rsidRPr="00CD016A">
        <w:t xml:space="preserve">(EÚ) 2019/715 z 18. decembra 2018 o rámcovom nariadení o rozpočtových pravidlách pre subjekty zriadené podľa ZFEÚ a Zmluvy o </w:t>
      </w:r>
      <w:proofErr w:type="spellStart"/>
      <w:r w:rsidRPr="00CD016A">
        <w:t>Euratome</w:t>
      </w:r>
      <w:proofErr w:type="spellEnd"/>
      <w:r w:rsidRPr="00CD016A">
        <w:t xml:space="preserve"> a uvedené v článku 70 nariadenia Európskeho parlamentu a Rady (EÚ, </w:t>
      </w:r>
      <w:proofErr w:type="spellStart"/>
      <w:r w:rsidRPr="00CD016A">
        <w:t>Euratom</w:t>
      </w:r>
      <w:proofErr w:type="spellEnd"/>
      <w:r w:rsidRPr="00CD016A">
        <w:t>) 2018/1046</w:t>
      </w:r>
      <w:r w:rsidRPr="00CD016A">
        <w:rPr>
          <w:rStyle w:val="FootnoteReference"/>
        </w:rPr>
        <w:footnoteReference w:id="5"/>
      </w:r>
      <w:r w:rsidRPr="00CD016A">
        <w:t>, a najmä na jeho článok 105,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</w:t>
      </w:r>
      <w:r w:rsidRPr="00CD016A">
        <w:t xml:space="preserve">reteľom na článok 100 </w:t>
      </w:r>
      <w:r w:rsidRPr="00CD016A">
        <w:t>a prílohu V k rokovaciemu poriadku,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stanovisko Výboru pre životné prostredie, verejné zdravie a bezpečnosť potravín,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správu Výboru pre kontrolu rozpočtu (A9-0135/2024),</w:t>
      </w:r>
    </w:p>
    <w:p w:rsidR="00593B4A" w:rsidRPr="00CD016A" w:rsidRDefault="00CD016A">
      <w:pPr>
        <w:pStyle w:val="NormalHanging12a"/>
      </w:pPr>
      <w:r w:rsidRPr="00CD016A">
        <w:t>1.</w:t>
      </w:r>
      <w:r w:rsidRPr="00CD016A">
        <w:tab/>
        <w:t>udeľuje</w:t>
      </w:r>
      <w:r w:rsidRPr="00CD016A">
        <w:t xml:space="preserve"> absolutórium výkonnej riaditeľke Európskej chemickej agentúry za plnenie rozpočtu agentúry za rozpočtový rok 2022;</w:t>
      </w:r>
    </w:p>
    <w:p w:rsidR="00593B4A" w:rsidRPr="00CD016A" w:rsidRDefault="00CD016A">
      <w:pPr>
        <w:pStyle w:val="NormalHanging12a"/>
      </w:pPr>
      <w:r w:rsidRPr="00CD016A">
        <w:t>2.</w:t>
      </w:r>
      <w:r w:rsidRPr="00CD016A">
        <w:tab/>
        <w:t>uvádza svoje poznámky v priloženom uznesení;</w:t>
      </w:r>
    </w:p>
    <w:p w:rsidR="00593B4A" w:rsidRPr="00CD016A" w:rsidRDefault="00CD016A">
      <w:pPr>
        <w:pStyle w:val="NormalHanging12a"/>
      </w:pPr>
      <w:r w:rsidRPr="00CD016A">
        <w:t>3.</w:t>
      </w:r>
      <w:r w:rsidRPr="00CD016A">
        <w:tab/>
        <w:t>poveruje svoju predsedníčku, aby postúpila toto rozhodnutie a uznesenie, ktoré je jeho ne</w:t>
      </w:r>
      <w:r w:rsidRPr="00CD016A">
        <w:t xml:space="preserve">oddeliteľnou súčasťou, výkonnej riaditeľke Európskej chemickej agentúry, Rade, Komisii a Dvoru audítorov a aby zabezpečila ich uverejnenie v </w:t>
      </w:r>
      <w:r w:rsidRPr="00CD016A">
        <w:rPr>
          <w:i/>
          <w:iCs/>
        </w:rPr>
        <w:t>Úradnom vestníku Európskej únie</w:t>
      </w:r>
      <w:r w:rsidRPr="00CD016A">
        <w:t xml:space="preserve"> (v sérii L).</w:t>
      </w:r>
    </w:p>
    <w:p w:rsidR="00593B4A" w:rsidRPr="00CD016A" w:rsidRDefault="00593B4A"/>
    <w:p w:rsidR="00593B4A" w:rsidRPr="00CD016A" w:rsidRDefault="00593B4A">
      <w:pPr>
        <w:widowControl/>
        <w:rPr>
          <w:rFonts w:ascii="Arial" w:hAnsi="Arial" w:cs="Arial"/>
          <w:b/>
        </w:rPr>
        <w:sectPr w:rsidR="00593B4A" w:rsidRPr="00CD016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93B4A" w:rsidRPr="00CD016A" w:rsidRDefault="00CD016A">
      <w:pPr>
        <w:pStyle w:val="NormalBold"/>
      </w:pPr>
      <w:r w:rsidRPr="00CD016A">
        <w:lastRenderedPageBreak/>
        <w:t>2. Rozhodnutie Európskeho parlamentu z 11. apríla 2024 o účtovnej závierke Európskej chemickej agentúry za rozpočtový rok 2022 (2023/2148(DEC))</w:t>
      </w:r>
    </w:p>
    <w:p w:rsidR="00593B4A" w:rsidRPr="00CD016A" w:rsidRDefault="00CD016A">
      <w:pPr>
        <w:pStyle w:val="EPComma"/>
      </w:pPr>
      <w:r w:rsidRPr="00CD016A">
        <w:rPr>
          <w:i/>
        </w:rPr>
        <w:t>Európsky parlament</w:t>
      </w:r>
      <w:r w:rsidRPr="00CD016A">
        <w:t>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konečnú ročnú účtovnú závierku Európskej c</w:t>
      </w:r>
      <w:r w:rsidRPr="00CD016A">
        <w:t>hemickej agentúry za rozpočtový rok 2022,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výročnú správu Dvora audítorov o agentúrach EÚ za rozpočtový rok 2022 spolu s odpoveďami agentúr</w:t>
      </w:r>
      <w:r w:rsidRPr="00CD016A">
        <w:rPr>
          <w:rStyle w:val="FootnoteReference"/>
        </w:rPr>
        <w:footnoteReference w:id="6"/>
      </w:r>
      <w:r w:rsidRPr="00CD016A">
        <w:t>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vyhlásenie o vierohodnosti</w:t>
      </w:r>
      <w:r w:rsidRPr="00CD016A">
        <w:rPr>
          <w:rStyle w:val="FootnoteReference"/>
        </w:rPr>
        <w:footnoteReference w:id="7"/>
      </w:r>
      <w:r w:rsidRPr="00CD016A">
        <w:t xml:space="preserve"> týkajúce sa spoľahlivosti účtov a zákonnosti a správnosti príslušných operácií, ktoré poskytol Dvor audítorov za rozpočtový rok 2022 v súlade s článkom 287 Zmluvy o fungovaní Európskej únie,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odporúčanie Rady z 22. februára 2024 o udelení </w:t>
      </w:r>
      <w:r w:rsidRPr="00CD016A">
        <w:t>absolutória agentúre za plnenie rozpočtu za rozpočtový rok 2022 (0</w:t>
      </w:r>
      <w:r w:rsidRPr="00CD016A">
        <w:t>6180</w:t>
      </w:r>
      <w:r w:rsidRPr="00CD016A">
        <w:t>/2024 – C9</w:t>
      </w:r>
      <w:r w:rsidRPr="00CD016A">
        <w:noBreakHyphen/>
        <w:t>0</w:t>
      </w:r>
      <w:r w:rsidRPr="00CD016A">
        <w:t>086</w:t>
      </w:r>
      <w:r w:rsidRPr="00CD016A">
        <w:t>/2024),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článok 319 Zmluvy o fungovaní Európskej únie,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nariadenie Európskeho parlamentu a Rady (EÚ, </w:t>
      </w:r>
      <w:proofErr w:type="spellStart"/>
      <w:r w:rsidRPr="00CD016A">
        <w:t>Euratom</w:t>
      </w:r>
      <w:proofErr w:type="spellEnd"/>
      <w:r w:rsidRPr="00CD016A">
        <w:t>) 2018/1046 z 18. júla 2</w:t>
      </w:r>
      <w:r w:rsidRPr="00CD016A">
        <w:t>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</w:t>
      </w:r>
      <w:r w:rsidRPr="00CD016A">
        <w:t xml:space="preserve">a č. 541/2014/EÚ a o zrušení nariadenia (EÚ, </w:t>
      </w:r>
      <w:proofErr w:type="spellStart"/>
      <w:r w:rsidRPr="00CD016A">
        <w:t>Euratom</w:t>
      </w:r>
      <w:proofErr w:type="spellEnd"/>
      <w:r w:rsidRPr="00CD016A">
        <w:t>) č. 966/2012</w:t>
      </w:r>
      <w:r w:rsidRPr="00CD016A">
        <w:rPr>
          <w:rStyle w:val="FootnoteReference"/>
        </w:rPr>
        <w:footnoteReference w:id="8"/>
      </w:r>
      <w:r w:rsidRPr="00CD016A">
        <w:t>, a najmä na jeho článok 70,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nariadenie Európskeho parlamentu a Rady (ES) č. 1907/2006 z 18. decembra 2006 o registrácii, hodnotení, autorizácii a obmedzovaní chemických </w:t>
      </w:r>
      <w:r w:rsidRPr="00CD016A">
        <w:t>látok (REACH) a o zriadení Európskej agentúry pre chemické látky, o zmene a doplnení smernice 1999/45/ES a o zrušení nariadenia Rady (EHS) č. 793/93 a nariadenia Komisie (ES) č. 1488/94, smernice Rady 76/769/EHS a smerníc Komisie 91/155/EHS, 93/67/EHS, 93/</w:t>
      </w:r>
      <w:r w:rsidRPr="00CD016A">
        <w:t>105/ES a 2000/21/ES</w:t>
      </w:r>
      <w:r w:rsidRPr="00CD016A">
        <w:rPr>
          <w:rStyle w:val="FootnoteReference"/>
        </w:rPr>
        <w:footnoteReference w:id="9"/>
      </w:r>
      <w:r w:rsidRPr="00CD016A">
        <w:t xml:space="preserve"> a najmä na jeho článok 97,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CD016A">
        <w:t>Euratome</w:t>
      </w:r>
      <w:proofErr w:type="spellEnd"/>
      <w:r w:rsidRPr="00CD016A">
        <w:t xml:space="preserve"> a uvedené v článku 70 naria</w:t>
      </w:r>
      <w:r w:rsidRPr="00CD016A">
        <w:t xml:space="preserve">denia Európskeho parlamentu a Rady (EÚ, </w:t>
      </w:r>
      <w:proofErr w:type="spellStart"/>
      <w:r w:rsidRPr="00CD016A">
        <w:t>Euratom</w:t>
      </w:r>
      <w:proofErr w:type="spellEnd"/>
      <w:r w:rsidRPr="00CD016A">
        <w:t>) 2018/1046</w:t>
      </w:r>
      <w:r w:rsidRPr="00CD016A">
        <w:rPr>
          <w:rStyle w:val="FootnoteReference"/>
        </w:rPr>
        <w:footnoteReference w:id="10"/>
      </w:r>
      <w:r w:rsidRPr="00CD016A">
        <w:t>, a najmä na jeho článok 105,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 xml:space="preserve">so zreteľom na článok 100 </w:t>
      </w:r>
      <w:r w:rsidRPr="00CD016A">
        <w:t>a prílohu V k rokovaciemu poriadku,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stanovisko Výboru pre životné prostredie, verejné zdravie a bezpe</w:t>
      </w:r>
      <w:r w:rsidRPr="00CD016A">
        <w:t>čnosť potravín,</w:t>
      </w:r>
    </w:p>
    <w:p w:rsidR="00593B4A" w:rsidRPr="00CD016A" w:rsidRDefault="00CD016A">
      <w:pPr>
        <w:pStyle w:val="NormalHanging12a"/>
      </w:pPr>
      <w:r w:rsidRPr="00CD016A">
        <w:t>–</w:t>
      </w:r>
      <w:r w:rsidRPr="00CD016A">
        <w:tab/>
        <w:t>so zreteľom na správu Výboru pre kontrolu rozpočtu (A9-0135/2024),</w:t>
      </w:r>
    </w:p>
    <w:p w:rsidR="00593B4A" w:rsidRPr="00CD016A" w:rsidRDefault="00CD016A">
      <w:pPr>
        <w:pStyle w:val="NormalHanging12a"/>
      </w:pPr>
      <w:r w:rsidRPr="00CD016A">
        <w:lastRenderedPageBreak/>
        <w:t>1.</w:t>
      </w:r>
      <w:r w:rsidRPr="00CD016A">
        <w:tab/>
        <w:t>schvaľuje účtovnú závierku Európskej chemickej agentúry za rozpočtový rok 2022;</w:t>
      </w:r>
    </w:p>
    <w:p w:rsidR="00593B4A" w:rsidRPr="00CD016A" w:rsidRDefault="00CD016A">
      <w:pPr>
        <w:pStyle w:val="NormalHanging12a"/>
      </w:pPr>
      <w:r w:rsidRPr="00CD016A">
        <w:t>2.</w:t>
      </w:r>
      <w:r w:rsidRPr="00CD016A">
        <w:tab/>
        <w:t>poveruje svoju predsedníčku, aby postúpila toto rozhodnutie výkonnej riaditeľke Európ</w:t>
      </w:r>
      <w:r w:rsidRPr="00CD016A">
        <w:t xml:space="preserve">skej chemickej agentúry, Rade, Komisii a Dvoru audítorov a aby zabezpečila jeho uverejnenie v </w:t>
      </w:r>
      <w:r w:rsidRPr="00CD016A">
        <w:rPr>
          <w:i/>
          <w:iCs/>
        </w:rPr>
        <w:t>Úradnom vestníku Európskej únie</w:t>
      </w:r>
      <w:r w:rsidRPr="00CD016A">
        <w:t xml:space="preserve"> (v sérii L).</w:t>
      </w:r>
    </w:p>
    <w:p w:rsidR="00593B4A" w:rsidRPr="00CD016A" w:rsidRDefault="00593B4A"/>
    <w:p w:rsidR="00593B4A" w:rsidRPr="00CD016A" w:rsidRDefault="00593B4A">
      <w:pPr>
        <w:widowControl/>
        <w:rPr>
          <w:rFonts w:ascii="Arial" w:hAnsi="Arial" w:cs="Arial"/>
          <w:b/>
        </w:rPr>
        <w:sectPr w:rsidR="00593B4A" w:rsidRPr="00CD016A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93B4A" w:rsidRPr="00CD016A" w:rsidRDefault="00CD016A">
      <w:pPr>
        <w:pStyle w:val="NormalBold"/>
      </w:pPr>
      <w:r w:rsidRPr="00CD016A">
        <w:lastRenderedPageBreak/>
        <w:t xml:space="preserve">3. Uznesenie Európskeho parlamentu z 11. apríla 2024 s poznámkami, ktoré </w:t>
      </w:r>
      <w:r w:rsidRPr="00CD016A">
        <w:t>je</w:t>
      </w:r>
      <w:r w:rsidRPr="00CD016A">
        <w:t xml:space="preserve"> neoddeliteľnou</w:t>
      </w:r>
      <w:r w:rsidRPr="00CD016A">
        <w:t xml:space="preserve"> súčasťou rozhodnutia o absolutóriu za plnenie rozpočtu Európskej chemickej agentúry za rozpočtový rok 2022 (2023/2148(DEC))</w:t>
      </w:r>
    </w:p>
    <w:p w:rsidR="00593B4A" w:rsidRPr="00CD016A" w:rsidRDefault="00CD016A">
      <w:pPr>
        <w:pStyle w:val="EPComma"/>
      </w:pPr>
      <w:r w:rsidRPr="00CD016A">
        <w:rPr>
          <w:i/>
        </w:rPr>
        <w:t>Európsky parlament</w:t>
      </w:r>
      <w:r w:rsidRPr="00CD016A">
        <w:t>,</w:t>
      </w:r>
    </w:p>
    <w:p w:rsidR="00593B4A" w:rsidRPr="00CD016A" w:rsidRDefault="00CD016A">
      <w:pPr>
        <w:pStyle w:val="NormalHanging12a"/>
        <w:widowControl/>
      </w:pPr>
      <w:r w:rsidRPr="00CD016A">
        <w:t>–</w:t>
      </w:r>
      <w:r w:rsidRPr="00CD016A">
        <w:tab/>
        <w:t>so zreteľom na svoje rozhodnutie o absolutóriu za plnenie rozpočtu Európskej chemickej agentúry za rozpočtový</w:t>
      </w:r>
      <w:r w:rsidRPr="00CD016A">
        <w:t xml:space="preserve"> rok 2022,</w:t>
      </w:r>
    </w:p>
    <w:p w:rsidR="00593B4A" w:rsidRPr="00CD016A" w:rsidRDefault="00CD016A">
      <w:pPr>
        <w:pStyle w:val="NormalHanging12a"/>
        <w:widowControl/>
      </w:pPr>
      <w:r w:rsidRPr="00CD016A">
        <w:t>–</w:t>
      </w:r>
      <w:r w:rsidRPr="00CD016A">
        <w:tab/>
        <w:t xml:space="preserve">so zreteľom na článok 100 </w:t>
      </w:r>
      <w:r w:rsidRPr="00CD016A">
        <w:t>a prílohu V k rokovaciemu poriadku,</w:t>
      </w:r>
    </w:p>
    <w:p w:rsidR="00593B4A" w:rsidRPr="00CD016A" w:rsidRDefault="00CD016A">
      <w:pPr>
        <w:pStyle w:val="NormalHanging12a"/>
        <w:widowControl/>
      </w:pPr>
      <w:r w:rsidRPr="00CD016A">
        <w:t>–</w:t>
      </w:r>
      <w:r w:rsidRPr="00CD016A">
        <w:tab/>
        <w:t>so zreteľom na stanovisko Výboru pre životné prostredie, verejné zdravie a bezpečnosť potravín,</w:t>
      </w:r>
    </w:p>
    <w:p w:rsidR="00593B4A" w:rsidRPr="00CD016A" w:rsidRDefault="00CD016A">
      <w:pPr>
        <w:pStyle w:val="NormalHanging12a"/>
        <w:widowControl/>
      </w:pPr>
      <w:r w:rsidRPr="00CD016A">
        <w:t>–</w:t>
      </w:r>
      <w:r w:rsidRPr="00CD016A">
        <w:tab/>
        <w:t>so zreteľom na správu Výboru pre kontrolu rozpočtu (A9-0135/</w:t>
      </w:r>
      <w:r w:rsidRPr="00CD016A">
        <w:t>2024),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A.</w:t>
      </w:r>
      <w:r w:rsidRPr="00CD016A">
        <w:tab/>
        <w:t>keďže podľa výkazu príjmov a výdavkov</w:t>
      </w:r>
      <w:r w:rsidRPr="00CD016A">
        <w:rPr>
          <w:rStyle w:val="FootnoteReference"/>
          <w:szCs w:val="24"/>
        </w:rPr>
        <w:footnoteReference w:id="11"/>
      </w:r>
      <w:r w:rsidRPr="00CD016A">
        <w:t xml:space="preserve"> Európskej chemickej agentúry (ďalej len „agentúra“)predstavoval jej konečný rozpočet na rozpočtový rok 2022 sumu 114 777 691 EUR, čo v porovnaní s rokom 2021 znamenalo nárast o 5,83 %; keďže rozpočet agentúr</w:t>
      </w:r>
      <w:r w:rsidRPr="00CD016A">
        <w:t>y je financovaný najmä z dvoch zdrojov príjmov: z vybraných poplatkov a z príspevku zo všeobecného rozpočtu Únie;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B.</w:t>
      </w:r>
      <w:r w:rsidRPr="00CD016A">
        <w:tab/>
        <w:t>keďže Dvor audítorov vo svojej správe o overení ročnej účtovnej závierky agentúry za rozpočtový rok 2022 (ďalej len „správa Dvora audítorov</w:t>
      </w:r>
      <w:r w:rsidRPr="00CD016A">
        <w:t>“) uvádza, že získal primeranú istotu o tom, že ročná účtovná závierka agentúry je spoľahlivá a že príslušné operácie sú zákonné a správne;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C.</w:t>
      </w:r>
      <w:r w:rsidRPr="00CD016A">
        <w:tab/>
        <w:t>keďže pokiaľ ide o oblasť verejného obstarávania agentúry, v roku 2022 neboli hlásené žiadne problémy, ktoré by s</w:t>
      </w:r>
      <w:r w:rsidRPr="00CD016A">
        <w:t>i vyžadovali nápravné opatrenia, neprebiehajú žiadne nápravné opatrenia z auditov a posúdení z predchádzajúcich rokov a nie sú žiadne nápravné opatrenia, ktoré by boli nevyriešené;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D.</w:t>
      </w:r>
      <w:r w:rsidRPr="00CD016A">
        <w:tab/>
        <w:t>keďže pokiaľ ide o oblasť systémov vnútornej kontroly agentúry, v roku 2</w:t>
      </w:r>
      <w:r w:rsidRPr="00CD016A">
        <w:t>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t>Rozpočtové a finančné riadeni</w:t>
      </w:r>
      <w:r w:rsidRPr="00CD016A">
        <w:rPr>
          <w:b/>
          <w:i/>
        </w:rPr>
        <w:t>e</w:t>
      </w:r>
    </w:p>
    <w:p w:rsidR="00593B4A" w:rsidRPr="00CD016A" w:rsidRDefault="00CD016A">
      <w:pPr>
        <w:pStyle w:val="Normal12Hanging"/>
        <w:widowControl/>
        <w:rPr>
          <w:szCs w:val="24"/>
        </w:rPr>
      </w:pPr>
      <w:r w:rsidRPr="00CD016A">
        <w:t>1.</w:t>
      </w:r>
      <w:r w:rsidRPr="00CD016A">
        <w:tab/>
        <w:t>konštatuje s uspokojením, že úsilie o monitorovanie rozpočtu v priebehu rozpočtového roka 2022 prinieslo mieru plnenia rozpočtu viazaných rozpočtových prostriedkov v bežnom roku na úrovni 98,61 %, čo predstavuje mierne zníženie o 0,23 % v porovnaní s </w:t>
      </w:r>
      <w:r w:rsidRPr="00CD016A">
        <w:t>rokom 2021, a že miera plnenia platobných rozpočtových prostriedkov v bežnom roku dosiahla 85,06 %, čo predstavuje zníženie o 1,17 % v porovnaní s rokom 2021;</w:t>
      </w:r>
    </w:p>
    <w:p w:rsidR="00593B4A" w:rsidRPr="00CD016A" w:rsidRDefault="00CD016A">
      <w:pPr>
        <w:pStyle w:val="NormalHanging12a"/>
        <w:rPr>
          <w:b/>
          <w:i/>
        </w:rPr>
      </w:pPr>
      <w:r w:rsidRPr="00CD016A">
        <w:t>2.</w:t>
      </w:r>
      <w:r w:rsidRPr="00CD016A">
        <w:tab/>
      </w:r>
      <w:r w:rsidRPr="00CD016A">
        <w:t xml:space="preserve">pripomína, že agentúra je financovaná z poplatkov uhrádzaných odvetvím a vyrovnávacím príspevkom EÚ v súlade s nariadením Európskeho parlamentu a Rady </w:t>
      </w:r>
      <w:r w:rsidRPr="00CD016A">
        <w:lastRenderedPageBreak/>
        <w:t>(ES) č. 1907/2006</w:t>
      </w:r>
      <w:r w:rsidRPr="00CD016A">
        <w:rPr>
          <w:rStyle w:val="FootnoteReference"/>
        </w:rPr>
        <w:footnoteReference w:id="12"/>
      </w:r>
      <w:r w:rsidRPr="00CD016A">
        <w:t>, nariadením Európskeho parlamentu a Rady (ES) č. 1272/2008</w:t>
      </w:r>
      <w:r w:rsidRPr="00CD016A">
        <w:rPr>
          <w:rStyle w:val="FootnoteReference"/>
        </w:rPr>
        <w:footnoteReference w:id="13"/>
      </w:r>
      <w:r w:rsidRPr="00CD016A">
        <w:t xml:space="preserve"> a nariadením Európskeho pa</w:t>
      </w:r>
      <w:r w:rsidRPr="00CD016A">
        <w:t>rlamentu a Rady (EÚ) č. 528/2012</w:t>
      </w:r>
      <w:r w:rsidRPr="00CD016A">
        <w:rPr>
          <w:rStyle w:val="FootnoteReference"/>
        </w:rPr>
        <w:footnoteReference w:id="14"/>
      </w:r>
      <w:r w:rsidRPr="00CD016A">
        <w:t>; zdôrazňuje skutočnosť, že vzhľadom na to, že poplatky sú jednorazové a závisia od strategických rozhodnutí aktérov v chemickom priemysle, existuje veľká neistota, pokiaľ ide o ich výšku a načasovanie; pripomína, že Komisi</w:t>
      </w:r>
      <w:r w:rsidRPr="00CD016A">
        <w:t>a prisľúbila návrh Komisie na posilnenie riadenia agentúry a zvýšenie udržateľnosti jej modelu financovania v roku 2020; trvá na tom, aby ho Komisia bezodkladne predložila;</w:t>
      </w:r>
    </w:p>
    <w:p w:rsidR="00593B4A" w:rsidRPr="00CD016A" w:rsidRDefault="00CD016A">
      <w:pPr>
        <w:pStyle w:val="NormalHanging12a"/>
      </w:pPr>
      <w:r w:rsidRPr="00CD016A">
        <w:t>3.</w:t>
      </w:r>
      <w:r w:rsidRPr="00CD016A">
        <w:tab/>
        <w:t>s uspokojením konštatuje, že v roku 2022 sa po prvýkrát od konečného termínu reg</w:t>
      </w:r>
      <w:r w:rsidRPr="00CD016A">
        <w:t>istrácie podľa nariadenia (ES) č. 1907/2006 v roku 2018 príjmy agentúry z poplatkov zvýšili, zatiaľ čo závislosť od Únie pri financovaní jej operácií sa mierne znížila;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t>Výkonnosť</w:t>
      </w:r>
    </w:p>
    <w:p w:rsidR="00593B4A" w:rsidRPr="00CD016A" w:rsidRDefault="00CD016A">
      <w:pPr>
        <w:pStyle w:val="Normal12Hanging"/>
      </w:pPr>
      <w:r w:rsidRPr="00CD016A">
        <w:t>4.</w:t>
      </w:r>
      <w:r w:rsidRPr="00CD016A">
        <w:tab/>
        <w:t>konštatuje, že agentúra je hnacou silou pri implementácii právnych predpis</w:t>
      </w:r>
      <w:r w:rsidRPr="00CD016A">
        <w:t xml:space="preserve">ov Únie o chemických látkach v prospech verejného zdravia a životného prostredia, ako aj inovácií a konkurencieschopnosti; konštatuje, že agentúra zhromažďuje, posudzuje a šíri formácie o chemických látkach, pomáha spoločnostiam dodržiavať právne predpisy </w:t>
      </w:r>
      <w:r w:rsidRPr="00CD016A">
        <w:t>a presadzuje bezpečné používanie chemických látok;</w:t>
      </w:r>
    </w:p>
    <w:p w:rsidR="00593B4A" w:rsidRPr="00CD016A" w:rsidRDefault="00CD016A">
      <w:pPr>
        <w:pStyle w:val="NormalHanging12a"/>
        <w:widowControl/>
      </w:pPr>
      <w:r w:rsidRPr="00CD016A">
        <w:t>5.</w:t>
      </w:r>
      <w:r w:rsidRPr="00CD016A">
        <w:tab/>
        <w:t>konštatuje, že agentúra vykonala pracovný program na 93 % a dosiahla 151 zo 162 konkrétnych opatrení a výstupov plánovaných na rok 2022, pričom osem opatrení je aj naďalej „v štádiu riešenia“ tak, ako b</w:t>
      </w:r>
      <w:r w:rsidRPr="00CD016A">
        <w:t xml:space="preserve">oli naplánované; ďalej konštatuje, že tri „nedokončené“ opatrenia by si vyžadovali buď príspevok členských štátov alebo sa znížila priorita príslušnej oblasti; </w:t>
      </w:r>
    </w:p>
    <w:p w:rsidR="00593B4A" w:rsidRPr="00CD016A" w:rsidRDefault="00CD016A">
      <w:pPr>
        <w:pStyle w:val="NormalHanging12a"/>
      </w:pPr>
      <w:r w:rsidRPr="00CD016A">
        <w:t>6.</w:t>
      </w:r>
      <w:r w:rsidRPr="00CD016A">
        <w:tab/>
        <w:t>konštatuje, že agentúra sa zameriavala na plnenie svojich hlavných úloh a na podporu Európsk</w:t>
      </w:r>
      <w:r w:rsidRPr="00CD016A">
        <w:t>ej komisie pri vykonávaní stratégie Chemikálie – stratégia udržateľnosti v súlade s usmernením stanoveným jej riadiacou radou v strategickom pláne na roky 2019 – 2023 a v jej preskúmaní z roku 2021;</w:t>
      </w:r>
    </w:p>
    <w:p w:rsidR="00593B4A" w:rsidRPr="00CD016A" w:rsidRDefault="00CD016A">
      <w:pPr>
        <w:pStyle w:val="NormalHanging12a"/>
        <w:rPr>
          <w:szCs w:val="24"/>
        </w:rPr>
      </w:pPr>
      <w:r w:rsidRPr="00CD016A">
        <w:t>7.</w:t>
      </w:r>
      <w:r w:rsidRPr="00CD016A">
        <w:tab/>
      </w:r>
      <w:r w:rsidRPr="00CD016A">
        <w:t xml:space="preserve">upozorňuje na niektoré ťažkosti, ktorým agentúra čelila v roku 2022, vrátane neefektívneho systému udeľovania povolení, čo vyšlo najavo v roku 2021, pričom ďalším problémom bol rastúci počet žiadostí týkajúcich sa šesťmocného chrómu, čo bude pretrvávať aj </w:t>
      </w:r>
      <w:r w:rsidRPr="00CD016A">
        <w:t>v roku 2023 a kladie vysoké nároky na kapacitu vedeckých výborov prijímať stanoviská, keďže im chýbajú členovia so skúsenosťami; ďalej konštatuje, že členské štáty predložili nízky počet návrhov hodnotiacich správ o biocídnych účinných látkach, čo bráni do</w:t>
      </w:r>
      <w:r w:rsidRPr="00CD016A">
        <w:t xml:space="preserve">končeniu hodnotení do konca roka 2024, ako sa stanovuje v </w:t>
      </w:r>
      <w:r w:rsidRPr="00CD016A">
        <w:lastRenderedPageBreak/>
        <w:t>nariadení (EÚ) č. 528/2012, zdôrazňuje skutočnosť, že v súlade s akčným plánom pre aktívne látky agentúra v posledných rokoch vynaložila úsilie na podporu členských štátov pri dosahovaní ďalšieho po</w:t>
      </w:r>
      <w:r w:rsidRPr="00CD016A">
        <w:t>kroku;</w:t>
      </w:r>
    </w:p>
    <w:p w:rsidR="00593B4A" w:rsidRPr="00CD016A" w:rsidRDefault="00CD016A">
      <w:pPr>
        <w:pStyle w:val="Normal12Hanging"/>
      </w:pPr>
      <w:r w:rsidRPr="00CD016A">
        <w:t>8.</w:t>
      </w:r>
      <w:r w:rsidRPr="00CD016A">
        <w:tab/>
        <w:t>víta činnosti agentúry na podporu alternatív k testovaniu na zvieratách a kroky prijaté na zvýšenie účinnosti a viditeľnosti tejto práce;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t>Efektívnosť a prínosy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9.</w:t>
      </w:r>
      <w:r w:rsidRPr="00CD016A">
        <w:tab/>
        <w:t>chváli agentúru za stratégiu zvyšovania efektívnosti zameranú na dosahovanie pridan</w:t>
      </w:r>
      <w:r w:rsidRPr="00CD016A">
        <w:t>ej hodnoty riadením založeným na výkonnosti a tiež za vývoj nových nástrojov na podporu plánovania a podávania správ, ktoré sú používateľsky ústretovejšie, poskytujú lepšie možnosti informovania a všetkým zamestnancom šetria čas; konštatuje, že bol pozmene</w:t>
      </w:r>
      <w:r w:rsidRPr="00CD016A">
        <w:t>ný rozsah podávania správ s cieľom lepšie zohľadniť pracovný program agentúry a zlepšiť prepájanie cieľov na úrovni agentúry s cieľmi jednotlivých zamestnancov;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10.</w:t>
      </w:r>
      <w:r w:rsidRPr="00CD016A">
        <w:tab/>
        <w:t>konštatuje, že v roku 2022 začala agentúra zároveň s optimalizáciou kapacity infraštruktúry</w:t>
      </w:r>
      <w:r w:rsidRPr="00CD016A">
        <w:t>, aby minimalizovala akékoľvek nadmerné kapacity v infraštruktúre IT, pričom z výsledkov z druhej polovice roka vyplýva, že dokázala znížiť používanie tejto infraštruktúry (CPU, t. j. procesorov, ako aj RAM, čiže pamäte) približne o 25 %; víta úsilie vynal</w:t>
      </w:r>
      <w:r w:rsidRPr="00CD016A">
        <w:t>ožené na optimalizáciu a nabáda agentúru, aby v ňom pokračovala;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11.</w:t>
      </w:r>
      <w:r w:rsidRPr="00CD016A">
        <w:tab/>
        <w:t>konštatuje, že agentúra aj naďalej využíva spoločné oddelenie vnútorného auditu s Agentúrou EÚ pre vesmírny program (predtým Agentúra pre európsky globálny navigačný satelitný systém); ko</w:t>
      </w:r>
      <w:r w:rsidRPr="00CD016A">
        <w:t>nštatuje, že agentúra a Európsky úrad pre bezpečnosť potravín udržiavajú pravidelné kontakty na pracovnej úrovni, ako aj na úrovni vrcholového manažmentu, kde sa pravidelne posudzujú (podrobným skúmaním pracovných programov) a využívajú možnosti spolupráce</w:t>
      </w:r>
      <w:r w:rsidRPr="00CD016A">
        <w:t>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12.</w:t>
      </w:r>
      <w:r w:rsidRPr="00CD016A">
        <w:tab/>
        <w:t xml:space="preserve">ďalej konštatuje, že agentúra pokračovala v strategickej spolupráci s Európskym úradom pre bezpečnosť potravín pri poskytovaní formátu údajov IUCLID ako služby, a to využívaním svojich </w:t>
      </w:r>
      <w:proofErr w:type="spellStart"/>
      <w:r w:rsidRPr="00CD016A">
        <w:t>cloudových</w:t>
      </w:r>
      <w:proofErr w:type="spellEnd"/>
      <w:r w:rsidRPr="00CD016A">
        <w:t xml:space="preserve"> služieb, na účely činnosti Európskeho úradu pre bezpeč</w:t>
      </w:r>
      <w:r w:rsidRPr="00CD016A">
        <w:t>nosť potravín v súlade s nariadením Európskeho parlamentu a Rady (ES) č. 1107/2009</w:t>
      </w:r>
      <w:r w:rsidRPr="00CD016A">
        <w:rPr>
          <w:rStyle w:val="FootnoteReference"/>
          <w:szCs w:val="24"/>
        </w:rPr>
        <w:footnoteReference w:id="15"/>
      </w:r>
      <w:r w:rsidRPr="00CD016A">
        <w:t>, čím sa využívaním existujúcich IT platforiem dosiahli úspory z rozsahu;</w:t>
      </w:r>
    </w:p>
    <w:p w:rsidR="00593B4A" w:rsidRPr="00CD016A" w:rsidRDefault="00CD016A">
      <w:pPr>
        <w:pStyle w:val="NormalHanging12a"/>
      </w:pPr>
      <w:r w:rsidRPr="00CD016A">
        <w:t>13.</w:t>
      </w:r>
      <w:r w:rsidRPr="00CD016A">
        <w:tab/>
        <w:t>pripomína dôležitosť zvýšenia digitalizácie agentúry, pokiaľ ide o vnútornú prevádzku a riadeni</w:t>
      </w:r>
      <w:r w:rsidRPr="00CD016A">
        <w:t>e, ale aj zámer urýchliť digitalizáciu postupov; zdôrazňuje, že je potrebné, aby bola agentúra v tejto súvislosti naďalej aktívna s cieľom zabrániť digitálnej priepasti medzi agentúrami; upozorňuje však na potrebu prijať všetky nevyhnutné bezpečnostné opat</w:t>
      </w:r>
      <w:r w:rsidRPr="00CD016A">
        <w:t>renia, aby sa predišlo akémukoľvek ohrozeniu online bezpečnosti spracúvaných informácií; trvá na tom, že je potrebné zintenzívniť opatrenia proti kybernetickým útokom alebo pokusom o infiltráciu, najmä tým, ktoré pochádzajú z Ruska alebo Číny;</w:t>
      </w:r>
    </w:p>
    <w:p w:rsidR="00593B4A" w:rsidRPr="00CD016A" w:rsidRDefault="00CD016A">
      <w:pPr>
        <w:pStyle w:val="NormalHanging12a"/>
      </w:pPr>
      <w:r w:rsidRPr="00CD016A">
        <w:t>14.</w:t>
      </w:r>
      <w:r w:rsidRPr="00CD016A">
        <w:tab/>
        <w:t>oceňuje,</w:t>
      </w:r>
      <w:r w:rsidRPr="00CD016A">
        <w:t xml:space="preserve"> že agentúra podnikla kroky na podporu zásady „jedna látka – jedno hodnotenie“ v spolupráci s Európskym úradom pre bezpečnosť potravín s cieľom zaistiť ďalšiu súdržnosť pri posudzovaní nebezpečnosti a rizík účinných látok;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lastRenderedPageBreak/>
        <w:t>Personálna politika</w:t>
      </w:r>
    </w:p>
    <w:p w:rsidR="00593B4A" w:rsidRPr="00CD016A" w:rsidRDefault="00CD016A">
      <w:pPr>
        <w:pStyle w:val="Normal12Hanging"/>
        <w:widowControl/>
        <w:rPr>
          <w:szCs w:val="24"/>
        </w:rPr>
      </w:pPr>
      <w:r w:rsidRPr="00CD016A">
        <w:t>15.</w:t>
      </w:r>
      <w:r w:rsidRPr="00CD016A">
        <w:tab/>
        <w:t>konštatuj</w:t>
      </w:r>
      <w:r w:rsidRPr="00CD016A">
        <w:t>e, že k 31. decembru 2022 bol plán pracovných miest naplnený na 98,07 %, pričom zo 467 dočasných zamestnancov povolených v rámci rozpočtu Únie (rovnaký počet schválených pracovných miest ako v roku 2021) bolo vymenovaných 458 dočasných zamestnancov; konšta</w:t>
      </w:r>
      <w:r w:rsidRPr="00CD016A">
        <w:t>tuje, že v roku 2022 agentúra okrem toho zamestnávala 128 zmluvných zamestnancov, 48 zamestnancov na prechodné obdobie, päť konzultantov a dvoch vyslaných národných expertov;</w:t>
      </w:r>
    </w:p>
    <w:p w:rsidR="00593B4A" w:rsidRPr="00CD016A" w:rsidRDefault="00CD016A">
      <w:pPr>
        <w:pStyle w:val="NormalHanging12a"/>
      </w:pPr>
      <w:r w:rsidRPr="00CD016A">
        <w:t>16.</w:t>
      </w:r>
      <w:r w:rsidRPr="00CD016A">
        <w:tab/>
        <w:t xml:space="preserve">pripomína význam zabezpečenia rodovej rovnosti medzi zamestnancami a v tejto </w:t>
      </w:r>
      <w:r w:rsidRPr="00CD016A">
        <w:t>súvislosti víta skutočnosť, že agentúra zaviedla akčný plán na vykonávanie cieľov svojej charty rozmanitosti a začlenenia prijatej v roku 2022, ktorá je okrem iných opatrení v oblasti začleňovania zameraná na dosiahnutie rodovej rovnováhy v riadiacom tíme;</w:t>
      </w:r>
      <w:r w:rsidRPr="00CD016A">
        <w:t xml:space="preserve"> žiada agentúru, aby informovala orgán udeľujúci absolutórium o vykonávaní akčného plánu; uznáva, že dosiahnutie výsledkov v tejto oblasti si vyžaduje čas; konštatuje však, že rodová rovnováha vo vrcholovom a strednom manažmente agentúry sa mierne oslabila</w:t>
      </w:r>
      <w:r w:rsidRPr="00CD016A">
        <w:t>, pričom 76 % pracovných miest zastávali muži (82 % v roku 2021) a 24 % ženy (18 % v roku 2021); konštatuje, že medzi zamestnancami je celkovo 261 mužov (45 %) a 317 žien (55 %);</w:t>
      </w:r>
    </w:p>
    <w:p w:rsidR="00593B4A" w:rsidRPr="00CD016A" w:rsidRDefault="00CD016A">
      <w:pPr>
        <w:pStyle w:val="NormalHanging12a"/>
      </w:pPr>
      <w:r w:rsidRPr="00CD016A">
        <w:t>17.</w:t>
      </w:r>
      <w:r w:rsidRPr="00CD016A">
        <w:tab/>
        <w:t>s uspokojením konštatuje, že k 31. decembru 2022 agentúra zamestnávala za</w:t>
      </w:r>
      <w:r w:rsidRPr="00CD016A">
        <w:t xml:space="preserve">mestnancov z 26 členských štátov; konštatuje, že 32 % zamestnancov nadácie sú štátni príslušníci členského štátu, v ktorom má agentúra sídlo; pripomína význam geografickej rovnováhy a nabáda agentúru, aby naďalej prijímala potrebné opatrenia na vyvážené a </w:t>
      </w:r>
      <w:r w:rsidRPr="00CD016A">
        <w:t>spravodlivé geografické zastúpenie; vyjadruje však znepokojenie nad geografickou rovnováhou v rámci vyššieho a stredného manažmentu agentúry, ktorý má len jedného riaditeľa zo strednej a východnej Európy; trvá na tom, že sa to musí zlepšiť; žiada agentúru,</w:t>
      </w:r>
      <w:r w:rsidRPr="00CD016A">
        <w:t xml:space="preserve"> aby o tejto otázke informovala orgán udeľujúci absolutórium;</w:t>
      </w:r>
    </w:p>
    <w:p w:rsidR="00593B4A" w:rsidRPr="00CD016A" w:rsidRDefault="00CD016A">
      <w:pPr>
        <w:pStyle w:val="NormalHanging12a"/>
      </w:pPr>
      <w:r w:rsidRPr="00CD016A">
        <w:t>18.</w:t>
      </w:r>
      <w:r w:rsidRPr="00CD016A">
        <w:tab/>
        <w:t xml:space="preserve">konštatuje, že agentúra má politiku v oblasti ochrany ľudskej dôstojnosti a predchádzania psychickému a sexuálnemu obťažovaniu a že agentúra je súčasťou </w:t>
      </w:r>
      <w:proofErr w:type="spellStart"/>
      <w:r w:rsidRPr="00CD016A">
        <w:t>medziagentúrnej</w:t>
      </w:r>
      <w:proofErr w:type="spellEnd"/>
      <w:r w:rsidRPr="00CD016A">
        <w:t xml:space="preserve"> pracovnej skupiny dôv</w:t>
      </w:r>
      <w:r w:rsidRPr="00CD016A">
        <w:t>erných poradcov; so záujmom očakáva ich správu a odporúčania; konštatuje, že v roku 2022 neboli nahlásené žiadne prípady obťažovania, a nabáda agentúru, aby pokračovala v práci na predchádzaní prípadom aj v budúcnosti a rozvíjala ju;</w:t>
      </w:r>
    </w:p>
    <w:p w:rsidR="00593B4A" w:rsidRPr="00CD016A" w:rsidRDefault="00CD016A">
      <w:pPr>
        <w:pStyle w:val="NormalHanging12a"/>
      </w:pPr>
      <w:r w:rsidRPr="00CD016A">
        <w:t>19.</w:t>
      </w:r>
      <w:r w:rsidRPr="00CD016A">
        <w:tab/>
        <w:t xml:space="preserve">konštatuje, že od </w:t>
      </w:r>
      <w:r w:rsidRPr="00CD016A">
        <w:t xml:space="preserve">marca 2022 sa zamestnanci agentúry začali postupne vracať do priestorov agentúry, čo sa skončilo zavedením nových hybridných pracovných pravidiel v októbri 2022; v tejto súvislosti konštatuje, že nové pravidlá podporujú flexibilitu a posilnenie postavenia </w:t>
      </w:r>
      <w:r w:rsidRPr="00CD016A">
        <w:t>zamestnancov a zároveň zachovávajú sociálnu súdržnosť a spoluprácu prostredníctvom pravidelnej týždennej prítomnosti v kancelárii;</w:t>
      </w:r>
    </w:p>
    <w:p w:rsidR="00593B4A" w:rsidRPr="00CD016A" w:rsidRDefault="00CD016A">
      <w:pPr>
        <w:pStyle w:val="NormalHanging12a"/>
        <w:widowControl/>
      </w:pPr>
      <w:r w:rsidRPr="00CD016A">
        <w:t>20.</w:t>
      </w:r>
      <w:r w:rsidRPr="00CD016A">
        <w:tab/>
        <w:t>konštatuje, že agentúra viac využívala vnútornú mobilitu, aby reagovala na vyvíjajúce sa potreby, pokiaľ ide o vedecko-te</w:t>
      </w:r>
      <w:r w:rsidRPr="00CD016A">
        <w:t>chnické a administratívne odborné znalosti vo svojej činnosti; konštatuje, že tým vznikli príležitosti na postup v kariére, čo prispelo k motivovaniu zamestnancov agentúry a k zachovaniu kultúry vysokej výkonnosti, neustáleho zlepšovania a schopnosti reago</w:t>
      </w:r>
      <w:r w:rsidRPr="00CD016A">
        <w:t>vať; víta skutočnosť, že agentúra s cieľom motivovať zamestnancov a vytvárať súbory zručností zaviedla aj nové iniciatívy vrátane mentorstva a koučingu;</w:t>
      </w:r>
    </w:p>
    <w:p w:rsidR="00593B4A" w:rsidRPr="00CD016A" w:rsidRDefault="00CD016A">
      <w:pPr>
        <w:pStyle w:val="NormalHanging12a"/>
      </w:pPr>
      <w:r w:rsidRPr="00CD016A">
        <w:t>21.</w:t>
      </w:r>
      <w:r w:rsidRPr="00CD016A">
        <w:tab/>
        <w:t xml:space="preserve">zdôrazňuje, že je potrebné zabezpečiť primerané personálne obsadenie, ktoré bude </w:t>
      </w:r>
      <w:r w:rsidRPr="00CD016A">
        <w:lastRenderedPageBreak/>
        <w:t>odrážať potreby Eu</w:t>
      </w:r>
      <w:r w:rsidRPr="00CD016A">
        <w:t>rópskej zelenej dohody a stratégie Únie Chemikálie – stratégia udržateľnosti, akčného plánu pre obehové hospodárstvo, a najmä cieľa nulového znečistenia, a s nimi súvisiaci nárast objemu úloh;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t>Prevencia, riešenie konfliktov záujmov a transparentnosť</w:t>
      </w:r>
    </w:p>
    <w:p w:rsidR="00593B4A" w:rsidRPr="00CD016A" w:rsidRDefault="00CD016A">
      <w:pPr>
        <w:widowControl/>
        <w:spacing w:after="240"/>
        <w:ind w:left="567" w:hanging="567"/>
      </w:pPr>
      <w:r w:rsidRPr="00CD016A">
        <w:t>22.</w:t>
      </w:r>
      <w:r w:rsidRPr="00CD016A">
        <w:tab/>
        <w:t>ko</w:t>
      </w:r>
      <w:r w:rsidRPr="00CD016A">
        <w:t xml:space="preserve">nštatuje, že na základe dôkladného posúdenia rizika svojich činností agentúra identifikovala procesy a </w:t>
      </w:r>
      <w:proofErr w:type="spellStart"/>
      <w:r w:rsidRPr="00CD016A">
        <w:t>podprocesy</w:t>
      </w:r>
      <w:proofErr w:type="spellEnd"/>
      <w:r w:rsidRPr="00CD016A">
        <w:t>, ktoré si vyžadujú riadenie konfliktov záujmov; ďalej konštatuje, že pri všetkých týchto procesoch zodpovedná osoba pri pridelení úloh zamestn</w:t>
      </w:r>
      <w:r w:rsidRPr="00CD016A">
        <w:t>ancovi preskúma ročné vyhlásenia o záujmoch, zatiaľ čo v prípade niektorých citlivých procesov sa prikladá aj osobitné vyhlásenie zamestnanca o neexistencii konfliktu záujmov;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23.</w:t>
      </w:r>
      <w:r w:rsidRPr="00CD016A">
        <w:tab/>
        <w:t>víta, že s cieľom zlepšiť prax v oblasti konfliktu záujmov po skončení zames</w:t>
      </w:r>
      <w:r w:rsidRPr="00CD016A">
        <w:t xml:space="preserve">tnania bola politika agentúry v oblasti konfliktu záujmov naposledy revidovaná riadiacou radou v júni 2023; konštatuje, že zavedené zmeny posilňujú systematické monitorovanie dodržiavania povinností bývalých zamestnancov agentúry po skončení zamestnania v </w:t>
      </w:r>
      <w:r w:rsidRPr="00CD016A">
        <w:t>súlade s odporúčaniami Európskeho dvora audítorov a pripomienkami orgánu udeľujúceho absolutórium z predchádzajúcich rokov;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24.</w:t>
      </w:r>
      <w:r w:rsidRPr="00CD016A">
        <w:tab/>
        <w:t>konštatuje, že agentúra na svojom webovom sídle zverejňuje stretnutia vrcholového manažmentu so zástupcami záujmových skupín;</w:t>
      </w:r>
    </w:p>
    <w:p w:rsidR="00593B4A" w:rsidRPr="00CD016A" w:rsidRDefault="00CD016A">
      <w:pPr>
        <w:widowControl/>
        <w:spacing w:after="240"/>
        <w:ind w:left="567" w:hanging="567"/>
      </w:pPr>
      <w:r w:rsidRPr="00CD016A">
        <w:t>25.</w:t>
      </w:r>
      <w:r w:rsidRPr="00CD016A">
        <w:tab/>
        <w:t>víta skutočnosť, že agentúra zaviedla v roku 2022 nový elektronický nástroj na zhromažďovanie a skúmanie ročných vyhlásení o záujmoch externých expertov, ktorí spolupracujú s agentúrou, čo prispieva k zvyšovaniu istoty celého procesu;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26.</w:t>
      </w:r>
      <w:r w:rsidRPr="00CD016A">
        <w:tab/>
        <w:t xml:space="preserve">konštatuje s </w:t>
      </w:r>
      <w:r w:rsidRPr="00CD016A">
        <w:t>uspokojením, že stratégia agentúry na boj proti podvodom bola naposledy revidovaná jej riadiacou radou v decembri 2022 a je zameraná na zachovanie a ďalší rozvoj kultúry boja proti podvodom v agentúre a pravidelné prehodnocovanie kľúčových politík a postup</w:t>
      </w:r>
      <w:r w:rsidRPr="00CD016A">
        <w:t>ov; konštatuje, že stratégia posilňuje vnútorný protikorupčný mechanizmus prideľovaním úloh a zodpovednosti v oblasti predchádzania podvodom a prostriedkov a zdrojov využívaných v boji proti nim; víta skutočnosť, že všetci zamestnanci agentúry sa v roku 20</w:t>
      </w:r>
      <w:r w:rsidRPr="00CD016A">
        <w:t>22 zúčastnili na odbornej príprave v oblasti boja proti podvodom; konštatuje s uspokojením, že agentúra má zavedené usmernenia pre oznamovateľov, aby zamestnanci agentúry mohli informovať o akejkoľvek činnosti, ktorá je v rozpore s verejným záujmom;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27.</w:t>
      </w:r>
      <w:r w:rsidRPr="00CD016A">
        <w:tab/>
        <w:t>pr</w:t>
      </w:r>
      <w:r w:rsidRPr="00CD016A">
        <w:t>ipomína, že rozhodovacie procesy agentúry sú navrhnuté tak, aby boli prehľadné, otvorené a aby zabezpečovali vyvážený výsledok na základe odôvodneného vedeckého prístupu; konštatuje, že informácie napríklad o zámeroch agentúry a členských štátov skúmať lát</w:t>
      </w:r>
      <w:r w:rsidRPr="00CD016A">
        <w:t>ky alebo vytvárať dokumentáciu sú dostupné online, takže spoločnosti majú prístup k potrebným údajom, aby mohli prijímať informované obchodné rozhodnutia; ďalej konštatuje, že akreditované organizácie zainteresovaných strán sa môžu zúčastňovať na vedeckých</w:t>
      </w:r>
      <w:r w:rsidRPr="00CD016A">
        <w:t xml:space="preserve"> stretnutiach ako pozorovatelia s výnimkou prípadov, keď si dôverné obchodné informácie vyžadujú uzavreté zasadnutia; ďalej konštatuje, že úvahy, stanoviská a závery vedeckých výborov agentúry sa zaznamenávajú v stanoviskách a zápisniciach a uverejňujú sa </w:t>
      </w:r>
      <w:r w:rsidRPr="00CD016A">
        <w:t>online;</w:t>
      </w:r>
    </w:p>
    <w:p w:rsidR="00593B4A" w:rsidRPr="00CD016A" w:rsidRDefault="00CD016A">
      <w:pPr>
        <w:pStyle w:val="NormalHanging12a"/>
      </w:pPr>
      <w:r w:rsidRPr="00CD016A">
        <w:t>28.</w:t>
      </w:r>
      <w:r w:rsidRPr="00CD016A">
        <w:tab/>
        <w:t>pripomína, že je dôležité, aby sa agentúra viac zviditeľnila v médiách, na internete a v sociálnych médiách s cieľom informovať občanov o svojej práci;</w:t>
      </w:r>
    </w:p>
    <w:p w:rsidR="00593B4A" w:rsidRPr="00CD016A" w:rsidRDefault="00CD016A">
      <w:pPr>
        <w:widowControl/>
        <w:spacing w:after="240"/>
        <w:ind w:left="567" w:hanging="567"/>
        <w:rPr>
          <w:b/>
          <w:i/>
          <w:szCs w:val="24"/>
        </w:rPr>
      </w:pPr>
      <w:r w:rsidRPr="00CD016A">
        <w:rPr>
          <w:b/>
          <w:i/>
        </w:rPr>
        <w:lastRenderedPageBreak/>
        <w:t>Ďalšie pripomienky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29.</w:t>
      </w:r>
      <w:r w:rsidRPr="00CD016A">
        <w:tab/>
        <w:t>víta skutočnosť, že agentúra prijala v roku 2022 politiku kybernetick</w:t>
      </w:r>
      <w:r w:rsidRPr="00CD016A">
        <w:t>ej bezpečnosti a posúdila riziká v celej oblasti IT; ďalej konštatuje, že agentúra zaviedla možnosť biometrickej autentifikácie, zlepšila viditeľnosť bezpečnostného operačného centra a otestovala, ako by fungovali dátové centrá v prípade zlyhania;</w:t>
      </w:r>
    </w:p>
    <w:p w:rsidR="00593B4A" w:rsidRPr="00CD016A" w:rsidRDefault="00CD016A">
      <w:pPr>
        <w:widowControl/>
        <w:spacing w:after="240"/>
        <w:ind w:left="567" w:hanging="567"/>
        <w:rPr>
          <w:szCs w:val="24"/>
        </w:rPr>
      </w:pPr>
      <w:r w:rsidRPr="00CD016A">
        <w:t>30.</w:t>
      </w:r>
      <w:r w:rsidRPr="00CD016A">
        <w:tab/>
        <w:t>s us</w:t>
      </w:r>
      <w:r w:rsidRPr="00CD016A">
        <w:t>pokojením konštatuje, že v roku 2022 sa agentúra zapojila do testovania nástroja elektronického obstarávania Európskej komisie (PPMT) pred jeho plným zavedením v roku 2023; berie na vedomie, že agentúra už v minulosti zaviedla ďalšie nástroje elektronickéh</w:t>
      </w:r>
      <w:r w:rsidRPr="00CD016A">
        <w:t xml:space="preserve">o obstarávania, ako napríklad </w:t>
      </w:r>
      <w:proofErr w:type="spellStart"/>
      <w:r w:rsidRPr="00CD016A">
        <w:t>eTendering</w:t>
      </w:r>
      <w:proofErr w:type="spellEnd"/>
      <w:r w:rsidRPr="00CD016A">
        <w:t xml:space="preserve"> alebo </w:t>
      </w:r>
      <w:proofErr w:type="spellStart"/>
      <w:r w:rsidRPr="00CD016A">
        <w:t>eSubmission</w:t>
      </w:r>
      <w:proofErr w:type="spellEnd"/>
      <w:r w:rsidRPr="00CD016A">
        <w:t xml:space="preserve">, a zároveň si v roku 2022 obnovila predplatné na využívanie platformy </w:t>
      </w:r>
      <w:proofErr w:type="spellStart"/>
      <w:r w:rsidRPr="00CD016A">
        <w:t>Cloudia</w:t>
      </w:r>
      <w:proofErr w:type="spellEnd"/>
      <w:r w:rsidRPr="00CD016A">
        <w:t xml:space="preserve"> v rámci systému elektronického obstarávania </w:t>
      </w:r>
      <w:proofErr w:type="spellStart"/>
      <w:r w:rsidRPr="00CD016A">
        <w:t>Hansel</w:t>
      </w:r>
      <w:proofErr w:type="spellEnd"/>
      <w:r w:rsidRPr="00CD016A">
        <w:t xml:space="preserve"> (centrálna obstarávacia organizácia pre fínske verejné orgány), aby </w:t>
      </w:r>
      <w:r w:rsidRPr="00CD016A">
        <w:t xml:space="preserve">boli všetky administratívne obstarávania prostredníctvom systému </w:t>
      </w:r>
      <w:proofErr w:type="spellStart"/>
      <w:r w:rsidRPr="00CD016A">
        <w:t>Hansel</w:t>
      </w:r>
      <w:proofErr w:type="spellEnd"/>
      <w:r w:rsidRPr="00CD016A">
        <w:t xml:space="preserve"> plne digitalizované;</w:t>
      </w:r>
    </w:p>
    <w:p w:rsidR="00593B4A" w:rsidRPr="00CD016A" w:rsidRDefault="00CD016A">
      <w:pPr>
        <w:widowControl/>
        <w:spacing w:after="240"/>
        <w:ind w:left="567" w:hanging="567"/>
        <w:rPr>
          <w:rFonts w:eastAsia="Calibri"/>
          <w:iCs/>
          <w:szCs w:val="24"/>
        </w:rPr>
      </w:pPr>
      <w:r w:rsidRPr="00CD016A">
        <w:t>31.</w:t>
      </w:r>
      <w:r w:rsidRPr="00CD016A">
        <w:tab/>
        <w:t xml:space="preserve">konštatuje, že v roku 2022 boli úspešne obnovené certifikáty pre environmentálne manažérstvo a audit (EMAS) a ISO 14001; s uspokojením konštatuje, že v správe </w:t>
      </w:r>
      <w:r w:rsidRPr="00CD016A">
        <w:t>Dvora audítorov sa uvádza, že agentúra patrí medzi agentúry, ktoré vydávajú ročné environmentálne vyhlásenie;</w:t>
      </w:r>
    </w:p>
    <w:p w:rsidR="00593B4A" w:rsidRPr="00CD016A" w:rsidRDefault="00CD016A">
      <w:pPr>
        <w:pStyle w:val="NormalHanging12a"/>
      </w:pPr>
      <w:r w:rsidRPr="00CD016A">
        <w:t>32.</w:t>
      </w:r>
      <w:r w:rsidRPr="00CD016A">
        <w:tab/>
        <w:t>zdôrazňuje, že agentúra pokračovala v úsilí postupne ukončiť testovanie na zvieratách v Európe v rozsahu, ako umožňuje súčasný regulačný rámec</w:t>
      </w:r>
      <w:r w:rsidRPr="00CD016A">
        <w:t>; konštatuje, že agentúra podporuje alternatívy k testovaniu na zvieratách tromi spôsobmi: zameraním sa na skupiny látok na základe samostatnej stratégie, investovaním do medzinárodných činností, ktoré podporujú alternatívy a metodiky nového prístupu, a sp</w:t>
      </w:r>
      <w:r w:rsidRPr="00CD016A">
        <w:t>rístupnením údajov, ktorými disponuje; opakuje svoju výzvu agentúre, aby urýchlila proces postupného ukončovania; okrem toho konštatuje, že agentúra spolupracuje s Komisiou a ďalšími zainteresovanými stranami s cieľom podporiť Komisiu pri vypracúvaní plánu</w:t>
      </w:r>
      <w:r w:rsidRPr="00CD016A">
        <w:t xml:space="preserve"> na úplné nahradenie testovania chemických látok na zvieratách;</w:t>
      </w:r>
    </w:p>
    <w:p w:rsidR="00593B4A" w:rsidRPr="00CD016A" w:rsidRDefault="00CD016A">
      <w:pPr>
        <w:pStyle w:val="NormalHanging12a"/>
      </w:pPr>
      <w:r w:rsidRPr="00CD016A">
        <w:t>33.</w:t>
      </w:r>
      <w:r w:rsidRPr="00CD016A">
        <w:tab/>
        <w:t>víta skutočnosť, že agentúra pokračovala vo vykonávaní rôznych opatrení na zvýšenie svojej verejnej a online prítomnosti prostredníctvom nových verzií a početných aktualizácií na svojom we</w:t>
      </w:r>
      <w:r w:rsidRPr="00CD016A">
        <w:t xml:space="preserve">bovom sídle, spustenia spoločného kanála </w:t>
      </w:r>
      <w:proofErr w:type="spellStart"/>
      <w:r w:rsidRPr="00CD016A">
        <w:t>Instagram</w:t>
      </w:r>
      <w:proofErr w:type="spellEnd"/>
      <w:r w:rsidRPr="00CD016A">
        <w:t xml:space="preserve"> so štyrmi agentúrami s názvom „Jedno zdravie – jedno životné prostredie“ a svojej prítomnosti v sociálnych médiách; v tejto súvislosti konštatuje nárast všeobecného mediálneho pokrytia a zvýšenie ukazovate</w:t>
      </w:r>
      <w:r w:rsidRPr="00CD016A">
        <w:t>ľov agentúry v sociálnych médiách v roku 2022 v porovnaní s rokom 2021;</w:t>
      </w:r>
    </w:p>
    <w:p w:rsidR="00593B4A" w:rsidRPr="00CD016A" w:rsidRDefault="00CD016A">
      <w:pPr>
        <w:pStyle w:val="NormalCenter12a"/>
        <w:rPr>
          <w:szCs w:val="24"/>
        </w:rPr>
      </w:pPr>
      <w:r w:rsidRPr="00CD016A">
        <w:t>°</w:t>
      </w:r>
    </w:p>
    <w:p w:rsidR="00593B4A" w:rsidRPr="00CD016A" w:rsidRDefault="00CD016A">
      <w:pPr>
        <w:pStyle w:val="NormalCenter12a"/>
        <w:rPr>
          <w:szCs w:val="24"/>
        </w:rPr>
      </w:pPr>
      <w:r w:rsidRPr="00CD016A">
        <w:t>°</w:t>
      </w:r>
      <w:r w:rsidRPr="00CD016A">
        <w:tab/>
        <w:t>°</w:t>
      </w:r>
    </w:p>
    <w:p w:rsidR="00593B4A" w:rsidRPr="00CD016A" w:rsidRDefault="00CD016A">
      <w:pPr>
        <w:pStyle w:val="NormalHanging12a"/>
        <w:widowControl/>
      </w:pPr>
      <w:r w:rsidRPr="00CD016A">
        <w:t>34.</w:t>
      </w:r>
      <w:r w:rsidRPr="00CD016A">
        <w:tab/>
        <w:t>pokiaľ ide o ďalšie poznámky prierezovej povahy, ktoré sú súčasťou rozhodnutia o absolutóriu, odvoláva sa na svoje uznesenie z</w:t>
      </w:r>
      <w:r w:rsidRPr="00CD016A">
        <w:t> 11. apríla 2024</w:t>
      </w:r>
      <w:r w:rsidRPr="00CD016A">
        <w:rPr>
          <w:vertAlign w:val="superscript"/>
        </w:rPr>
        <w:footnoteReference w:id="16"/>
      </w:r>
      <w:r w:rsidRPr="00CD016A">
        <w:t xml:space="preserve"> o výkonnosti, finančnom ri</w:t>
      </w:r>
      <w:r w:rsidRPr="00CD016A">
        <w:t>adení a kontrole agentúr.</w:t>
      </w:r>
    </w:p>
    <w:p w:rsidR="00593B4A" w:rsidRPr="00CD016A" w:rsidRDefault="00593B4A"/>
    <w:sectPr w:rsidR="00593B4A" w:rsidRPr="00CD01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4A" w:rsidRDefault="00CD016A">
      <w:r>
        <w:separator/>
      </w:r>
    </w:p>
  </w:endnote>
  <w:endnote w:type="continuationSeparator" w:id="0">
    <w:p w:rsidR="00593B4A" w:rsidRDefault="00CD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CD016A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753.516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RR\1299248SK.docx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593B4A" w:rsidRDefault="00CD016A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CD016A">
    <w:pPr>
      <w:pStyle w:val="EPFooter"/>
    </w:pPr>
    <w:r>
      <w:rPr>
        <w:rStyle w:val="HideTWBExt"/>
      </w:rPr>
      <w:t>&lt;PathFdR&gt;</w:t>
    </w:r>
    <w:r>
      <w:t>RR\1299248SK.docx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753.516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593B4A" w:rsidRDefault="00CD016A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</w:t>
    </w:r>
    <w:r>
      <w:rPr>
        <w:b w:val="0"/>
        <w:i/>
        <w:color w:val="C0C0C0"/>
        <w:sz w:val="22"/>
      </w:rPr>
      <w:t>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4A" w:rsidRDefault="00CD016A">
      <w:r>
        <w:separator/>
      </w:r>
    </w:p>
  </w:footnote>
  <w:footnote w:type="continuationSeparator" w:id="0">
    <w:p w:rsidR="00593B4A" w:rsidRDefault="00CD016A">
      <w:r>
        <w:continuationSeparator/>
      </w:r>
    </w:p>
  </w:footnote>
  <w:footnote w:id="1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2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4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396, 30.12.2006, s. 1.</w:t>
      </w:r>
    </w:p>
  </w:footnote>
  <w:footnote w:id="5">
    <w:p w:rsidR="00593B4A" w:rsidRDefault="00CD016A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 EÚ C, C/2023/594, </w:t>
      </w:r>
      <w:r>
        <w:rPr>
          <w:sz w:val="24"/>
          <w:lang w:val="sk-SK"/>
        </w:rPr>
        <w:t>27.10.2023.</w:t>
      </w:r>
    </w:p>
  </w:footnote>
  <w:footnote w:id="7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9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396, 30.12.2006, s. 1.</w:t>
      </w:r>
    </w:p>
  </w:footnote>
  <w:footnote w:id="10">
    <w:p w:rsidR="00593B4A" w:rsidRDefault="00CD016A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 453, 29.11.2022, s. 39.</w:t>
      </w:r>
    </w:p>
  </w:footnote>
  <w:footnote w:id="12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sz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(ES) č. 1907/20</w:t>
      </w:r>
      <w:r>
        <w:rPr>
          <w:sz w:val="24"/>
          <w:lang w:val="sk-SK"/>
        </w:rPr>
        <w:t>06 z 18. decembra 2006 o registrácii, hodnotení, autorizácii a obmedzovaní chemických látok (REACH) a o zriadení Európskej chemickej agentúry, o zmene a doplnení smernice 1999/45/ES a o zrušení nariadenia Rady (EHS) č. 793/93 a nariadenia Komisie (ES) č. 1</w:t>
      </w:r>
      <w:r>
        <w:rPr>
          <w:sz w:val="24"/>
          <w:lang w:val="sk-SK"/>
        </w:rPr>
        <w:t>488/94, smernice Rady 76/769/EHS a smerníc Komisie 91/155/EHS, 93/67/EHS, 93/105/ES a 2000/21/ES (Ú. v. EÚ L 396, 30.12.2006, s. 1).</w:t>
      </w:r>
    </w:p>
  </w:footnote>
  <w:footnote w:id="13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 (ES) č. 1272/2008 zo 16. decembra 2008 o klasifikácii, označovaní a balení látok</w:t>
      </w:r>
      <w:r>
        <w:rPr>
          <w:sz w:val="24"/>
          <w:lang w:val="sk-SK"/>
        </w:rPr>
        <w:t xml:space="preserve"> a zmesí, o zmene, doplnení a zrušení smerníc 67/548/EHS a 1999/45/ES a o zmene a doplnení nariadenia (ES) č. 1907/2006 (Ú. v. EÚ L 353, 31.12.2008, s. 1).</w:t>
      </w:r>
    </w:p>
  </w:footnote>
  <w:footnote w:id="14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 (EÚ) č. 528/2012 z 22. mája 2012 o sprístupňovaní biocídn</w:t>
      </w:r>
      <w:r>
        <w:rPr>
          <w:sz w:val="24"/>
          <w:lang w:val="sk-SK"/>
        </w:rPr>
        <w:t>ych výrobkov na trhu a ich používaní (Ú. v. EÚ L 167, 27.6.2012, s. 1).</w:t>
      </w:r>
    </w:p>
  </w:footnote>
  <w:footnote w:id="15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Nariadenia Nariadenie Európskeho parlamentu a Rady (ES) č. 1107/2009 z 21. októbra 2009 o uvádzaní prípravkov na ochranu rastlín na trh a o zrušení smerníc Rady 79/117/EHS a 91/414/</w:t>
      </w:r>
      <w:r>
        <w:rPr>
          <w:sz w:val="24"/>
          <w:lang w:val="sk-SK"/>
        </w:rPr>
        <w:t xml:space="preserve">EHS (Ú. v. EÚ L 309, 24.11.2009, s. </w:t>
      </w:r>
      <w:r>
        <w:rPr>
          <w:sz w:val="24"/>
          <w:lang w:val="sk-SK"/>
        </w:rPr>
        <w:t>1)</w:t>
      </w:r>
      <w:r>
        <w:rPr>
          <w:sz w:val="24"/>
          <w:lang w:val="sk-SK"/>
        </w:rPr>
        <w:t>.</w:t>
      </w:r>
    </w:p>
  </w:footnote>
  <w:footnote w:id="16">
    <w:p w:rsidR="00593B4A" w:rsidRDefault="00CD01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Prijaté texty, P9_TA(2024)0</w:t>
      </w:r>
      <w:r w:rsidR="00FB3800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4A" w:rsidRDefault="00593B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5/2024"/>
    <w:docVar w:name="dvlangue" w:val="SK"/>
    <w:docVar w:name="dvnumam" w:val="0"/>
    <w:docVar w:name="dvpe" w:val="753.516"/>
    <w:docVar w:name="dvrapporteur" w:val="Spravodajca: "/>
    <w:docVar w:name="dvtitre" w:val="1. Rozhodnutie Európskeho parlamentu z 11. apríla 2024 o absolutóriu za plnenie rozpočtu Európskej chemickej agentúry za rozpočtový rok 2022(2023/2148(DEC))"/>
  </w:docVars>
  <w:rsids>
    <w:rsidRoot w:val="00593B4A"/>
    <w:rsid w:val="00593B4A"/>
    <w:rsid w:val="00716A4A"/>
    <w:rsid w:val="00CD016A"/>
    <w:rsid w:val="00FB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18BC9"/>
  <w15:chartTrackingRefBased/>
  <w15:docId w15:val="{660DA885-4871-42F3-A789-730D1E93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character" w:customStyle="1" w:styleId="Normal12HangingChar">
    <w:name w:val="Normal12Hanging Char"/>
    <w:link w:val="Normal12Hanging"/>
    <w:locked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14540-FD50-4BB4-8216-4F48B8C2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3184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2024-04-11T11:30:00Z</dcterms:created>
  <dcterms:modified xsi:type="dcterms:W3CDTF">2024-04-11T11:30:00Z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A9-0135/2024</vt:lpwstr>
  </property>
  <property fmtid="{D5CDD505-2E9C-101B-9397-08002B2CF9AE}" pid="4" name="&lt;Type&gt;">
    <vt:lpwstr>RR</vt:lpwstr>
  </property>
</Properties>
</file>